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2620"/>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w:t>
      </w:r>
    </w:p>
    <w:p>
      <w:pPr>
        <w:jc w:val="center"/>
        <w:ind w:right="2620"/>
        <w:spacing w:after="0"/>
        <w:rPr>
          <w:sz w:val="20"/>
          <w:szCs w:val="20"/>
          <w:color w:val="auto"/>
        </w:rPr>
      </w:pPr>
      <w:r>
        <w:rPr>
          <w:rFonts w:ascii="Courier New" w:cs="Courier New" w:eastAsia="Courier New" w:hAnsi="Courier New"/>
          <w:sz w:val="18"/>
          <w:szCs w:val="18"/>
          <w:color w:val="auto"/>
        </w:rPr>
        <w:t>on November 12, 1996</w:t>
      </w:r>
    </w:p>
    <w:p>
      <w:pPr>
        <w:ind w:left="5600"/>
        <w:spacing w:after="0" w:line="237" w:lineRule="auto"/>
        <w:rPr>
          <w:sz w:val="20"/>
          <w:szCs w:val="20"/>
          <w:color w:val="auto"/>
        </w:rPr>
      </w:pPr>
      <w:r>
        <w:rPr>
          <w:rFonts w:ascii="Courier New" w:cs="Courier New" w:eastAsia="Courier New" w:hAnsi="Courier New"/>
          <w:sz w:val="18"/>
          <w:szCs w:val="18"/>
          <w:color w:val="auto"/>
        </w:rPr>
        <w:t>Registration No. __________</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860" w:right="5040" w:hanging="42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 Washington, D.C. 20549</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FORM S-8</w:t>
      </w:r>
    </w:p>
    <w:p>
      <w:pPr>
        <w:jc w:val="center"/>
        <w:ind w:right="2620"/>
        <w:spacing w:after="0" w:line="238" w:lineRule="auto"/>
        <w:rPr>
          <w:sz w:val="20"/>
          <w:szCs w:val="20"/>
          <w:color w:val="auto"/>
        </w:rPr>
      </w:pPr>
      <w:r>
        <w:rPr>
          <w:rFonts w:ascii="Courier New" w:cs="Courier New" w:eastAsia="Courier New" w:hAnsi="Courier New"/>
          <w:sz w:val="18"/>
          <w:szCs w:val="18"/>
          <w:color w:val="auto"/>
        </w:rPr>
        <w:t>REGISTRATION STATEMENT UNDER</w:t>
      </w:r>
    </w:p>
    <w:p>
      <w:pPr>
        <w:jc w:val="center"/>
        <w:ind w:right="2620"/>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ABERCROMBIE &amp; FITCH CO.</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 or other jurisdiction of incorporation or organization)</w:t>
      </w:r>
    </w:p>
    <w:p>
      <w:pPr>
        <w:spacing w:after="0" w:line="202"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31-1469076</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(I.R.S. Employer Identification No.)</w:t>
      </w:r>
    </w:p>
    <w:p>
      <w:pPr>
        <w:sectPr>
          <w:pgSz w:w="11900" w:h="16838" w:orient="portrait"/>
          <w:cols w:equalWidth="0" w:num="1">
            <w:col w:w="11060"/>
          </w:cols>
          <w:pgMar w:left="240" w:top="244" w:right="599" w:bottom="1440" w:gutter="0" w:footer="0" w:header="0"/>
        </w:sectPr>
      </w:pPr>
    </w:p>
    <w:p>
      <w:pPr>
        <w:spacing w:after="0" w:line="200" w:lineRule="exact"/>
        <w:rPr>
          <w:sz w:val="24"/>
          <w:szCs w:val="24"/>
          <w:color w:val="auto"/>
        </w:rPr>
      </w:pPr>
    </w:p>
    <w:p>
      <w:pPr>
        <w:spacing w:after="0" w:line="209" w:lineRule="exact"/>
        <w:rPr>
          <w:sz w:val="24"/>
          <w:szCs w:val="24"/>
          <w:color w:val="auto"/>
        </w:rPr>
      </w:pPr>
    </w:p>
    <w:p>
      <w:pPr>
        <w:jc w:val="both"/>
        <w:ind w:left="960"/>
        <w:spacing w:after="0" w:line="279" w:lineRule="auto"/>
        <w:rPr>
          <w:sz w:val="20"/>
          <w:szCs w:val="20"/>
          <w:color w:val="auto"/>
        </w:rPr>
      </w:pPr>
      <w:r>
        <w:rPr>
          <w:rFonts w:ascii="Courier New" w:cs="Courier New" w:eastAsia="Courier New" w:hAnsi="Courier New"/>
          <w:sz w:val="16"/>
          <w:szCs w:val="16"/>
          <w:color w:val="auto"/>
        </w:rPr>
        <w:t>Four Limited Parkway, Reynoldsburg, Ohio ---------------------------------------- (Address of principal executive offices)</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43230</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28" w:lineRule="exact"/>
        <w:rPr>
          <w:sz w:val="24"/>
          <w:szCs w:val="24"/>
          <w:color w:val="auto"/>
        </w:rPr>
      </w:pPr>
    </w:p>
    <w:p>
      <w:pPr>
        <w:sectPr>
          <w:pgSz w:w="11900" w:h="16838" w:orient="portrait"/>
          <w:cols w:equalWidth="0" w:num="2">
            <w:col w:w="5160" w:space="540"/>
            <w:col w:w="5360"/>
          </w:cols>
          <w:pgMar w:left="240" w:top="244" w:right="599" w:bottom="1440" w:gutter="0" w:footer="0" w:header="0"/>
          <w:type w:val="continuous"/>
        </w:sectPr>
      </w:pPr>
    </w:p>
    <w:p>
      <w:pPr>
        <w:spacing w:after="0" w:line="175" w:lineRule="exact"/>
        <w:rPr>
          <w:sz w:val="24"/>
          <w:szCs w:val="24"/>
          <w:color w:val="auto"/>
        </w:rPr>
      </w:pPr>
    </w:p>
    <w:p>
      <w:pPr>
        <w:jc w:val="center"/>
        <w:ind w:right="2720"/>
        <w:spacing w:after="0"/>
        <w:rPr>
          <w:sz w:val="20"/>
          <w:szCs w:val="20"/>
          <w:color w:val="auto"/>
        </w:rPr>
      </w:pPr>
      <w:r>
        <w:rPr>
          <w:rFonts w:ascii="Courier New" w:cs="Courier New" w:eastAsia="Courier New" w:hAnsi="Courier New"/>
          <w:sz w:val="18"/>
          <w:szCs w:val="18"/>
          <w:color w:val="auto"/>
        </w:rPr>
        <w:t>ABERCROMBIE &amp; FITCH</w:t>
      </w:r>
    </w:p>
    <w:p>
      <w:pPr>
        <w:jc w:val="center"/>
        <w:ind w:right="2620"/>
        <w:spacing w:after="0" w:line="238" w:lineRule="auto"/>
        <w:rPr>
          <w:sz w:val="20"/>
          <w:szCs w:val="20"/>
          <w:color w:val="auto"/>
        </w:rPr>
      </w:pPr>
      <w:r>
        <w:rPr>
          <w:rFonts w:ascii="Courier New" w:cs="Courier New" w:eastAsia="Courier New" w:hAnsi="Courier New"/>
          <w:sz w:val="18"/>
          <w:szCs w:val="18"/>
          <w:color w:val="auto"/>
        </w:rPr>
        <w:t>1996 STOCK OPTION AND PERFORMANCE INCENTIVE PLAN</w:t>
      </w:r>
    </w:p>
    <w:p>
      <w:pPr>
        <w:ind w:left="1700"/>
        <w:spacing w:after="0"/>
        <w:rPr>
          <w:sz w:val="20"/>
          <w:szCs w:val="20"/>
          <w:color w:val="auto"/>
        </w:rPr>
      </w:pPr>
      <w:r>
        <w:rPr>
          <w:rFonts w:ascii="Courier New" w:cs="Courier New" w:eastAsia="Courier New" w:hAnsi="Courier New"/>
          <w:sz w:val="18"/>
          <w:szCs w:val="18"/>
          <w:color w:val="auto"/>
        </w:rPr>
        <w:t>------------------------------------------------</w:t>
      </w:r>
    </w:p>
    <w:p>
      <w:pPr>
        <w:ind w:left="2960"/>
        <w:spacing w:after="0" w:line="237"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SAMUEL P. FRIED</w:t>
      </w:r>
    </w:p>
    <w:p>
      <w:pPr>
        <w:ind w:left="180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960"/>
        <w:spacing w:after="0"/>
        <w:rPr>
          <w:sz w:val="20"/>
          <w:szCs w:val="20"/>
          <w:color w:val="auto"/>
        </w:rPr>
      </w:pPr>
      <w:r>
        <w:rPr>
          <w:rFonts w:ascii="Courier New" w:cs="Courier New" w:eastAsia="Courier New" w:hAnsi="Courier New"/>
          <w:sz w:val="18"/>
          <w:szCs w:val="18"/>
          <w:color w:val="auto"/>
        </w:rPr>
        <w:t>Abercrombie &amp; Fitch Co.</w:t>
      </w:r>
    </w:p>
    <w:p>
      <w:pPr>
        <w:ind w:left="3160"/>
        <w:spacing w:after="0" w:line="237" w:lineRule="auto"/>
        <w:rPr>
          <w:sz w:val="20"/>
          <w:szCs w:val="20"/>
          <w:color w:val="auto"/>
        </w:rPr>
      </w:pPr>
      <w:r>
        <w:rPr>
          <w:rFonts w:ascii="Courier New" w:cs="Courier New" w:eastAsia="Courier New" w:hAnsi="Courier New"/>
          <w:sz w:val="18"/>
          <w:szCs w:val="18"/>
          <w:color w:val="auto"/>
        </w:rPr>
        <w:t>Four Limited Parkway</w:t>
      </w:r>
    </w:p>
    <w:p>
      <w:pPr>
        <w:ind w:left="2860"/>
        <w:spacing w:after="0"/>
        <w:tabs>
          <w:tab w:leader="none" w:pos="4940" w:val="left"/>
        </w:tabs>
        <w:rPr>
          <w:sz w:val="20"/>
          <w:szCs w:val="20"/>
          <w:color w:val="auto"/>
        </w:rPr>
      </w:pPr>
      <w:r>
        <w:rPr>
          <w:rFonts w:ascii="Courier New" w:cs="Courier New" w:eastAsia="Courier New" w:hAnsi="Courier New"/>
          <w:sz w:val="18"/>
          <w:szCs w:val="18"/>
          <w:color w:val="auto"/>
        </w:rPr>
        <w:t>Reynoldsburg, Ohio</w:t>
      </w:r>
      <w:r>
        <w:rPr>
          <w:sz w:val="20"/>
          <w:szCs w:val="20"/>
          <w:color w:val="auto"/>
        </w:rPr>
        <w:tab/>
      </w:r>
      <w:r>
        <w:rPr>
          <w:rFonts w:ascii="Courier New" w:cs="Courier New" w:eastAsia="Courier New" w:hAnsi="Courier New"/>
          <w:sz w:val="16"/>
          <w:szCs w:val="16"/>
          <w:color w:val="auto"/>
        </w:rPr>
        <w:t>43068</w:t>
      </w:r>
    </w:p>
    <w:p>
      <w:pPr>
        <w:ind w:left="4120" w:hanging="636"/>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577-6500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address and telephone number of agent for service)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060"/>
          </w:cols>
          <w:pgMar w:left="240" w:top="244" w:right="599" w:bottom="144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120" w:hanging="104"/>
        <w:spacing w:after="0" w:line="290" w:lineRule="auto"/>
        <w:rPr>
          <w:sz w:val="20"/>
          <w:szCs w:val="20"/>
          <w:color w:val="auto"/>
        </w:rPr>
      </w:pPr>
      <w:r>
        <w:rPr>
          <w:rFonts w:ascii="Courier New" w:cs="Courier New" w:eastAsia="Courier New" w:hAnsi="Courier New"/>
          <w:sz w:val="16"/>
          <w:szCs w:val="16"/>
          <w:color w:val="auto"/>
        </w:rPr>
        <w:t>Title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Amount to be</w:t>
      </w:r>
    </w:p>
    <w:p>
      <w:pPr>
        <w:spacing w:after="0" w:line="16"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Registered</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Proposed</w:t>
      </w:r>
      <w:r>
        <w:rPr>
          <w:sz w:val="20"/>
          <w:szCs w:val="20"/>
          <w:color w:val="auto"/>
        </w:rPr>
        <w:tab/>
      </w:r>
      <w:r>
        <w:rPr>
          <w:rFonts w:ascii="Courier New" w:cs="Courier New" w:eastAsia="Courier New" w:hAnsi="Courier New"/>
          <w:sz w:val="18"/>
          <w:szCs w:val="18"/>
          <w:color w:val="auto"/>
        </w:rPr>
        <w:t>Proposed</w:t>
      </w:r>
    </w:p>
    <w:p>
      <w:pPr>
        <w:ind w:left="520"/>
        <w:spacing w:after="0" w:line="238" w:lineRule="auto"/>
        <w:tabs>
          <w:tab w:leader="none" w:pos="2820" w:val="left"/>
        </w:tabs>
        <w:rPr>
          <w:sz w:val="20"/>
          <w:szCs w:val="20"/>
          <w:color w:val="auto"/>
        </w:rPr>
      </w:pPr>
      <w:r>
        <w:rPr>
          <w:rFonts w:ascii="Courier New" w:cs="Courier New" w:eastAsia="Courier New" w:hAnsi="Courier New"/>
          <w:sz w:val="18"/>
          <w:szCs w:val="18"/>
          <w:color w:val="auto"/>
        </w:rPr>
        <w:t>Maximum</w:t>
      </w:r>
      <w:r>
        <w:rPr>
          <w:sz w:val="20"/>
          <w:szCs w:val="20"/>
          <w:color w:val="auto"/>
        </w:rPr>
        <w:tab/>
      </w:r>
      <w:r>
        <w:rPr>
          <w:rFonts w:ascii="Courier New" w:cs="Courier New" w:eastAsia="Courier New" w:hAnsi="Courier New"/>
          <w:sz w:val="18"/>
          <w:szCs w:val="18"/>
          <w:color w:val="auto"/>
        </w:rPr>
        <w:t>Maximum</w:t>
      </w:r>
    </w:p>
    <w:p>
      <w:pPr>
        <w:spacing w:after="0"/>
        <w:tabs>
          <w:tab w:leader="none" w:pos="2300" w:val="left"/>
        </w:tabs>
        <w:rPr>
          <w:sz w:val="20"/>
          <w:szCs w:val="20"/>
          <w:color w:val="auto"/>
        </w:rPr>
      </w:pPr>
      <w:r>
        <w:rPr>
          <w:rFonts w:ascii="Courier New" w:cs="Courier New" w:eastAsia="Courier New" w:hAnsi="Courier New"/>
          <w:sz w:val="18"/>
          <w:szCs w:val="18"/>
          <w:color w:val="auto"/>
        </w:rPr>
        <w:t>Offering Price per</w:t>
      </w:r>
      <w:r>
        <w:rPr>
          <w:sz w:val="20"/>
          <w:szCs w:val="20"/>
          <w:color w:val="auto"/>
        </w:rPr>
        <w:tab/>
      </w:r>
      <w:r>
        <w:rPr>
          <w:rFonts w:ascii="Courier New" w:cs="Courier New" w:eastAsia="Courier New" w:hAnsi="Courier New"/>
          <w:sz w:val="16"/>
          <w:szCs w:val="16"/>
          <w:color w:val="auto"/>
        </w:rPr>
        <w:t>Aggregate Offering</w:t>
      </w:r>
    </w:p>
    <w:p>
      <w:pPr>
        <w:ind w:left="520"/>
        <w:spacing w:after="0" w:line="237" w:lineRule="auto"/>
        <w:tabs>
          <w:tab w:leader="none" w:pos="2920" w:val="left"/>
        </w:tabs>
        <w:rPr>
          <w:sz w:val="20"/>
          <w:szCs w:val="20"/>
          <w:color w:val="auto"/>
        </w:rPr>
      </w:pP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8"/>
          <w:szCs w:val="18"/>
          <w:color w:val="auto"/>
        </w:rPr>
        <w:t>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 Fee</w:t>
      </w:r>
    </w:p>
    <w:p>
      <w:pPr>
        <w:spacing w:after="0" w:line="224" w:lineRule="exact"/>
        <w:rPr>
          <w:sz w:val="24"/>
          <w:szCs w:val="24"/>
          <w:color w:val="auto"/>
        </w:rPr>
      </w:pPr>
    </w:p>
    <w:p>
      <w:pPr>
        <w:sectPr>
          <w:pgSz w:w="11900" w:h="16838" w:orient="portrait"/>
          <w:cols w:equalWidth="0" w:num="4">
            <w:col w:w="2000" w:space="320"/>
            <w:col w:w="1260" w:space="540"/>
            <w:col w:w="4220" w:space="620"/>
            <w:col w:w="2100"/>
          </w:cols>
          <w:pgMar w:left="240" w:top="244" w:right="5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2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$0.01 par value</w:t>
            </w:r>
          </w:p>
        </w:tc>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3,500,000 shares</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$22.5625</w:t>
            </w:r>
          </w:p>
        </w:tc>
        <w:tc>
          <w:tcPr>
            <w:tcW w:w="2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$78,968,750</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$23,929.92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right="2720" w:firstLine="8"/>
        <w:spacing w:after="0" w:line="237"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457(h) under the Securities Act of 1933, as amended, based upon the average of the high and low prices reported in the New York Stock Exchange consolidated reporting system as of November 6, 1996.</w:t>
      </w:r>
    </w:p>
    <w:p>
      <w:pPr>
        <w:sectPr>
          <w:pgSz w:w="11900" w:h="16838" w:orient="portrait"/>
          <w:cols w:equalWidth="0" w:num="1">
            <w:col w:w="11060"/>
          </w:cols>
          <w:pgMar w:left="240" w:top="244" w:right="59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1879"/>
        <w:spacing w:after="0" w:line="238" w:lineRule="auto"/>
        <w:rPr>
          <w:sz w:val="20"/>
          <w:szCs w:val="20"/>
          <w:color w:val="auto"/>
        </w:rPr>
      </w:pPr>
      <w:r>
        <w:rPr>
          <w:rFonts w:ascii="Courier New" w:cs="Courier New" w:eastAsia="Courier New" w:hAnsi="Courier New"/>
          <w:sz w:val="18"/>
          <w:szCs w:val="18"/>
          <w:color w:val="auto"/>
        </w:rPr>
        <w:t>PART II</w:t>
      </w:r>
    </w:p>
    <w:p>
      <w:pPr>
        <w:jc w:val="center"/>
        <w:ind w:right="1759"/>
        <w:spacing w:after="0"/>
        <w:rPr>
          <w:sz w:val="20"/>
          <w:szCs w:val="20"/>
          <w:color w:val="auto"/>
        </w:rPr>
      </w:pPr>
      <w:r>
        <w:rPr>
          <w:rFonts w:ascii="Courier New" w:cs="Courier New" w:eastAsia="Courier New" w:hAnsi="Courier New"/>
          <w:sz w:val="18"/>
          <w:szCs w:val="18"/>
          <w:color w:val="auto"/>
        </w:rPr>
        <w:t>INFORMATION REQUIRED IN REGISTRATION STATEMENT</w:t>
      </w:r>
    </w:p>
    <w:p>
      <w:pPr>
        <w:ind w:left="18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Registrant hereby incorporates by reference into this Registration Statement the following documents:</w:t>
      </w:r>
    </w:p>
    <w:p>
      <w:pPr>
        <w:spacing w:after="0" w:line="208" w:lineRule="exact"/>
        <w:rPr>
          <w:sz w:val="20"/>
          <w:szCs w:val="20"/>
          <w:color w:val="auto"/>
        </w:rPr>
      </w:pPr>
    </w:p>
    <w:p>
      <w:pPr>
        <w:ind w:right="18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Prospectus contained in the Registrant's Amendment No. 2 to Registration Statement on Form S-1 (Reg. No. 333-8231), filed by the Registrant with the Securities and Exchange Commission (the "Commission") on August 28, 1996.</w:t>
      </w:r>
    </w:p>
    <w:p>
      <w:pPr>
        <w:spacing w:after="0" w:line="207"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if any, filed by the Registrant pursuant to Section 13(a) or 15(d) of the Securities Exchange Act of 1934 (the "Exchange Act") since October 1, 1996.</w:t>
      </w:r>
    </w:p>
    <w:p>
      <w:pPr>
        <w:spacing w:after="0" w:line="208" w:lineRule="exact"/>
        <w:rPr>
          <w:rFonts w:ascii="Courier New" w:cs="Courier New" w:eastAsia="Courier New" w:hAnsi="Courier New"/>
          <w:sz w:val="18"/>
          <w:szCs w:val="18"/>
          <w:color w:val="auto"/>
        </w:rPr>
      </w:pPr>
    </w:p>
    <w:p>
      <w:pPr>
        <w:ind w:right="1879" w:firstLine="956"/>
        <w:spacing w:after="0" w:line="279"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Class A Common Stock, $.01 par value, set forth in the Registrant's Amendment No. 2 to Registration Statement on Form S-1, filed with the Commission on August 28, 1996 ("Common Stock").</w:t>
      </w:r>
    </w:p>
    <w:p>
      <w:pPr>
        <w:spacing w:after="0" w:line="17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All documents filed by the Registrant with the Commission after the date of this Registration Statement under Sections 13(a), 13(c), 14 and 15(d) of the Exchange Act, and before the filing of a post-effective amendment which indicates that all securities offered hereunder have been sold or which deregisters all securities then remaining unsold, will be deemed to be incorporated by reference into this Registration Statement and to be a part hereof from the date of filing of such documents.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Section 145 of the Delaware General Corporation Law provides for indemnification of directors and officers against any legal liability (other than liability arising from derivative suits) if the officer or director acted in good faith and in a manner that he reasonably believed to be in or not opposed to the best interests of the corporation. In criminal actions, the officer or director must also have had no reasonable cause to believe that his conduct was unlawful. A corporation may indemnify an officer or director in a derivative suit if the officer or director acted in good faith and in a manner that he reasonably believed to be in or not opposed to the best interest of the corporation unless the officer or director is found liable to the corporation. However, if the Court of Chancery or the court in which such action or suit was brought determines that the officer or director is fairly and reasonably entitled to indemnity, then the Court of Chancery or such other court may permit indemnity for such officer or director to the extent it deems proper.</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jc w:val="both"/>
        <w:ind w:right="2319" w:firstLine="843"/>
        <w:spacing w:after="0" w:line="268" w:lineRule="auto"/>
        <w:rPr>
          <w:sz w:val="20"/>
          <w:szCs w:val="20"/>
          <w:color w:val="auto"/>
        </w:rPr>
      </w:pPr>
      <w:r>
        <w:rPr>
          <w:rFonts w:ascii="Courier New" w:cs="Courier New" w:eastAsia="Courier New" w:hAnsi="Courier New"/>
          <w:sz w:val="16"/>
          <w:szCs w:val="16"/>
          <w:color w:val="auto"/>
        </w:rPr>
        <w:t>The Registrant's Bylaws provide generally that the Registrant shall indemnify its present and past directors and officers to the fullest extent permitted by the laws of Delaware as they may exist from time to time.</w:t>
      </w:r>
    </w:p>
    <w:p>
      <w:pPr>
        <w:spacing w:after="0" w:line="1"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Directors and officers of the Registrant and its subsidiaries are indemnified generally against expenses actually and reasonably incurred in connection with proceedings, whether civil or criminal. The Registrant's Bylaws also provide that indemnification thereunder is not exclusive, and the Registrant may agree to indemnify any person as provided therein. The Registrant is a party to indemnification agreements with its directors and officers. The agreements provide that the Registrant will indemnify such directors and officers to the fullest extent permitted by applicable law, and require the Registrant to maintain directors' and officers' liability insurance at the level in effect when the relevant indemnification agreement was executed and to advance expenses upon the request of an officer or director.</w:t>
      </w:r>
    </w:p>
    <w:p>
      <w:pPr>
        <w:spacing w:after="0" w:line="1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Registrant's Certificate of Incorporation provides that directors of the Registrant shall not be held personally liable to the Registrant or its stockholders for monetary damages arising from certain breaches of their fiduciary duties. The provision does not insulate directors from personal liability for (i) breaches of their duty of loyalty to the Registrant or its stockholders, (ii) acts or omissions not taken in good faith or that involve intentional misconduct or knowing violation of law, (iii) transactions in which the director derives any improper personal benefit or (iv) unlawfully voting to pay dividends or to repurchase or redeem stock.</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Registrant maintains insurance policies providing for indemnification of directors and officers and for reimbursement to the Registrant for monies which it may pay as indemnity to any director or officer, subject to the conditions and exclusions of the policies and specified deductible provisions.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Exhibit Index on page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Rule 415 Offering.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2319" w:firstLine="1693"/>
        <w:spacing w:after="0" w:line="290" w:lineRule="auto"/>
        <w:tabs>
          <w:tab w:leader="none" w:pos="210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70" w:lineRule="exact"/>
        <w:rPr>
          <w:sz w:val="20"/>
          <w:szCs w:val="20"/>
          <w:color w:val="auto"/>
        </w:rPr>
      </w:pPr>
    </w:p>
    <w:p>
      <w:pPr>
        <w:ind w:right="2199" w:firstLine="1693"/>
        <w:spacing w:after="0" w:line="235"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(the "Securities Act");</w:t>
      </w:r>
    </w:p>
    <w:p>
      <w:pPr>
        <w:spacing w:after="0" w:line="208" w:lineRule="exact"/>
        <w:rPr>
          <w:rFonts w:ascii="Courier New" w:cs="Courier New" w:eastAsia="Courier New" w:hAnsi="Courier New"/>
          <w:sz w:val="18"/>
          <w:szCs w:val="18"/>
          <w:color w:val="auto"/>
        </w:rPr>
      </w:pPr>
    </w:p>
    <w:p>
      <w:pPr>
        <w:ind w:right="1999" w:firstLine="1693"/>
        <w:spacing w:after="0" w:line="235"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w:t>
      </w:r>
    </w:p>
    <w:p>
      <w:pPr>
        <w:spacing w:after="0" w:line="5"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recent post-effective amendment thereof) which, individually or in the aggregate, represent a fundamental change in the information set forth in the Registration Statement;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2640" w:right="1779" w:hanging="947"/>
        <w:spacing w:after="0" w:line="237" w:lineRule="auto"/>
        <w:tabs>
          <w:tab w:leader="none" w:pos="2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209" w:lineRule="exact"/>
        <w:rPr>
          <w:sz w:val="20"/>
          <w:szCs w:val="20"/>
          <w:color w:val="auto"/>
        </w:rPr>
      </w:pPr>
    </w:p>
    <w:p>
      <w:pPr>
        <w:ind w:left="2640" w:right="2099" w:hanging="947"/>
        <w:spacing w:after="0" w:line="237" w:lineRule="auto"/>
        <w:tabs>
          <w:tab w:leader="none" w:pos="2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11" w:lineRule="exact"/>
        <w:rPr>
          <w:rFonts w:ascii="Courier New" w:cs="Courier New" w:eastAsia="Courier New" w:hAnsi="Courier New"/>
          <w:sz w:val="18"/>
          <w:szCs w:val="18"/>
          <w:color w:val="auto"/>
        </w:rPr>
      </w:pPr>
    </w:p>
    <w:p>
      <w:pPr>
        <w:ind w:left="2640" w:right="2099" w:hanging="947"/>
        <w:spacing w:after="0" w:line="237" w:lineRule="auto"/>
        <w:tabs>
          <w:tab w:leader="none" w:pos="2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Incorporating Subsequent Exchange Act Documents by Reference.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under Section 13(a) or 15(d) of the Exchange Act (and, where applicable, each filing of an employee benefit plan's annual report under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 Filing of Registration Statement on Form S-8.</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358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Registrant.</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Reynoldsburg, State of Ohio, on November 7, 1996.</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ABERCROMBIE &amp; FITCH CO.</w:t>
      </w:r>
    </w:p>
    <w:p>
      <w:pPr>
        <w:ind w:left="328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Kenneth B. Gilman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Kenneth B. Gilman,</w:t>
      </w:r>
    </w:p>
    <w:p>
      <w:pPr>
        <w:ind w:left="3480"/>
        <w:spacing w:after="0" w:line="237" w:lineRule="auto"/>
        <w:rPr>
          <w:sz w:val="20"/>
          <w:szCs w:val="20"/>
          <w:color w:val="auto"/>
        </w:rPr>
      </w:pPr>
      <w:r>
        <w:rPr>
          <w:rFonts w:ascii="Courier New" w:cs="Courier New" w:eastAsia="Courier New" w:hAnsi="Courier New"/>
          <w:sz w:val="18"/>
          <w:szCs w:val="18"/>
          <w:color w:val="auto"/>
        </w:rPr>
        <w:t>Vice Chairman</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indicated on November 7, 1996.</w:t>
      </w:r>
    </w:p>
    <w:p>
      <w:pPr>
        <w:spacing w:after="0" w:line="203"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Chairman of the Board</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Leslie H. Wexner</w:t>
      </w:r>
    </w:p>
    <w:p>
      <w:pPr>
        <w:spacing w:after="0" w:line="202"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/s/ Kenneth B. Gilman</w:t>
      </w:r>
      <w:r>
        <w:rPr>
          <w:sz w:val="20"/>
          <w:szCs w:val="20"/>
          <w:color w:val="auto"/>
        </w:rPr>
        <w:tab/>
      </w:r>
      <w:r>
        <w:rPr>
          <w:rFonts w:ascii="Courier New" w:cs="Courier New" w:eastAsia="Courier New" w:hAnsi="Courier New"/>
          <w:sz w:val="16"/>
          <w:szCs w:val="16"/>
          <w:color w:val="auto"/>
        </w:rPr>
        <w:t>Vice Chairman of the Board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Kenneth B. Gilman</w:t>
      </w: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President, Chief Executive</w:t>
      </w:r>
    </w:p>
    <w:p>
      <w:pPr>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Officer and Director</w:t>
      </w:r>
    </w:p>
    <w:p>
      <w:pPr>
        <w:spacing w:after="0"/>
        <w:tabs>
          <w:tab w:leader="none" w:pos="3560" w:val="left"/>
        </w:tabs>
        <w:rPr>
          <w:sz w:val="20"/>
          <w:szCs w:val="20"/>
          <w:color w:val="auto"/>
        </w:rPr>
      </w:pPr>
      <w:r>
        <w:rPr>
          <w:rFonts w:ascii="Courier New" w:cs="Courier New" w:eastAsia="Courier New" w:hAnsi="Courier New"/>
          <w:sz w:val="18"/>
          <w:szCs w:val="18"/>
          <w:color w:val="auto"/>
        </w:rPr>
        <w:t>Michael S. Jeffries</w:t>
      </w:r>
      <w:r>
        <w:rPr>
          <w:sz w:val="20"/>
          <w:szCs w:val="20"/>
          <w:color w:val="auto"/>
        </w:rPr>
        <w:tab/>
      </w: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Vice President-Chief Financial Officer</w:t>
      </w:r>
    </w:p>
    <w:p>
      <w:pPr>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(principal financial and</w:t>
      </w:r>
    </w:p>
    <w:p>
      <w:pPr>
        <w:spacing w:after="0"/>
        <w:tabs>
          <w:tab w:leader="none" w:pos="3560" w:val="left"/>
        </w:tabs>
        <w:rPr>
          <w:sz w:val="20"/>
          <w:szCs w:val="20"/>
          <w:color w:val="auto"/>
        </w:rPr>
      </w:pPr>
      <w:r>
        <w:rPr>
          <w:rFonts w:ascii="Courier New" w:cs="Courier New" w:eastAsia="Courier New" w:hAnsi="Courier New"/>
          <w:sz w:val="18"/>
          <w:szCs w:val="18"/>
          <w:color w:val="auto"/>
        </w:rPr>
        <w:t>Seth R. Johnson</w:t>
      </w:r>
      <w:r>
        <w:rPr>
          <w:sz w:val="20"/>
          <w:szCs w:val="20"/>
          <w:color w:val="auto"/>
        </w:rPr>
        <w:tab/>
      </w:r>
      <w:r>
        <w:rPr>
          <w:rFonts w:ascii="Courier New" w:cs="Courier New" w:eastAsia="Courier New" w:hAnsi="Courier New"/>
          <w:sz w:val="16"/>
          <w:szCs w:val="16"/>
          <w:color w:val="auto"/>
        </w:rPr>
        <w:t>accounting officer)</w:t>
      </w: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E. Gordon Gee</w:t>
      </w:r>
    </w:p>
    <w:p>
      <w:pPr>
        <w:spacing w:after="0" w:line="200"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B. Shackelford</w:t>
      </w:r>
    </w:p>
    <w:p>
      <w:pPr>
        <w:spacing w:after="0" w:line="202"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Roger D. Blackwell</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*Kenneth B. Gilman, by signing his name hereto, signs this document on behalf of the persons indicated above pursuant to powers of attorney duly executed by such persons.</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Kenneth B. Gilman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Kenneth B. Gilman,</w:t>
      </w:r>
    </w:p>
    <w:p>
      <w:pPr>
        <w:ind w:left="3700"/>
        <w:spacing w:after="0" w:line="237"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ind w:left="338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exhibits are filed as part of this Registration Statement:</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ind w:left="540" w:right="261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4.1</w:t>
        <w:tab/>
        <w:t>Form of Amended and Restated Certificate of Incorporation of the Registrant incorporated by reference to Exhibit 3.1 of the Registrant's Amendment No. 2 to Registration Statement on Form S-1 (Reg. No. 33-8231), filed by the Registrant with the Securities and Exchange Commission on August 28, 1996.</w:t>
      </w:r>
    </w:p>
    <w:p>
      <w:pPr>
        <w:spacing w:after="0" w:line="209" w:lineRule="exact"/>
        <w:rPr>
          <w:sz w:val="20"/>
          <w:szCs w:val="20"/>
          <w:color w:val="auto"/>
        </w:rPr>
      </w:pPr>
    </w:p>
    <w:p>
      <w:pPr>
        <w:ind w:left="540" w:right="2739" w:hanging="526"/>
        <w:spacing w:after="0" w:line="275" w:lineRule="auto"/>
        <w:tabs>
          <w:tab w:leader="none" w:pos="5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Form of Bylaws of the Registrant incorporated by reference to Exhibit 3.1 of the Registrant's Amendment No. 2 to Registration Statement on Form S-1 (Reg. No. 333-8231), filed by the Registrant with the Securities and Exchange Commission on August 28, 1996.</w:t>
      </w:r>
    </w:p>
    <w:p>
      <w:pPr>
        <w:spacing w:after="0" w:line="182" w:lineRule="exact"/>
        <w:rPr>
          <w:sz w:val="20"/>
          <w:szCs w:val="20"/>
          <w:color w:val="auto"/>
        </w:rPr>
      </w:pPr>
    </w:p>
    <w:p>
      <w:pPr>
        <w:ind w:left="540" w:right="36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4.3</w:t>
        <w:tab/>
        <w:t>Copy of the Abercrombie &amp; Fitch Co. 1996 Stock Option and Performance Incentive Plan.</w:t>
      </w:r>
    </w:p>
    <w:p>
      <w:pPr>
        <w:spacing w:after="0" w:line="208" w:lineRule="exact"/>
        <w:rPr>
          <w:sz w:val="20"/>
          <w:szCs w:val="20"/>
          <w:color w:val="auto"/>
        </w:rPr>
      </w:pPr>
    </w:p>
    <w:p>
      <w:pPr>
        <w:ind w:left="540" w:right="30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5.1</w:t>
        <w:tab/>
        <w:t>Legal opinion of Samuel P. Fried, Esq., Vice President, General Counsel and Secretary of the Registrant.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 Consent of Coopers &amp; Lybrand L.L.P..</w:t>
      </w:r>
    </w:p>
    <w:p>
      <w:pPr>
        <w:spacing w:after="0" w:line="207" w:lineRule="exact"/>
        <w:rPr>
          <w:sz w:val="20"/>
          <w:szCs w:val="20"/>
          <w:color w:val="auto"/>
        </w:rPr>
      </w:pPr>
    </w:p>
    <w:p>
      <w:pPr>
        <w:ind w:left="540" w:right="3259" w:hanging="526"/>
        <w:spacing w:after="0" w:line="236" w:lineRule="auto"/>
        <w:rPr>
          <w:sz w:val="20"/>
          <w:szCs w:val="20"/>
          <w:color w:val="auto"/>
        </w:rPr>
      </w:pPr>
      <w:r>
        <w:rPr>
          <w:rFonts w:ascii="Courier New" w:cs="Courier New" w:eastAsia="Courier New" w:hAnsi="Courier New"/>
          <w:sz w:val="18"/>
          <w:szCs w:val="18"/>
          <w:color w:val="auto"/>
        </w:rPr>
        <w:t>23.2 Consent of Samuel Fried, Vice President, General Counsel and Secretary of the Registrant (included in the opinion filed as Exhibit 5.1).</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w:t>
      </w:r>
    </w:p>
    <w:p>
      <w:pPr>
        <w:jc w:val="right"/>
        <w:ind w:right="2739"/>
        <w:spacing w:after="0" w:line="238" w:lineRule="auto"/>
        <w:rPr>
          <w:sz w:val="20"/>
          <w:szCs w:val="20"/>
          <w:color w:val="auto"/>
        </w:rPr>
      </w:pPr>
      <w:r>
        <w:rPr>
          <w:rFonts w:ascii="Courier New" w:cs="Courier New" w:eastAsia="Courier New" w:hAnsi="Courier New"/>
          <w:sz w:val="18"/>
          <w:szCs w:val="18"/>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519"/>
        <w:spacing w:after="0"/>
        <w:tabs>
          <w:tab w:leader="none" w:pos="180" w:val="left"/>
        </w:tabs>
        <w:rPr>
          <w:sz w:val="20"/>
          <w:szCs w:val="20"/>
          <w:color w:val="auto"/>
        </w:rPr>
      </w:pPr>
      <w:r>
        <w:rPr>
          <w:rFonts w:ascii="Courier New" w:cs="Courier New" w:eastAsia="Courier New" w:hAnsi="Courier New"/>
          <w:sz w:val="18"/>
          <w:szCs w:val="18"/>
          <w:color w:val="auto"/>
        </w:rPr>
        <w:t>ABERCROMBIE &amp;</w:t>
      </w:r>
      <w:r>
        <w:rPr>
          <w:sz w:val="20"/>
          <w:szCs w:val="20"/>
          <w:color w:val="auto"/>
        </w:rPr>
        <w:tab/>
      </w:r>
      <w:r>
        <w:rPr>
          <w:rFonts w:ascii="Courier New" w:cs="Courier New" w:eastAsia="Courier New" w:hAnsi="Courier New"/>
          <w:sz w:val="16"/>
          <w:szCs w:val="16"/>
          <w:color w:val="auto"/>
        </w:rPr>
        <w:t>FITCH CO.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1996 STOCK OPTION AND PERFORMANCE INCENTIVE PLAN</w:t>
      </w:r>
    </w:p>
    <w:p>
      <w:pPr>
        <w:sectPr>
          <w:pgSz w:w="11900" w:h="16838" w:orient="portrait"/>
          <w:cols w:equalWidth="0" w:num="1">
            <w:col w:w="9899"/>
          </w:cols>
          <w:pgMar w:left="560" w:top="13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ABERCROMBIE &amp; FITCH CO.</w:t>
      </w:r>
    </w:p>
    <w:p>
      <w:pPr>
        <w:jc w:val="center"/>
        <w:ind w:right="2519"/>
        <w:spacing w:after="0" w:line="238" w:lineRule="auto"/>
        <w:rPr>
          <w:sz w:val="20"/>
          <w:szCs w:val="20"/>
          <w:color w:val="auto"/>
        </w:rPr>
      </w:pPr>
      <w:r>
        <w:rPr>
          <w:rFonts w:ascii="Courier New" w:cs="Courier New" w:eastAsia="Courier New" w:hAnsi="Courier New"/>
          <w:sz w:val="18"/>
          <w:szCs w:val="18"/>
          <w:color w:val="auto"/>
        </w:rPr>
        <w:t>1996 STOCK OPTION AND PERFORMANCE INCENTIVE PLAN</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5360" w:type="dxa"/>
            <w:vAlign w:val="bottom"/>
          </w:tcPr>
          <w:p>
            <w:pPr>
              <w:ind w:left="1680"/>
              <w:spacing w:after="0"/>
              <w:rPr>
                <w:sz w:val="20"/>
                <w:szCs w:val="20"/>
                <w:color w:val="auto"/>
              </w:rPr>
            </w:pPr>
            <w:r>
              <w:rPr>
                <w:rFonts w:ascii="Courier New" w:cs="Courier New" w:eastAsia="Courier New" w:hAnsi="Courier New"/>
                <w:sz w:val="18"/>
                <w:szCs w:val="18"/>
                <w:color w:val="auto"/>
              </w:rPr>
              <w:t>TABLE OF CONTENTS</w:t>
            </w:r>
          </w:p>
        </w:tc>
        <w:tc>
          <w:tcPr>
            <w:tcW w:w="440" w:type="dxa"/>
            <w:vAlign w:val="bottom"/>
          </w:tcPr>
          <w:p>
            <w:pPr>
              <w:spacing w:after="0"/>
              <w:rPr>
                <w:sz w:val="17"/>
                <w:szCs w:val="17"/>
                <w:color w:val="auto"/>
              </w:rPr>
            </w:pPr>
          </w:p>
        </w:tc>
      </w:tr>
      <w:tr>
        <w:trPr>
          <w:trHeight w:val="1013"/>
        </w:trPr>
        <w:tc>
          <w:tcPr>
            <w:tcW w:w="5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r>
      <w:tr>
        <w:trPr>
          <w:trHeight w:val="608"/>
        </w:trPr>
        <w:tc>
          <w:tcPr>
            <w:tcW w:w="5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Courier New" w:cs="Courier New" w:eastAsia="Courier New" w:hAnsi="Courier New"/>
                <w:sz w:val="18"/>
                <w:szCs w:val="18"/>
                <w:color w:val="auto"/>
                <w:w w:val="98"/>
              </w:rPr>
              <w:t>ARTICLE 1</w:t>
            </w:r>
          </w:p>
        </w:tc>
        <w:tc>
          <w:tcPr>
            <w:tcW w:w="440" w:type="dxa"/>
            <w:vAlign w:val="bottom"/>
          </w:tcPr>
          <w:p>
            <w:pPr>
              <w:spacing w:after="0"/>
              <w:rPr>
                <w:sz w:val="24"/>
                <w:szCs w:val="24"/>
                <w:color w:val="auto"/>
              </w:rPr>
            </w:pPr>
          </w:p>
        </w:tc>
      </w:tr>
      <w:tr>
        <w:trPr>
          <w:trHeight w:val="405"/>
        </w:trPr>
        <w:tc>
          <w:tcPr>
            <w:tcW w:w="5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Courier New" w:cs="Courier New" w:eastAsia="Courier New" w:hAnsi="Courier New"/>
                <w:sz w:val="18"/>
                <w:szCs w:val="18"/>
                <w:color w:val="auto"/>
                <w:w w:val="97"/>
              </w:rPr>
              <w:t>ESTABLISHMENT AND PURPOSE</w:t>
            </w:r>
          </w:p>
        </w:tc>
        <w:tc>
          <w:tcPr>
            <w:tcW w:w="440" w:type="dxa"/>
            <w:vAlign w:val="bottom"/>
          </w:tcPr>
          <w:p>
            <w:pPr>
              <w:spacing w:after="0"/>
              <w:rPr>
                <w:sz w:val="24"/>
                <w:szCs w:val="24"/>
                <w:color w:val="auto"/>
              </w:rPr>
            </w:pP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360" w:type="dxa"/>
            <w:vAlign w:val="bottom"/>
          </w:tcPr>
          <w:p>
            <w:pPr>
              <w:ind w:left="100"/>
              <w:spacing w:after="0"/>
              <w:rPr>
                <w:sz w:val="20"/>
                <w:szCs w:val="20"/>
                <w:color w:val="auto"/>
              </w:rPr>
            </w:pPr>
            <w:r>
              <w:rPr>
                <w:rFonts w:ascii="Courier New" w:cs="Courier New" w:eastAsia="Courier New" w:hAnsi="Courier New"/>
                <w:sz w:val="18"/>
                <w:szCs w:val="18"/>
                <w:color w:val="auto"/>
                <w:w w:val="97"/>
              </w:rPr>
              <w:t>Establishment and Effective Date .................</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5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Purpose ..........................................</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608"/>
        </w:trPr>
        <w:tc>
          <w:tcPr>
            <w:tcW w:w="5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Courier New" w:cs="Courier New" w:eastAsia="Courier New" w:hAnsi="Courier New"/>
                <w:sz w:val="18"/>
                <w:szCs w:val="18"/>
                <w:color w:val="auto"/>
                <w:w w:val="98"/>
              </w:rPr>
              <w:t>ARTICLE 2</w:t>
            </w:r>
          </w:p>
        </w:tc>
        <w:tc>
          <w:tcPr>
            <w:tcW w:w="440" w:type="dxa"/>
            <w:vAlign w:val="bottom"/>
          </w:tcPr>
          <w:p>
            <w:pPr>
              <w:spacing w:after="0"/>
              <w:rPr>
                <w:sz w:val="24"/>
                <w:szCs w:val="24"/>
                <w:color w:val="auto"/>
              </w:rPr>
            </w:pPr>
          </w:p>
        </w:tc>
      </w:tr>
      <w:tr>
        <w:trPr>
          <w:trHeight w:val="405"/>
        </w:trPr>
        <w:tc>
          <w:tcPr>
            <w:tcW w:w="520" w:type="dxa"/>
            <w:vAlign w:val="bottom"/>
          </w:tcPr>
          <w:p>
            <w:pPr>
              <w:spacing w:after="0"/>
              <w:rPr>
                <w:sz w:val="24"/>
                <w:szCs w:val="24"/>
                <w:color w:val="auto"/>
              </w:rPr>
            </w:pPr>
          </w:p>
        </w:tc>
        <w:tc>
          <w:tcPr>
            <w:tcW w:w="5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AWARDS</w:t>
            </w:r>
          </w:p>
        </w:tc>
        <w:tc>
          <w:tcPr>
            <w:tcW w:w="440" w:type="dxa"/>
            <w:vAlign w:val="bottom"/>
          </w:tcPr>
          <w:p>
            <w:pPr>
              <w:spacing w:after="0"/>
              <w:rPr>
                <w:sz w:val="24"/>
                <w:szCs w:val="24"/>
                <w:color w:val="auto"/>
              </w:rPr>
            </w:pP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5360" w:type="dxa"/>
            <w:vAlign w:val="bottom"/>
          </w:tcPr>
          <w:p>
            <w:pPr>
              <w:jc w:val="center"/>
              <w:spacing w:after="0"/>
              <w:rPr>
                <w:sz w:val="20"/>
                <w:szCs w:val="20"/>
                <w:color w:val="auto"/>
              </w:rPr>
            </w:pPr>
            <w:r>
              <w:rPr>
                <w:rFonts w:ascii="Courier New" w:cs="Courier New" w:eastAsia="Courier New" w:hAnsi="Courier New"/>
                <w:sz w:val="18"/>
                <w:szCs w:val="18"/>
                <w:color w:val="auto"/>
                <w:w w:val="97"/>
              </w:rPr>
              <w:t>Form of Awards...................................</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2.2</w:t>
            </w:r>
          </w:p>
        </w:tc>
        <w:tc>
          <w:tcPr>
            <w:tcW w:w="5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Maximum Shares Available ........................</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2.3</w:t>
            </w:r>
          </w:p>
        </w:tc>
        <w:tc>
          <w:tcPr>
            <w:tcW w:w="5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Return of Prior Awards...........................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5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Courier New" w:cs="Courier New" w:eastAsia="Courier New" w:hAnsi="Courier New"/>
                <w:sz w:val="18"/>
                <w:szCs w:val="18"/>
                <w:color w:val="auto"/>
                <w:w w:val="98"/>
              </w:rPr>
              <w:t>ARTICLE 3</w:t>
            </w:r>
          </w:p>
        </w:tc>
        <w:tc>
          <w:tcPr>
            <w:tcW w:w="440" w:type="dxa"/>
            <w:vAlign w:val="bottom"/>
          </w:tcPr>
          <w:p>
            <w:pPr>
              <w:spacing w:after="0"/>
              <w:rPr>
                <w:sz w:val="24"/>
                <w:szCs w:val="24"/>
                <w:color w:val="auto"/>
              </w:rPr>
            </w:pPr>
          </w:p>
        </w:tc>
      </w:tr>
      <w:tr>
        <w:trPr>
          <w:trHeight w:val="405"/>
        </w:trPr>
        <w:tc>
          <w:tcPr>
            <w:tcW w:w="520" w:type="dxa"/>
            <w:vAlign w:val="bottom"/>
          </w:tcPr>
          <w:p>
            <w:pPr>
              <w:spacing w:after="0"/>
              <w:rPr>
                <w:sz w:val="24"/>
                <w:szCs w:val="24"/>
                <w:color w:val="auto"/>
              </w:rPr>
            </w:pPr>
          </w:p>
        </w:tc>
        <w:tc>
          <w:tcPr>
            <w:tcW w:w="5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ADMINISTRATION</w:t>
            </w:r>
          </w:p>
        </w:tc>
        <w:tc>
          <w:tcPr>
            <w:tcW w:w="440" w:type="dxa"/>
            <w:vAlign w:val="bottom"/>
          </w:tcPr>
          <w:p>
            <w:pPr>
              <w:spacing w:after="0"/>
              <w:rPr>
                <w:sz w:val="24"/>
                <w:szCs w:val="24"/>
                <w:color w:val="auto"/>
              </w:rPr>
            </w:pPr>
          </w:p>
        </w:tc>
      </w:tr>
      <w:tr>
        <w:trPr>
          <w:trHeight w:val="810"/>
        </w:trPr>
        <w:tc>
          <w:tcPr>
            <w:tcW w:w="52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5360" w:type="dxa"/>
            <w:vAlign w:val="bottom"/>
          </w:tcPr>
          <w:p>
            <w:pPr>
              <w:jc w:val="center"/>
              <w:spacing w:after="0"/>
              <w:rPr>
                <w:sz w:val="20"/>
                <w:szCs w:val="20"/>
                <w:color w:val="auto"/>
              </w:rPr>
            </w:pPr>
            <w:r>
              <w:rPr>
                <w:rFonts w:ascii="Courier New" w:cs="Courier New" w:eastAsia="Courier New" w:hAnsi="Courier New"/>
                <w:sz w:val="18"/>
                <w:szCs w:val="18"/>
                <w:color w:val="auto"/>
                <w:w w:val="97"/>
              </w:rPr>
              <w:t>Committee .......................................</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3.2</w:t>
            </w:r>
          </w:p>
        </w:tc>
        <w:tc>
          <w:tcPr>
            <w:tcW w:w="5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Powers of Committee .............................</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3.3</w:t>
            </w:r>
          </w:p>
        </w:tc>
        <w:tc>
          <w:tcPr>
            <w:tcW w:w="5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Delegation ......................................</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3.4</w:t>
            </w:r>
          </w:p>
        </w:tc>
        <w:tc>
          <w:tcPr>
            <w:tcW w:w="5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Interpretations..................................</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3.5.</w:t>
            </w:r>
          </w:p>
        </w:tc>
        <w:tc>
          <w:tcPr>
            <w:tcW w:w="5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Liability; Indemnification ......................</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STOCK OPTIONS</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140" w:val="left"/>
          <w:tab w:leader="dot" w:pos="6620" w:val="left"/>
        </w:tabs>
        <w:rPr>
          <w:sz w:val="20"/>
          <w:szCs w:val="20"/>
          <w:color w:val="auto"/>
        </w:rPr>
      </w:pPr>
      <w:r>
        <w:rPr>
          <w:rFonts w:ascii="Courier New" w:cs="Courier New" w:eastAsia="Courier New" w:hAnsi="Courier New"/>
          <w:sz w:val="18"/>
          <w:szCs w:val="18"/>
          <w:color w:val="auto"/>
        </w:rPr>
        <w:t>5.1</w:t>
        <w:tab/>
        <w:t>Grant of Options</w:t>
      </w:r>
      <w:r>
        <w:rPr>
          <w:sz w:val="20"/>
          <w:szCs w:val="20"/>
          <w:color w:val="auto"/>
        </w:rPr>
        <w:tab/>
      </w:r>
      <w:r>
        <w:rPr>
          <w:rFonts w:ascii="Courier New" w:cs="Courier New" w:eastAsia="Courier New" w:hAnsi="Courier New"/>
          <w:sz w:val="16"/>
          <w:szCs w:val="16"/>
          <w:color w:val="auto"/>
        </w:rPr>
        <w:t>9</w:t>
      </w:r>
    </w:p>
    <w:p>
      <w:pPr>
        <w:ind w:left="640"/>
        <w:spacing w:after="0"/>
        <w:tabs>
          <w:tab w:leader="none" w:pos="1140" w:val="left"/>
          <w:tab w:leader="dot" w:pos="6620" w:val="left"/>
        </w:tabs>
        <w:rPr>
          <w:sz w:val="20"/>
          <w:szCs w:val="20"/>
          <w:color w:val="auto"/>
        </w:rPr>
      </w:pPr>
      <w:r>
        <w:rPr>
          <w:rFonts w:ascii="Courier New" w:cs="Courier New" w:eastAsia="Courier New" w:hAnsi="Courier New"/>
          <w:sz w:val="18"/>
          <w:szCs w:val="18"/>
          <w:color w:val="auto"/>
        </w:rPr>
        <w:t>5.2</w:t>
        <w:tab/>
        <w:t>Option Price</w:t>
      </w:r>
      <w:r>
        <w:rPr>
          <w:sz w:val="20"/>
          <w:szCs w:val="20"/>
          <w:color w:val="auto"/>
        </w:rPr>
        <w:tab/>
      </w:r>
      <w:r>
        <w:rPr>
          <w:rFonts w:ascii="Courier New" w:cs="Courier New" w:eastAsia="Courier New" w:hAnsi="Courier New"/>
          <w:sz w:val="16"/>
          <w:szCs w:val="16"/>
          <w:color w:val="auto"/>
        </w:rPr>
        <w:t>9</w:t>
      </w:r>
    </w:p>
    <w:p>
      <w:pPr>
        <w:ind w:left="640"/>
        <w:spacing w:after="0"/>
        <w:tabs>
          <w:tab w:leader="none" w:pos="1140" w:val="left"/>
          <w:tab w:leader="dot" w:pos="6620" w:val="left"/>
        </w:tabs>
        <w:rPr>
          <w:sz w:val="20"/>
          <w:szCs w:val="20"/>
          <w:color w:val="auto"/>
        </w:rPr>
      </w:pPr>
      <w:r>
        <w:rPr>
          <w:rFonts w:ascii="Courier New" w:cs="Courier New" w:eastAsia="Courier New" w:hAnsi="Courier New"/>
          <w:sz w:val="18"/>
          <w:szCs w:val="18"/>
          <w:color w:val="auto"/>
        </w:rPr>
        <w:t>5.3</w:t>
        <w:tab/>
        <w:t>Term of Options</w:t>
      </w:r>
      <w:r>
        <w:rPr>
          <w:sz w:val="20"/>
          <w:szCs w:val="20"/>
          <w:color w:val="auto"/>
        </w:rPr>
        <w:tab/>
      </w:r>
      <w:r>
        <w:rPr>
          <w:rFonts w:ascii="Courier New" w:cs="Courier New" w:eastAsia="Courier New" w:hAnsi="Courier New"/>
          <w:sz w:val="16"/>
          <w:szCs w:val="16"/>
          <w:color w:val="auto"/>
        </w:rPr>
        <w:t>9</w:t>
      </w:r>
    </w:p>
    <w:p>
      <w:pPr>
        <w:ind w:left="640"/>
        <w:spacing w:after="0"/>
        <w:tabs>
          <w:tab w:leader="none" w:pos="1140" w:val="left"/>
          <w:tab w:leader="dot" w:pos="6620" w:val="left"/>
        </w:tabs>
        <w:rPr>
          <w:sz w:val="20"/>
          <w:szCs w:val="20"/>
          <w:color w:val="auto"/>
        </w:rPr>
      </w:pPr>
      <w:r>
        <w:rPr>
          <w:rFonts w:ascii="Courier New" w:cs="Courier New" w:eastAsia="Courier New" w:hAnsi="Courier New"/>
          <w:sz w:val="18"/>
          <w:szCs w:val="18"/>
          <w:color w:val="auto"/>
        </w:rPr>
        <w:t>5.4</w:t>
        <w:tab/>
        <w:t>Exercise of Options</w:t>
      </w:r>
      <w:r>
        <w:rPr>
          <w:sz w:val="20"/>
          <w:szCs w:val="20"/>
          <w:color w:val="auto"/>
        </w:rPr>
        <w:tab/>
      </w:r>
      <w:r>
        <w:rPr>
          <w:rFonts w:ascii="Courier New" w:cs="Courier New" w:eastAsia="Courier New" w:hAnsi="Courier New"/>
          <w:sz w:val="16"/>
          <w:szCs w:val="16"/>
          <w:color w:val="auto"/>
        </w:rPr>
        <w:t>9</w:t>
      </w:r>
    </w:p>
    <w:p>
      <w:pPr>
        <w:ind w:left="640"/>
        <w:spacing w:after="0"/>
        <w:tabs>
          <w:tab w:leader="none" w:pos="1140" w:val="left"/>
          <w:tab w:leader="dot" w:pos="6520" w:val="left"/>
        </w:tabs>
        <w:rPr>
          <w:sz w:val="20"/>
          <w:szCs w:val="20"/>
          <w:color w:val="auto"/>
        </w:rPr>
      </w:pPr>
      <w:r>
        <w:rPr>
          <w:rFonts w:ascii="Courier New" w:cs="Courier New" w:eastAsia="Courier New" w:hAnsi="Courier New"/>
          <w:sz w:val="18"/>
          <w:szCs w:val="18"/>
          <w:color w:val="auto"/>
        </w:rPr>
        <w:t>5.5</w:t>
        <w:tab/>
        <w:t>Cancellation of Stock Appreciation Rights</w:t>
      </w:r>
      <w:r>
        <w:rPr>
          <w:sz w:val="20"/>
          <w:szCs w:val="20"/>
          <w:color w:val="auto"/>
        </w:rPr>
        <w:tab/>
      </w: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20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SPECIAL RULES APPLICABLE TO INCENTIVE STOCK OPTIONS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rPr>
              <w:t>Ten Percent Stockholder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Limitation on Grants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Limitations of Time of Grants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608"/>
        </w:trPr>
        <w:tc>
          <w:tcPr>
            <w:tcW w:w="520" w:type="dxa"/>
            <w:vAlign w:val="bottom"/>
          </w:tcPr>
          <w:p>
            <w:pPr>
              <w:spacing w:after="0"/>
              <w:rPr>
                <w:sz w:val="24"/>
                <w:szCs w:val="24"/>
                <w:color w:val="auto"/>
              </w:rPr>
            </w:pPr>
          </w:p>
        </w:tc>
        <w:tc>
          <w:tcPr>
            <w:tcW w:w="54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ARTICLE 7</w:t>
            </w:r>
          </w:p>
        </w:tc>
        <w:tc>
          <w:tcPr>
            <w:tcW w:w="320" w:type="dxa"/>
            <w:vAlign w:val="bottom"/>
          </w:tcPr>
          <w:p>
            <w:pPr>
              <w:spacing w:after="0"/>
              <w:rPr>
                <w:sz w:val="24"/>
                <w:szCs w:val="24"/>
                <w:color w:val="auto"/>
              </w:rPr>
            </w:pPr>
          </w:p>
        </w:tc>
      </w:tr>
      <w:tr>
        <w:trPr>
          <w:trHeight w:val="405"/>
        </w:trPr>
        <w:tc>
          <w:tcPr>
            <w:tcW w:w="520" w:type="dxa"/>
            <w:vAlign w:val="bottom"/>
          </w:tcPr>
          <w:p>
            <w:pPr>
              <w:spacing w:after="0"/>
              <w:rPr>
                <w:sz w:val="24"/>
                <w:szCs w:val="24"/>
                <w:color w:val="auto"/>
              </w:rPr>
            </w:pPr>
          </w:p>
        </w:tc>
        <w:tc>
          <w:tcPr>
            <w:tcW w:w="54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STOCK APPRECIATION RIGHTS</w:t>
            </w:r>
          </w:p>
        </w:tc>
        <w:tc>
          <w:tcPr>
            <w:tcW w:w="320" w:type="dxa"/>
            <w:vAlign w:val="bottom"/>
          </w:tcPr>
          <w:p>
            <w:pPr>
              <w:spacing w:after="0"/>
              <w:rPr>
                <w:sz w:val="24"/>
                <w:szCs w:val="24"/>
                <w:color w:val="auto"/>
              </w:rPr>
            </w:pPr>
          </w:p>
        </w:tc>
      </w:tr>
      <w:tr>
        <w:trPr>
          <w:trHeight w:val="608"/>
        </w:trPr>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w w:val="99"/>
              </w:rPr>
              <w:t>Grants of Stock Appreciation Rights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Limitations of Exercise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Surrender or Exchange of Tandem Stock</w:t>
            </w:r>
          </w:p>
        </w:tc>
        <w:tc>
          <w:tcPr>
            <w:tcW w:w="3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Appreciation Rights............................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Exercise of Nontandem Stock Appreciation Rights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Settlement of Stock Appreciation Rights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Cash Settlement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810"/>
        </w:trPr>
        <w:tc>
          <w:tcPr>
            <w:tcW w:w="520" w:type="dxa"/>
            <w:vAlign w:val="bottom"/>
          </w:tcPr>
          <w:p>
            <w:pPr>
              <w:spacing w:after="0"/>
              <w:rPr>
                <w:sz w:val="24"/>
                <w:szCs w:val="24"/>
                <w:color w:val="auto"/>
              </w:rPr>
            </w:pPr>
          </w:p>
        </w:tc>
        <w:tc>
          <w:tcPr>
            <w:tcW w:w="54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ARTICLE 8</w:t>
            </w:r>
          </w:p>
        </w:tc>
        <w:tc>
          <w:tcPr>
            <w:tcW w:w="320" w:type="dxa"/>
            <w:vAlign w:val="bottom"/>
          </w:tcPr>
          <w:p>
            <w:pPr>
              <w:spacing w:after="0"/>
              <w:rPr>
                <w:sz w:val="24"/>
                <w:szCs w:val="24"/>
                <w:color w:val="auto"/>
              </w:rPr>
            </w:pPr>
          </w:p>
        </w:tc>
      </w:tr>
      <w:tr>
        <w:trPr>
          <w:trHeight w:val="203"/>
        </w:trPr>
        <w:tc>
          <w:tcPr>
            <w:tcW w:w="63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NONTRANSFERABILITY OF OPTIONS AND STOCK APPRECIATION RIGHTS</w:t>
            </w:r>
          </w:p>
        </w:tc>
      </w:tr>
      <w:tr>
        <w:trPr>
          <w:trHeight w:val="608"/>
        </w:trPr>
        <w:tc>
          <w:tcPr>
            <w:tcW w:w="520" w:type="dxa"/>
            <w:vAlign w:val="bottom"/>
          </w:tcPr>
          <w:p>
            <w:pPr>
              <w:spacing w:after="0"/>
              <w:rPr>
                <w:sz w:val="24"/>
                <w:szCs w:val="24"/>
                <w:color w:val="auto"/>
              </w:rPr>
            </w:pPr>
          </w:p>
        </w:tc>
        <w:tc>
          <w:tcPr>
            <w:tcW w:w="54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ARTICLE 9</w:t>
            </w:r>
          </w:p>
        </w:tc>
        <w:tc>
          <w:tcPr>
            <w:tcW w:w="32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54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TERMINATION OF EMPLOYMENT</w:t>
            </w:r>
          </w:p>
        </w:tc>
        <w:tc>
          <w:tcPr>
            <w:tcW w:w="320" w:type="dxa"/>
            <w:vAlign w:val="bottom"/>
          </w:tcPr>
          <w:p>
            <w:pPr>
              <w:spacing w:after="0"/>
              <w:rPr>
                <w:sz w:val="17"/>
                <w:szCs w:val="17"/>
                <w:color w:val="auto"/>
              </w:rPr>
            </w:pPr>
          </w:p>
        </w:tc>
      </w:tr>
      <w:tr>
        <w:trPr>
          <w:trHeight w:val="405"/>
        </w:trPr>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w w:val="99"/>
              </w:rPr>
              <w:t>Exercise after Termination of Employment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Total Disability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608"/>
        </w:trPr>
        <w:tc>
          <w:tcPr>
            <w:tcW w:w="520" w:type="dxa"/>
            <w:vAlign w:val="bottom"/>
          </w:tcPr>
          <w:p>
            <w:pPr>
              <w:spacing w:after="0"/>
              <w:rPr>
                <w:sz w:val="24"/>
                <w:szCs w:val="24"/>
                <w:color w:val="auto"/>
              </w:rPr>
            </w:pPr>
          </w:p>
        </w:tc>
        <w:tc>
          <w:tcPr>
            <w:tcW w:w="54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3</w:t>
            </w:r>
          </w:p>
        </w:tc>
        <w:tc>
          <w:tcPr>
            <w:tcW w:w="320" w:type="dxa"/>
            <w:vAlign w:val="bottom"/>
          </w:tcPr>
          <w:p>
            <w:pPr>
              <w:spacing w:after="0"/>
              <w:rPr>
                <w:sz w:val="24"/>
                <w:szCs w:val="24"/>
                <w:color w:val="auto"/>
              </w:rPr>
            </w:pPr>
          </w:p>
        </w:tc>
      </w:tr>
    </w:tbl>
    <w:p>
      <w:pPr>
        <w:sectPr>
          <w:pgSz w:w="11900" w:h="16838" w:orient="portrait"/>
          <w:cols w:equalWidth="0" w:num="1">
            <w:col w:w="9899"/>
          </w:cols>
          <w:pgMar w:left="56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DEATH OF ASSOCIATE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RESTRICTED SHARES</w:t>
      </w:r>
    </w:p>
    <w:p>
      <w:pPr>
        <w:spacing w:after="0" w:line="201" w:lineRule="exact"/>
        <w:rPr>
          <w:sz w:val="20"/>
          <w:szCs w:val="20"/>
          <w:color w:val="auto"/>
        </w:rPr>
      </w:pPr>
    </w:p>
    <w:p>
      <w:pPr>
        <w:ind w:left="640"/>
        <w:spacing w:after="0"/>
        <w:tabs>
          <w:tab w:leader="none" w:pos="1240" w:val="left"/>
          <w:tab w:leader="dot" w:pos="6620" w:val="left"/>
        </w:tabs>
        <w:rPr>
          <w:sz w:val="20"/>
          <w:szCs w:val="20"/>
          <w:color w:val="auto"/>
        </w:rPr>
      </w:pPr>
      <w:r>
        <w:rPr>
          <w:rFonts w:ascii="Courier New" w:cs="Courier New" w:eastAsia="Courier New" w:hAnsi="Courier New"/>
          <w:sz w:val="18"/>
          <w:szCs w:val="18"/>
          <w:color w:val="auto"/>
        </w:rPr>
        <w:t>11.1</w:t>
        <w:tab/>
        <w:t>Grant of Restricted Shares</w:t>
      </w:r>
      <w:r>
        <w:rPr>
          <w:sz w:val="20"/>
          <w:szCs w:val="20"/>
          <w:color w:val="auto"/>
        </w:rPr>
        <w:tab/>
      </w:r>
      <w:r>
        <w:rPr>
          <w:rFonts w:ascii="Courier New" w:cs="Courier New" w:eastAsia="Courier New" w:hAnsi="Courier New"/>
          <w:sz w:val="18"/>
          <w:szCs w:val="18"/>
          <w:color w:val="auto"/>
        </w:rPr>
        <w:t>13</w:t>
      </w:r>
    </w:p>
    <w:p>
      <w:pPr>
        <w:ind w:left="640"/>
        <w:spacing w:after="0" w:line="238"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11.2</w:t>
        <w:tab/>
        <w:t>Restrictions</w:t>
      </w:r>
      <w:r>
        <w:rPr>
          <w:sz w:val="20"/>
          <w:szCs w:val="20"/>
          <w:color w:val="auto"/>
        </w:rPr>
        <w:tab/>
      </w:r>
      <w:r>
        <w:rPr>
          <w:rFonts w:ascii="Courier New" w:cs="Courier New" w:eastAsia="Courier New" w:hAnsi="Courier New"/>
          <w:sz w:val="18"/>
          <w:szCs w:val="18"/>
          <w:color w:val="auto"/>
        </w:rPr>
        <w:t>14</w:t>
      </w:r>
    </w:p>
    <w:p>
      <w:pPr>
        <w:ind w:left="640"/>
        <w:spacing w:after="0"/>
        <w:tabs>
          <w:tab w:leader="none" w:pos="1240" w:val="left"/>
          <w:tab w:leader="dot" w:pos="6620" w:val="left"/>
        </w:tabs>
        <w:rPr>
          <w:sz w:val="20"/>
          <w:szCs w:val="20"/>
          <w:color w:val="auto"/>
        </w:rPr>
      </w:pPr>
      <w:r>
        <w:rPr>
          <w:rFonts w:ascii="Courier New" w:cs="Courier New" w:eastAsia="Courier New" w:hAnsi="Courier New"/>
          <w:sz w:val="18"/>
          <w:szCs w:val="18"/>
          <w:color w:val="auto"/>
        </w:rPr>
        <w:t>11.3</w:t>
        <w:tab/>
        <w:t>Restricted Stock Certificates</w:t>
      </w:r>
      <w:r>
        <w:rPr>
          <w:sz w:val="20"/>
          <w:szCs w:val="20"/>
          <w:color w:val="auto"/>
        </w:rPr>
        <w:tab/>
      </w:r>
      <w:r>
        <w:rPr>
          <w:rFonts w:ascii="Courier New" w:cs="Courier New" w:eastAsia="Courier New" w:hAnsi="Courier New"/>
          <w:sz w:val="18"/>
          <w:szCs w:val="18"/>
          <w:color w:val="auto"/>
        </w:rPr>
        <w:t>14</w:t>
      </w:r>
    </w:p>
    <w:p>
      <w:pPr>
        <w:ind w:left="640"/>
        <w:spacing w:after="0" w:line="237"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11.4</w:t>
        <w:tab/>
        <w:t>Rights of Holders of Restricted Shares</w:t>
      </w:r>
      <w:r>
        <w:rPr>
          <w:sz w:val="20"/>
          <w:szCs w:val="20"/>
          <w:color w:val="auto"/>
        </w:rPr>
        <w:tab/>
      </w:r>
      <w:r>
        <w:rPr>
          <w:rFonts w:ascii="Courier New" w:cs="Courier New" w:eastAsia="Courier New" w:hAnsi="Courier New"/>
          <w:sz w:val="18"/>
          <w:szCs w:val="18"/>
          <w:color w:val="auto"/>
        </w:rPr>
        <w:t>14</w:t>
      </w:r>
    </w:p>
    <w:p>
      <w:pPr>
        <w:ind w:left="640"/>
        <w:spacing w:after="0" w:line="238"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11.5</w:t>
        <w:tab/>
        <w:t>Forfeiture</w:t>
      </w:r>
      <w:r>
        <w:rPr>
          <w:sz w:val="20"/>
          <w:szCs w:val="20"/>
          <w:color w:val="auto"/>
        </w:rPr>
        <w:tab/>
      </w:r>
      <w:r>
        <w:rPr>
          <w:rFonts w:ascii="Courier New" w:cs="Courier New" w:eastAsia="Courier New" w:hAnsi="Courier New"/>
          <w:sz w:val="18"/>
          <w:szCs w:val="18"/>
          <w:color w:val="auto"/>
        </w:rPr>
        <w:t>14</w:t>
      </w:r>
    </w:p>
    <w:p>
      <w:pPr>
        <w:ind w:left="640"/>
        <w:spacing w:after="0"/>
        <w:tabs>
          <w:tab w:leader="none" w:pos="1240" w:val="left"/>
          <w:tab w:leader="dot" w:pos="6620" w:val="left"/>
        </w:tabs>
        <w:rPr>
          <w:sz w:val="20"/>
          <w:szCs w:val="20"/>
          <w:color w:val="auto"/>
        </w:rPr>
      </w:pPr>
      <w:r>
        <w:rPr>
          <w:rFonts w:ascii="Courier New" w:cs="Courier New" w:eastAsia="Courier New" w:hAnsi="Courier New"/>
          <w:sz w:val="18"/>
          <w:szCs w:val="18"/>
          <w:color w:val="auto"/>
        </w:rPr>
        <w:t>11.6</w:t>
        <w:tab/>
        <w:t>Delivery of Restricted Shares</w:t>
      </w:r>
      <w:r>
        <w:rPr>
          <w:sz w:val="20"/>
          <w:szCs w:val="20"/>
          <w:color w:val="auto"/>
        </w:rPr>
        <w:tab/>
      </w:r>
      <w:r>
        <w:rPr>
          <w:rFonts w:ascii="Courier New" w:cs="Courier New" w:eastAsia="Courier New" w:hAnsi="Courier New"/>
          <w:sz w:val="18"/>
          <w:szCs w:val="18"/>
          <w:color w:val="auto"/>
        </w:rPr>
        <w:t>14</w:t>
      </w:r>
    </w:p>
    <w:p>
      <w:pPr>
        <w:ind w:left="640"/>
        <w:spacing w:after="0" w:line="237"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11.7</w:t>
        <w:tab/>
        <w:t>Performance-Based Objectives</w:t>
      </w:r>
      <w:r>
        <w:rPr>
          <w:sz w:val="20"/>
          <w:szCs w:val="20"/>
          <w:color w:val="auto"/>
        </w:rPr>
        <w:tab/>
      </w: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PERFORMANCE SHARES</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240" w:val="left"/>
          <w:tab w:leader="dot" w:pos="6620" w:val="left"/>
        </w:tabs>
        <w:rPr>
          <w:sz w:val="20"/>
          <w:szCs w:val="20"/>
          <w:color w:val="auto"/>
        </w:rPr>
      </w:pPr>
      <w:r>
        <w:rPr>
          <w:rFonts w:ascii="Courier New" w:cs="Courier New" w:eastAsia="Courier New" w:hAnsi="Courier New"/>
          <w:sz w:val="18"/>
          <w:szCs w:val="18"/>
          <w:color w:val="auto"/>
        </w:rPr>
        <w:t>12.1</w:t>
        <w:tab/>
        <w:t>Award of Performance Shares</w:t>
      </w:r>
      <w:r>
        <w:rPr>
          <w:sz w:val="20"/>
          <w:szCs w:val="20"/>
          <w:color w:val="auto"/>
        </w:rPr>
        <w:tab/>
      </w:r>
      <w:r>
        <w:rPr>
          <w:rFonts w:ascii="Courier New" w:cs="Courier New" w:eastAsia="Courier New" w:hAnsi="Courier New"/>
          <w:sz w:val="18"/>
          <w:szCs w:val="18"/>
          <w:color w:val="auto"/>
        </w:rPr>
        <w:t>15</w:t>
      </w:r>
    </w:p>
    <w:p>
      <w:pPr>
        <w:ind w:left="640"/>
        <w:spacing w:after="0" w:line="238"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12.2</w:t>
        <w:tab/>
        <w:t>Performance Period</w:t>
      </w:r>
      <w:r>
        <w:rPr>
          <w:sz w:val="20"/>
          <w:szCs w:val="20"/>
          <w:color w:val="auto"/>
        </w:rPr>
        <w:tab/>
      </w:r>
      <w:r>
        <w:rPr>
          <w:rFonts w:ascii="Courier New" w:cs="Courier New" w:eastAsia="Courier New" w:hAnsi="Courier New"/>
          <w:sz w:val="18"/>
          <w:szCs w:val="18"/>
          <w:color w:val="auto"/>
        </w:rPr>
        <w:t>15</w:t>
      </w:r>
    </w:p>
    <w:p>
      <w:pPr>
        <w:ind w:left="640"/>
        <w:spacing w:after="0"/>
        <w:tabs>
          <w:tab w:leader="none" w:pos="1240" w:val="left"/>
          <w:tab w:leader="dot" w:pos="6620" w:val="left"/>
        </w:tabs>
        <w:rPr>
          <w:sz w:val="20"/>
          <w:szCs w:val="20"/>
          <w:color w:val="auto"/>
        </w:rPr>
      </w:pPr>
      <w:r>
        <w:rPr>
          <w:rFonts w:ascii="Courier New" w:cs="Courier New" w:eastAsia="Courier New" w:hAnsi="Courier New"/>
          <w:sz w:val="18"/>
          <w:szCs w:val="18"/>
          <w:color w:val="auto"/>
        </w:rPr>
        <w:t>12.3</w:t>
        <w:tab/>
        <w:t>Right to Payment of Performance Shares</w:t>
      </w:r>
      <w:r>
        <w:rPr>
          <w:sz w:val="20"/>
          <w:szCs w:val="20"/>
          <w:color w:val="auto"/>
        </w:rPr>
        <w:tab/>
      </w:r>
      <w:r>
        <w:rPr>
          <w:rFonts w:ascii="Courier New" w:cs="Courier New" w:eastAsia="Courier New" w:hAnsi="Courier New"/>
          <w:sz w:val="18"/>
          <w:szCs w:val="18"/>
          <w:color w:val="auto"/>
        </w:rPr>
        <w:t>15</w:t>
      </w:r>
    </w:p>
    <w:p>
      <w:pPr>
        <w:ind w:left="640"/>
        <w:spacing w:after="0" w:line="237"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12.4</w:t>
        <w:tab/>
        <w:t>Payment for Performance Shares</w:t>
      </w:r>
      <w:r>
        <w:rPr>
          <w:sz w:val="20"/>
          <w:szCs w:val="20"/>
          <w:color w:val="auto"/>
        </w:rPr>
        <w:tab/>
      </w:r>
      <w:r>
        <w:rPr>
          <w:rFonts w:ascii="Courier New" w:cs="Courier New" w:eastAsia="Courier New" w:hAnsi="Courier New"/>
          <w:sz w:val="18"/>
          <w:szCs w:val="18"/>
          <w:color w:val="auto"/>
        </w:rPr>
        <w:t>16</w:t>
      </w:r>
    </w:p>
    <w:p>
      <w:pPr>
        <w:ind w:left="640"/>
        <w:spacing w:after="0" w:line="238"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12.5</w:t>
        <w:tab/>
        <w:t>Voting and Divident Rights</w:t>
      </w:r>
      <w:r>
        <w:rPr>
          <w:sz w:val="20"/>
          <w:szCs w:val="20"/>
          <w:color w:val="auto"/>
        </w:rPr>
        <w:tab/>
      </w: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13</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PERFORMANCE UNITS</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240" w:val="left"/>
          <w:tab w:leader="dot" w:pos="6620" w:val="left"/>
        </w:tabs>
        <w:rPr>
          <w:sz w:val="20"/>
          <w:szCs w:val="20"/>
          <w:color w:val="auto"/>
        </w:rPr>
      </w:pPr>
      <w:r>
        <w:rPr>
          <w:rFonts w:ascii="Courier New" w:cs="Courier New" w:eastAsia="Courier New" w:hAnsi="Courier New"/>
          <w:sz w:val="18"/>
          <w:szCs w:val="18"/>
          <w:color w:val="auto"/>
        </w:rPr>
        <w:t>13.1</w:t>
        <w:tab/>
        <w:t>Award of Performance Units</w:t>
      </w:r>
      <w:r>
        <w:rPr>
          <w:sz w:val="20"/>
          <w:szCs w:val="20"/>
          <w:color w:val="auto"/>
        </w:rPr>
        <w:tab/>
      </w:r>
      <w:r>
        <w:rPr>
          <w:rFonts w:ascii="Courier New" w:cs="Courier New" w:eastAsia="Courier New" w:hAnsi="Courier New"/>
          <w:sz w:val="18"/>
          <w:szCs w:val="18"/>
          <w:color w:val="auto"/>
        </w:rPr>
        <w:t>16</w:t>
      </w:r>
    </w:p>
    <w:p>
      <w:pPr>
        <w:ind w:left="640"/>
        <w:spacing w:after="0" w:line="238"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13.2</w:t>
        <w:tab/>
        <w:t>Right to Payment of Performance Units</w:t>
      </w:r>
      <w:r>
        <w:rPr>
          <w:sz w:val="20"/>
          <w:szCs w:val="20"/>
          <w:color w:val="auto"/>
        </w:rPr>
        <w:tab/>
      </w:r>
      <w:r>
        <w:rPr>
          <w:rFonts w:ascii="Courier New" w:cs="Courier New" w:eastAsia="Courier New" w:hAnsi="Courier New"/>
          <w:sz w:val="18"/>
          <w:szCs w:val="18"/>
          <w:color w:val="auto"/>
        </w:rPr>
        <w:t>17</w:t>
      </w:r>
    </w:p>
    <w:p>
      <w:pPr>
        <w:ind w:left="640"/>
        <w:spacing w:after="0"/>
        <w:tabs>
          <w:tab w:leader="none" w:pos="1240" w:val="left"/>
          <w:tab w:leader="dot" w:pos="6620" w:val="left"/>
        </w:tabs>
        <w:rPr>
          <w:sz w:val="20"/>
          <w:szCs w:val="20"/>
          <w:color w:val="auto"/>
        </w:rPr>
      </w:pPr>
      <w:r>
        <w:rPr>
          <w:rFonts w:ascii="Courier New" w:cs="Courier New" w:eastAsia="Courier New" w:hAnsi="Courier New"/>
          <w:sz w:val="18"/>
          <w:szCs w:val="18"/>
          <w:color w:val="auto"/>
        </w:rPr>
        <w:t>13.3</w:t>
        <w:tab/>
        <w:t>Payment for Performance Units</w:t>
      </w:r>
      <w:r>
        <w:rPr>
          <w:sz w:val="20"/>
          <w:szCs w:val="20"/>
          <w:color w:val="auto"/>
        </w:rPr>
        <w:tab/>
      </w: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14</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UNRESTRICTED SHARES</w:t>
      </w:r>
    </w:p>
    <w:p>
      <w:pPr>
        <w:spacing w:after="0" w:line="201" w:lineRule="exact"/>
        <w:rPr>
          <w:sz w:val="20"/>
          <w:szCs w:val="20"/>
          <w:color w:val="auto"/>
        </w:rPr>
      </w:pPr>
    </w:p>
    <w:p>
      <w:pPr>
        <w:ind w:left="640"/>
        <w:spacing w:after="0"/>
        <w:tabs>
          <w:tab w:leader="none" w:pos="1240" w:val="left"/>
          <w:tab w:leader="dot" w:pos="6620" w:val="left"/>
        </w:tabs>
        <w:rPr>
          <w:sz w:val="20"/>
          <w:szCs w:val="20"/>
          <w:color w:val="auto"/>
        </w:rPr>
      </w:pPr>
      <w:r>
        <w:rPr>
          <w:rFonts w:ascii="Courier New" w:cs="Courier New" w:eastAsia="Courier New" w:hAnsi="Courier New"/>
          <w:sz w:val="18"/>
          <w:szCs w:val="18"/>
          <w:color w:val="auto"/>
        </w:rPr>
        <w:t>14.1</w:t>
        <w:tab/>
        <w:t>Award of Unrestricted Shares</w:t>
      </w:r>
      <w:r>
        <w:rPr>
          <w:sz w:val="20"/>
          <w:szCs w:val="20"/>
          <w:color w:val="auto"/>
        </w:rPr>
        <w:tab/>
      </w:r>
      <w:r>
        <w:rPr>
          <w:rFonts w:ascii="Courier New" w:cs="Courier New" w:eastAsia="Courier New" w:hAnsi="Courier New"/>
          <w:sz w:val="18"/>
          <w:szCs w:val="18"/>
          <w:color w:val="auto"/>
        </w:rPr>
        <w:t>18</w:t>
      </w:r>
    </w:p>
    <w:p>
      <w:pPr>
        <w:ind w:left="640"/>
        <w:spacing w:after="0" w:line="238" w:lineRule="auto"/>
        <w:tabs>
          <w:tab w:leader="none" w:pos="1240" w:val="left"/>
          <w:tab w:leader="dot" w:pos="6620" w:val="left"/>
        </w:tabs>
        <w:rPr>
          <w:sz w:val="20"/>
          <w:szCs w:val="20"/>
          <w:color w:val="auto"/>
        </w:rPr>
      </w:pPr>
      <w:r>
        <w:rPr>
          <w:rFonts w:ascii="Courier New" w:cs="Courier New" w:eastAsia="Courier New" w:hAnsi="Courier New"/>
          <w:sz w:val="18"/>
          <w:szCs w:val="18"/>
          <w:color w:val="auto"/>
        </w:rPr>
        <w:t>14.2</w:t>
        <w:tab/>
        <w:t>Delivery of Unrestricted Shares</w:t>
      </w:r>
      <w:r>
        <w:rPr>
          <w:sz w:val="20"/>
          <w:szCs w:val="20"/>
          <w:color w:val="auto"/>
        </w:rPr>
        <w:tab/>
      </w: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15</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TAX OFFSET PAYMENTS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16</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ADJUSTMENT UPON CHANGES IN CAPITALIZATION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17</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AMENDMENT AND TERMINATION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18</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WRITTEN AGREEMENT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19</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MISCELLANEOUS PROVISIONS</w:t>
      </w:r>
    </w:p>
    <w:p>
      <w:pPr>
        <w:spacing w:after="0" w:line="201" w:lineRule="exact"/>
        <w:rPr>
          <w:sz w:val="20"/>
          <w:szCs w:val="20"/>
          <w:color w:val="auto"/>
        </w:rPr>
      </w:pPr>
    </w:p>
    <w:p>
      <w:pPr>
        <w:ind w:left="640"/>
        <w:spacing w:after="0"/>
        <w:tabs>
          <w:tab w:leader="none" w:pos="1240" w:val="left"/>
          <w:tab w:leader="dot" w:pos="6940" w:val="left"/>
        </w:tabs>
        <w:rPr>
          <w:sz w:val="20"/>
          <w:szCs w:val="20"/>
          <w:color w:val="auto"/>
        </w:rPr>
      </w:pPr>
      <w:r>
        <w:rPr>
          <w:rFonts w:ascii="Courier New" w:cs="Courier New" w:eastAsia="Courier New" w:hAnsi="Courier New"/>
          <w:sz w:val="18"/>
          <w:szCs w:val="18"/>
          <w:color w:val="auto"/>
        </w:rPr>
        <w:t>19.1</w:t>
        <w:tab/>
        <w:t>Fair Market Value</w:t>
      </w:r>
      <w:r>
        <w:rPr>
          <w:sz w:val="20"/>
          <w:szCs w:val="20"/>
          <w:color w:val="auto"/>
        </w:rPr>
        <w:tab/>
      </w:r>
      <w:r>
        <w:rPr>
          <w:rFonts w:ascii="Courier New" w:cs="Courier New" w:eastAsia="Courier New" w:hAnsi="Courier New"/>
          <w:sz w:val="16"/>
          <w:szCs w:val="16"/>
          <w:color w:val="auto"/>
        </w:rPr>
        <w:t>20</w:t>
      </w:r>
    </w:p>
    <w:p>
      <w:pPr>
        <w:ind w:left="640"/>
        <w:spacing w:after="0"/>
        <w:tabs>
          <w:tab w:leader="none" w:pos="1240" w:val="left"/>
          <w:tab w:leader="dot" w:pos="6940" w:val="left"/>
        </w:tabs>
        <w:rPr>
          <w:sz w:val="20"/>
          <w:szCs w:val="20"/>
          <w:color w:val="auto"/>
        </w:rPr>
      </w:pPr>
      <w:r>
        <w:rPr>
          <w:rFonts w:ascii="Courier New" w:cs="Courier New" w:eastAsia="Courier New" w:hAnsi="Courier New"/>
          <w:sz w:val="18"/>
          <w:szCs w:val="18"/>
          <w:color w:val="auto"/>
        </w:rPr>
        <w:t>19.2</w:t>
        <w:tab/>
        <w:t>Tax Withholding</w:t>
      </w:r>
      <w:r>
        <w:rPr>
          <w:sz w:val="20"/>
          <w:szCs w:val="20"/>
          <w:color w:val="auto"/>
        </w:rPr>
        <w:tab/>
      </w:r>
      <w:r>
        <w:rPr>
          <w:rFonts w:ascii="Courier New" w:cs="Courier New" w:eastAsia="Courier New" w:hAnsi="Courier New"/>
          <w:sz w:val="16"/>
          <w:szCs w:val="16"/>
          <w:color w:val="auto"/>
        </w:rPr>
        <w:t>20</w:t>
      </w:r>
    </w:p>
    <w:p>
      <w:pPr>
        <w:ind w:left="640"/>
        <w:spacing w:after="0"/>
        <w:tabs>
          <w:tab w:leader="none" w:pos="1240" w:val="left"/>
          <w:tab w:leader="none" w:pos="6940" w:val="left"/>
        </w:tabs>
        <w:rPr>
          <w:sz w:val="20"/>
          <w:szCs w:val="20"/>
          <w:color w:val="auto"/>
        </w:rPr>
      </w:pPr>
      <w:r>
        <w:rPr>
          <w:rFonts w:ascii="Courier New" w:cs="Courier New" w:eastAsia="Courier New" w:hAnsi="Courier New"/>
          <w:sz w:val="18"/>
          <w:szCs w:val="18"/>
          <w:color w:val="auto"/>
        </w:rPr>
        <w:t>19.3</w:t>
        <w:tab/>
        <w:t>Compliance With Section 16(b) and Section 162(m) ..</w:t>
      </w:r>
      <w:r>
        <w:rPr>
          <w:sz w:val="20"/>
          <w:szCs w:val="20"/>
          <w:color w:val="auto"/>
        </w:rPr>
        <w:tab/>
      </w:r>
      <w:r>
        <w:rPr>
          <w:rFonts w:ascii="Courier New" w:cs="Courier New" w:eastAsia="Courier New" w:hAnsi="Courier New"/>
          <w:sz w:val="16"/>
          <w:szCs w:val="16"/>
          <w:color w:val="auto"/>
        </w:rPr>
        <w:t>20</w:t>
      </w:r>
    </w:p>
    <w:p>
      <w:pPr>
        <w:ind w:left="640"/>
        <w:spacing w:after="0"/>
        <w:tabs>
          <w:tab w:leader="none" w:pos="1240" w:val="left"/>
          <w:tab w:leader="dot" w:pos="6940" w:val="left"/>
        </w:tabs>
        <w:rPr>
          <w:sz w:val="20"/>
          <w:szCs w:val="20"/>
          <w:color w:val="auto"/>
        </w:rPr>
      </w:pPr>
      <w:r>
        <w:rPr>
          <w:rFonts w:ascii="Courier New" w:cs="Courier New" w:eastAsia="Courier New" w:hAnsi="Courier New"/>
          <w:sz w:val="18"/>
          <w:szCs w:val="18"/>
          <w:color w:val="auto"/>
        </w:rPr>
        <w:t>19.4</w:t>
        <w:tab/>
        <w:t>Successors</w:t>
      </w:r>
      <w:r>
        <w:rPr>
          <w:sz w:val="20"/>
          <w:szCs w:val="20"/>
          <w:color w:val="auto"/>
        </w:rPr>
        <w:tab/>
      </w:r>
      <w:r>
        <w:rPr>
          <w:rFonts w:ascii="Courier New" w:cs="Courier New" w:eastAsia="Courier New" w:hAnsi="Courier New"/>
          <w:sz w:val="16"/>
          <w:szCs w:val="16"/>
          <w:color w:val="auto"/>
        </w:rPr>
        <w:t>21</w:t>
      </w:r>
    </w:p>
    <w:p>
      <w:pPr>
        <w:ind w:left="640"/>
        <w:spacing w:after="0"/>
        <w:tabs>
          <w:tab w:leader="none" w:pos="1240" w:val="left"/>
          <w:tab w:leader="dot" w:pos="6940" w:val="left"/>
        </w:tabs>
        <w:rPr>
          <w:sz w:val="20"/>
          <w:szCs w:val="20"/>
          <w:color w:val="auto"/>
        </w:rPr>
      </w:pPr>
      <w:r>
        <w:rPr>
          <w:rFonts w:ascii="Courier New" w:cs="Courier New" w:eastAsia="Courier New" w:hAnsi="Courier New"/>
          <w:sz w:val="18"/>
          <w:szCs w:val="18"/>
          <w:color w:val="auto"/>
        </w:rPr>
        <w:t>19.5</w:t>
        <w:tab/>
        <w:t>General Creditor Status</w:t>
      </w:r>
      <w:r>
        <w:rPr>
          <w:sz w:val="20"/>
          <w:szCs w:val="20"/>
          <w:color w:val="auto"/>
        </w:rPr>
        <w:tab/>
      </w:r>
      <w:r>
        <w:rPr>
          <w:rFonts w:ascii="Courier New" w:cs="Courier New" w:eastAsia="Courier New" w:hAnsi="Courier New"/>
          <w:sz w:val="16"/>
          <w:szCs w:val="16"/>
          <w:color w:val="auto"/>
        </w:rPr>
        <w:t>21</w:t>
      </w:r>
    </w:p>
    <w:p>
      <w:pPr>
        <w:ind w:left="640"/>
        <w:spacing w:after="0"/>
        <w:tabs>
          <w:tab w:leader="none" w:pos="1240" w:val="left"/>
          <w:tab w:leader="dot" w:pos="6940" w:val="left"/>
        </w:tabs>
        <w:rPr>
          <w:sz w:val="20"/>
          <w:szCs w:val="20"/>
          <w:color w:val="auto"/>
        </w:rPr>
      </w:pPr>
      <w:r>
        <w:rPr>
          <w:rFonts w:ascii="Courier New" w:cs="Courier New" w:eastAsia="Courier New" w:hAnsi="Courier New"/>
          <w:sz w:val="18"/>
          <w:szCs w:val="18"/>
          <w:color w:val="auto"/>
        </w:rPr>
        <w:t>19.6</w:t>
        <w:tab/>
        <w:t>No Right to Employment</w:t>
      </w:r>
      <w:r>
        <w:rPr>
          <w:sz w:val="20"/>
          <w:szCs w:val="20"/>
          <w:color w:val="auto"/>
        </w:rPr>
        <w:tab/>
      </w:r>
      <w:r>
        <w:rPr>
          <w:rFonts w:ascii="Courier New" w:cs="Courier New" w:eastAsia="Courier New" w:hAnsi="Courier New"/>
          <w:sz w:val="16"/>
          <w:szCs w:val="16"/>
          <w:color w:val="auto"/>
        </w:rPr>
        <w:t>21</w:t>
      </w:r>
    </w:p>
    <w:p>
      <w:pPr>
        <w:ind w:left="640"/>
        <w:spacing w:after="0"/>
        <w:tabs>
          <w:tab w:leader="none" w:pos="1240" w:val="left"/>
          <w:tab w:leader="dot" w:pos="6940" w:val="left"/>
        </w:tabs>
        <w:rPr>
          <w:sz w:val="20"/>
          <w:szCs w:val="20"/>
          <w:color w:val="auto"/>
        </w:rPr>
      </w:pPr>
      <w:r>
        <w:rPr>
          <w:rFonts w:ascii="Courier New" w:cs="Courier New" w:eastAsia="Courier New" w:hAnsi="Courier New"/>
          <w:sz w:val="18"/>
          <w:szCs w:val="18"/>
          <w:color w:val="auto"/>
        </w:rPr>
        <w:t>19.7</w:t>
        <w:tab/>
        <w:t>Notices</w:t>
      </w:r>
      <w:r>
        <w:rPr>
          <w:sz w:val="20"/>
          <w:szCs w:val="20"/>
          <w:color w:val="auto"/>
        </w:rPr>
        <w:tab/>
      </w:r>
      <w:r>
        <w:rPr>
          <w:rFonts w:ascii="Courier New" w:cs="Courier New" w:eastAsia="Courier New" w:hAnsi="Courier New"/>
          <w:sz w:val="16"/>
          <w:szCs w:val="16"/>
          <w:color w:val="auto"/>
        </w:rPr>
        <w:t>21</w:t>
      </w:r>
    </w:p>
    <w:p>
      <w:pPr>
        <w:ind w:left="640"/>
        <w:spacing w:after="0"/>
        <w:tabs>
          <w:tab w:leader="none" w:pos="1240" w:val="left"/>
          <w:tab w:leader="dot" w:pos="6940" w:val="left"/>
        </w:tabs>
        <w:rPr>
          <w:sz w:val="20"/>
          <w:szCs w:val="20"/>
          <w:color w:val="auto"/>
        </w:rPr>
      </w:pPr>
      <w:r>
        <w:rPr>
          <w:rFonts w:ascii="Courier New" w:cs="Courier New" w:eastAsia="Courier New" w:hAnsi="Courier New"/>
          <w:sz w:val="18"/>
          <w:szCs w:val="18"/>
          <w:color w:val="auto"/>
        </w:rPr>
        <w:t>19.8</w:t>
        <w:tab/>
        <w:t>Severability</w:t>
      </w:r>
      <w:r>
        <w:rPr>
          <w:sz w:val="20"/>
          <w:szCs w:val="20"/>
          <w:color w:val="auto"/>
        </w:rPr>
        <w:tab/>
      </w:r>
      <w:r>
        <w:rPr>
          <w:rFonts w:ascii="Courier New" w:cs="Courier New" w:eastAsia="Courier New" w:hAnsi="Courier New"/>
          <w:sz w:val="16"/>
          <w:szCs w:val="16"/>
          <w:color w:val="auto"/>
        </w:rPr>
        <w:t>21</w:t>
      </w:r>
    </w:p>
    <w:p>
      <w:pPr>
        <w:ind w:left="640"/>
        <w:spacing w:after="0"/>
        <w:tabs>
          <w:tab w:leader="none" w:pos="1240" w:val="left"/>
          <w:tab w:leader="dot" w:pos="6940" w:val="left"/>
        </w:tabs>
        <w:rPr>
          <w:sz w:val="20"/>
          <w:szCs w:val="20"/>
          <w:color w:val="auto"/>
        </w:rPr>
      </w:pPr>
      <w:r>
        <w:rPr>
          <w:rFonts w:ascii="Courier New" w:cs="Courier New" w:eastAsia="Courier New" w:hAnsi="Courier New"/>
          <w:sz w:val="18"/>
          <w:szCs w:val="18"/>
          <w:color w:val="auto"/>
        </w:rPr>
        <w:t>19.9</w:t>
        <w:tab/>
        <w:t>Governing Law</w:t>
      </w:r>
      <w:r>
        <w:rPr>
          <w:sz w:val="20"/>
          <w:szCs w:val="20"/>
          <w:color w:val="auto"/>
        </w:rPr>
        <w:tab/>
      </w:r>
      <w:r>
        <w:rPr>
          <w:rFonts w:ascii="Courier New" w:cs="Courier New" w:eastAsia="Courier New" w:hAnsi="Courier New"/>
          <w:sz w:val="16"/>
          <w:szCs w:val="16"/>
          <w:color w:val="auto"/>
        </w:rPr>
        <w:t>21</w:t>
      </w:r>
    </w:p>
    <w:p>
      <w:pPr>
        <w:ind w:left="640"/>
        <w:spacing w:after="0"/>
        <w:tabs>
          <w:tab w:leader="dot" w:pos="6940" w:val="left"/>
        </w:tabs>
        <w:rPr>
          <w:sz w:val="20"/>
          <w:szCs w:val="20"/>
          <w:color w:val="auto"/>
        </w:rPr>
      </w:pPr>
      <w:r>
        <w:rPr>
          <w:rFonts w:ascii="Courier New" w:cs="Courier New" w:eastAsia="Courier New" w:hAnsi="Courier New"/>
          <w:sz w:val="18"/>
          <w:szCs w:val="18"/>
          <w:color w:val="auto"/>
        </w:rPr>
        <w:t>19.10 Term of Plan</w:t>
      </w:r>
      <w:r>
        <w:rPr>
          <w:sz w:val="20"/>
          <w:szCs w:val="20"/>
          <w:color w:val="auto"/>
        </w:rPr>
        <w:tab/>
      </w: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ABERCROMBIE &amp; FITCH CO.</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1996 STOCK OPTION AND PERFORMANCE INCENTIVE PIAN</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ESTABLISHMENT AND PURPOSE</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 ESTABLISHMENT AND EFFECTIVE DATE. Abercrombie &amp; Fitch, a Delaware corporation (the "Company"), hereby establishes a stock incentive plan to be known as the "Abercrombie &amp; Fitch 1996 Stock Option and Performance Incentive Plan" (the "Plan"). The Plan shall become effective on the effective date of the initial public offering of the Company's Class A Common Stock, par value $.01 per share ("Common Stock"), subject to the consummation of such initial public offering. Upon approval of the Plan by the Board of Directors of the Company (the "Board"), awards may be made as provided herein, subject to such consummation. In the event that such public offering is not consummated, any such awards shall be cancelled and all rights of associates with respect to such awards shall thereupon cease.</w:t>
      </w:r>
    </w:p>
    <w:p>
      <w:pPr>
        <w:spacing w:after="0" w:line="216"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1.2 PURPOSE. The Company desires to attract and retain the best available executive and key management associates for itself and its subsidiaries and to encourage the highest level of performance by such associates in order to serve the best interests of the Company and its stockholders. The Plan is expected to contribute to the attainment of these objectives by offering eligible associates the opportunity to acquire stock ownership interests in the Company, and other rights with respect to stock of the Company, and to thereby provide them with incentives to put forth maximum efforts for the success of the Company and its subsidiaries.</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AWARDS</w:t>
      </w:r>
    </w:p>
    <w:p>
      <w:pPr>
        <w:spacing w:after="0" w:line="207" w:lineRule="exact"/>
        <w:rPr>
          <w:sz w:val="20"/>
          <w:szCs w:val="20"/>
          <w:color w:val="auto"/>
        </w:rPr>
      </w:pPr>
    </w:p>
    <w:p>
      <w:pPr>
        <w:ind w:right="1999" w:firstLine="843"/>
        <w:spacing w:after="0" w:line="270" w:lineRule="auto"/>
        <w:rPr>
          <w:sz w:val="20"/>
          <w:szCs w:val="20"/>
          <w:color w:val="auto"/>
        </w:rPr>
      </w:pPr>
      <w:r>
        <w:rPr>
          <w:rFonts w:ascii="Courier New" w:cs="Courier New" w:eastAsia="Courier New" w:hAnsi="Courier New"/>
          <w:sz w:val="16"/>
          <w:szCs w:val="16"/>
          <w:color w:val="auto"/>
        </w:rPr>
        <w:t>2.1 FORM OF AWARDS. Awards under the Plan may be granted in any one or all of the following forms: (i) incentive stock options ("Incentive Stock Options") meeting the requirements of Section 422 of the Internal Revenue Code of 1986, as amended (the "Code"); (ii) nonstatutory stock options ("Nonstatutory Stock Options") (unless otherwise indicated, references in the Plan to Options shall include both Incentive Stock Options and Nonstatutory Stock Options); (iii) stock appreciation rights ("Stock Appreciation Rights"), as described in Article 7, which may be awarded either in tandem with Options ("Tandem Stock Appreciation Rights") or on a stand-alone basis ("Nontandem Stock Appreciation Rights"); (iv) shares of Common Stock which are restricted as provided in Article 11 ("Restricted Shares"); (v) units representing shares of Common Stock, as described in Article 12 ("Performance Shares"); (vi) units which do not represent shares of Common Stock</w:t>
      </w:r>
    </w:p>
    <w:p>
      <w:pPr>
        <w:spacing w:after="0" w:line="200" w:lineRule="exact"/>
        <w:rPr>
          <w:sz w:val="20"/>
          <w:szCs w:val="20"/>
          <w:color w:val="auto"/>
        </w:r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but which may be paid in the form of Common Stock, as described in Article 13 ("Performance Units"); (vii) shares of unrestricted Common Stock ("Unrestricted Shares") and (viii) tax offset payments ("Tax Offset Payments"), as described in Article 15.</w:t>
      </w:r>
    </w:p>
    <w:p>
      <w:pPr>
        <w:spacing w:after="0" w:line="207"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2.2 MINIMUM SHARES AVAILABLE. The maximum aggregate number of shares of Common Stock available for award under the Plan, including shares of Common Stock awarded as Tax Offset Payments, is 3,500,000 subject to adjustment pursuant to Article 16. Shares of Common Stock issued pursuant to the Plan may be either authorized but unissued shares or issued shares reacquired by the Company. In the event that prior to the end of the period during which Options may be granted under the Plan, any Option or any Nontandem Stock Appreciation Right under the Plan expires unexercised or is terminated, surrendered or cancelled (other than in connection with the exercise of a Stock Appreciation Right) without being exercised in whole or in part for any reason, or any Restricted Shares, Performance Shares or Performance Units are forfeited, or if such awards are settled in cash in lieu of shares of Common Stock, then such shares or units may, at the discretion of the Committee to the extent permissible under Rule 16b-3 under the Security Enchange Act of 1934 (the "Act"), be made available for subsequent awards under the Plan, upon such terms as the Committee may determine.</w:t>
      </w:r>
    </w:p>
    <w:p>
      <w:pPr>
        <w:spacing w:after="0" w:line="200" w:lineRule="exact"/>
        <w:rPr>
          <w:sz w:val="20"/>
          <w:szCs w:val="20"/>
          <w:color w:val="auto"/>
        </w:rPr>
      </w:pPr>
    </w:p>
    <w:p>
      <w:pPr>
        <w:spacing w:after="0" w:line="38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2.3 RETURN OF PRIOR AWARDS. As a condition to any subsequent award, the Committe shall have the right, at its discretion, to require associates to return to the Company awards previously granted under this Plan. Subject to the provisions of this Plan, such new award shall be upon such terms and conditions as are specified by the Committee at the time the new award is granted to the extent permitted by Rule 16b-3 under the Act.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3.1 COMMITTEE. The Plan shall be administered by a Committee (the "Committee") appointed by the Board and consisting of not less than two (2) members of the Board. Each member of the Committee shall be an "outside director" (within the meaning of Section 162(m) of the Code) and a "non-employee director" (within the meaning of Rule 16b-3(b)(3)(i) under the Act).</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3.2 POWERS OF COMMITTEE. Subject to the express provisions of the Plan, the Committee shall have the power and authority (i) to grant Options and to determine the purchase price of the Common Stock covered by each Option, the term of each Option, the number of shares of Common Stock to be covered by each Option and any performance objectives or vesting standards applicable to each Option, (ii) to designate Options as Incentive Stock Options or Nonstatutory Stock Options and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determine which Options, if any shall be accompanied by Tandem Stock Appreciation Rights; (iii) to grant Tandem Stock Appreciation Rights and Nontandem Stock Appreciation Rights and to determine the terms and conditions of such rights; (iv) to grant Restricted Shares and to determine the term of the restricted period and other conditions and restrictions applicable to such shares; (v) to grant Performance Shares and Performance Units and to determine the performance objectives, performance periods and other conditions applicable to such shares or units; (vi) to grant Unrestricted Shares; (vii) to determine the amount</w:t>
      </w:r>
    </w:p>
    <w:p>
      <w:pPr>
        <w:spacing w:after="0" w:line="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of, and to make, Tax Offset Payments; and (viii) to determine the associates to whom, and the time or times at which, Options, Stock Appreciation Rights, Restricted Shares, Performance Shares, Performance Units and Unrestricted Shares shall be granted.</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3.3 DELEGATION. The Committee may delegate to one or more of its members or to any other person or persons such ministerial duties as it may deem advisable; provided, however, that the Committee may not delegate any of its responsibilities hereunder if such delegation will cause (i) transactions under the Plan to fail to comply with Section 16 of the Act or (ii) the Committee to fail to qualify as "outside directors" under Section 162(m) of the Code. The Committee may also employ attorneys, consultants, accounts or other professional advisors and shall be entitled to rely upon the advice, opinions or valuations of any such advisors.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3.4 INTERPRETATIONS. The Committee shall have sole discretionary authority to interpret the terms of the Plan, to adopt and revise rules, regulations and policies to administer the Plan and to make any other factual determinations which it believes to be necessary or advisable for the administration of the Plan. All actions taken and interpretations and determinations made by the Committee in good faith shall be final and binding upon the Company, all associates who have received awards under the Plan and all other interested persons.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3.5 LIABILITY: INDEMNIFICATION. No member of the Committee, nor any associate to whom ministerial duties have been delegated, shall be personally liable for any action, interpretation or determination made with respect to the Plan or awards made thereunder, and each member of the Committee shall be fully indemnified and protected by the Company with respect to any liability he or she may incur with respect to any such action, interpretation or determination, to the extent permitted by applicable law and to the extent provided in the Company's Certificate of Incorporation and Bylaws,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Awards shall be limited to executive and key management associates who are regular, full-time associates of the Company, its present and future subsidiaries, its parent and subsidiaries thereof. In determining the associates to whom awards shall be granted and the number of shares to be covered by each award, the Committee shall take into account the nature of the services rendered by such associates, their present and potential contributions to the success of the Company and its subsidiaries and such other factors as the Committee in its sole discretion shall deem relevant. As used in this Plan, the term "subsidiary" shall mean any corporation which at the time qualifies as a subsidiary of the Company under the definition of "subsidiary corporation" set forth in Section 424(f) of the Code, or any successor provision hereafter enacted. No associate may be granted in any calendar year awards covering more than 400,000 shares of Common Stock.</w:t>
      </w:r>
    </w:p>
    <w:p>
      <w:pPr>
        <w:spacing w:after="0" w:line="20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5.1 GRANT OF OPTIONS. Options may be granted under this Plan for the purchase of shares of Common Stock. Options shall be granted in such form and upon such terms and conditions, including the satisfaction of corporate or individual performance objectives and other vesting standards, as the Committee shall from time to time determine.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5.2 OPTION PRICE. The option price of each Option to purchase Common Stock shall be determined by the Committee at the time of grant, but shall not be less than 100 percent of the fair market value of the Common Stock subject to such Option on the date of grant. The option price so determined shall also be applicable in connection with the exercise of any Tandem Stock Appreciation Right granted with respect to such option.</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5.3 TERM OF OPTIONS. The term of each Nonstatutory Stock Option granted under the Plan shall not exceed ten (10) years and one day from the date of grant, subject to earlier termination as provided in Articles 9 and 10. Except as otherwise provided in Section 6.1 with respect to ten (10) percent stockholders of the Company, the term of each Incentive Stock Option shall not exceed ten (10) years from the date of grant, subject to earlier termination as provided in Articles 9 and 10.</w:t>
      </w:r>
    </w:p>
    <w:p>
      <w:pPr>
        <w:spacing w:after="0" w:line="211"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5.4 EXERCISE OF OPTIONS. An Option may be exercised, in whole or in part, at such time or times as the Committee shall determine. The Committee may, in its discretion, accelerate the excercisability of any Option at any time. Options may be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exercised by an associate by giving written notice to the committee stating the number of shares of Common Stock with respect to which the Option is being exercised and tendering payment therefor. Payment for the Common Stock issuable upon exercise of the Option shall be made in full in cash, or by certified check or, if the Committee, in its sole discretion, permits, in shares of Common Stock (valued at fair market value on the date of exercise). As soon as reasonably practicable following such exercise, a certificate representing the shares of Common Stock purchased, registered in the name of the associate, shall be delivered to the associate. Notwithstanding the foregoing, an associate may not exercise an Option prior to the consummation of the initial public offering referred to in Section 1.1 hereof.</w:t>
      </w:r>
    </w:p>
    <w:p>
      <w:pPr>
        <w:spacing w:after="0" w:line="216"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5.5 CANCELLATION OF STOCK APPRECIATION RIGHTS. Upon exercise of all or a portion of an Option, the related Tandem Stock Appreciation Rights shall be cancelled with respect to an equal number of shares of Common Stock.</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SPECIAL RULES APPLICABLE TO INCENTIVE STOCK OPTIONS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6.1 TEN PERCENT STOCKHOLDER. Notwithstanding any other provision of this Plan to the contrary, no associate may receive an Incentive Stock Option under the Plan if such associate, at the time the award is granted, owns (after application of the rules contained in Section 424(d) for the Code) stock possessing more than ten (10) percent of the total combined voting power of all classes of stock of the Company or its subsidiaries, unless (i) the option price for such Incentive Stock Option is at least 110 percent of the fair market value of the Common Stock subject to such Incentive Stock Option on the date of grant and (ii) such Option is not exercisable after the date five (5) years from the date such Incentive Stock Option is granted.</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6.2 LIMITATION ON GRANTS. The aggregate fair market value (determined with respect to each Incentive Stock Option at the time such Incentive Stock Option is granted) of the shares of Common Stock with respect to which Incentive Stock Options are exercisable for the first time by an associate during any calendar year (under this Plan or any other plan of the Company or a subsidiary) shall not exceed $100,000.</w:t>
      </w:r>
    </w:p>
    <w:p>
      <w:pPr>
        <w:spacing w:after="0" w:line="210"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6.3 LIMITATIONS ON TIME OF GRANTS. No grant of an Incentive Stock Option shall be made under this Plan after the termination date set forth in Section 19.10 hereof.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11</w:t>
      </w:r>
    </w:p>
    <w:p>
      <w:pPr>
        <w:jc w:val="center"/>
        <w:ind w:right="2099"/>
        <w:spacing w:after="0" w:line="238" w:lineRule="auto"/>
        <w:rPr>
          <w:sz w:val="20"/>
          <w:szCs w:val="20"/>
          <w:color w:val="auto"/>
        </w:rPr>
      </w:pPr>
      <w:r>
        <w:rPr>
          <w:rFonts w:ascii="Courier New" w:cs="Courier New" w:eastAsia="Courier New" w:hAnsi="Courier New"/>
          <w:sz w:val="18"/>
          <w:szCs w:val="18"/>
          <w:color w:val="auto"/>
        </w:rPr>
        <w:t>ARTICLE 7</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APPRECIATION RIGHTS</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7.1 GRANTS OF STOCK APPRECIATION RIGHTS. Tandem Stock Appreciation Rights may be awarded by the Committee in connection with any Option granted under the Plan, either at the time the Option is granted or thereafter at any time prior to the exercise, termination or expiration of the Option. Nontandem Stock Appreciation Rights may also be granted by the Committee at any time. At the time of grant of a Nontandem Stock Appreciation Right, the Committee shall specify the number of shares of Common Stock covered by such right and the base price of shares of Common Stock to be used in connection with the calculation described in Section 7.4 below. The base price of a Nontandem Stock Appreciation Right Shall be not less than 100 percent of the fair market value of a share of Common Stock on the date of grant. Stock Appreciation Rights shall be subject to such terms and conditions not inconsistent with the other provisions of this Plan as the Committee shall determine.</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7.2 LIMITATIONS ON EXERCISE. A Tandem Stock Appreciation Right shall be exercisable only to the extent that the related Option is exercisable and shall be exercisable only for such period as the Committee may determine (which period may expire prior to the expiration date of the related Option). Upon the exercise of all or a portion of Tandem Stock Appreciation Rights, the related Option shall be cancelled with respect to an equal number of shares of Common Stock. Shares of Common Stock subject to Options or portions thereof, surrendered upon exercise of a Tandem Stock Appreciation Right, shall not be available for subsequent awards under the Plan. A Nontandem Stock Appreciation Right shall be exercisable during such period as the Committee shall determine.</w:t>
      </w:r>
    </w:p>
    <w:p>
      <w:pPr>
        <w:spacing w:after="0" w:line="18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7.3 SURRENDER OR EXCHANGE OF TANDEM STOCK APPRECIATION RIGHTS. A Tandem Stock Appreciation Right shall entitle the associate to surrender to the Company unexercised the related Option, or any portion thereof, and to receive from the Company in exchange therefor that number of shares of Common Stock having an aggregate fair market value equal to (A) the excess of (i) the fair market value of one (1) share of Common Stock as of the date the Tandem Stock Appreciation Right is exercised over (ii) the option price per share specified in such Option, multiplied by (B) the number of shares of Common Stock subject to the Option, or portion thereof, which is surrendered. Cash shall be delivered in lieu of any fractional shares.</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7.4 EXERCISE OF NONTANDEM STOCK APPRECIATION RIGHTS. The exercise of a Nontandem Stock Appreciation Right shall entitle the associate to receive from the Company that number of shares of Common Stock having an aggregate fair market value equal to (A) the excess of (i) the fair market value of one (1) share of Common Stock as of the date on which the Nontandem Stock Appreciation Right is exercised over (ii) the base price of the shares covered by the Nontandem Stock Appreciation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Right, multiplied by (B) the number of shares of Common Stock covered by the Nontandem Stock Appreciation Right, or the portion thereof being exercised. Cash shall be delivered in lieu of any fractional shares.</w:t>
      </w:r>
    </w:p>
    <w:p>
      <w:pPr>
        <w:spacing w:after="0" w:line="209"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7.5 SETTLEMENT OF STOCK APPRECIATION RIGHTS. As soon as is reasonably practicable after the exercise of a Stock Appreciation Right, the Company shall</w:t>
      </w:r>
    </w:p>
    <w:p>
      <w:pPr>
        <w:ind w:right="1999" w:firstLine="8"/>
        <w:spacing w:after="0" w:line="271"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in the name of the associate, stock certificates representing the total number of full shares of Common Stock to which the associate is entitled pursuant to Section 7.3 or 7.4 hereof and cash in an amount equal to the fair market value, as of the date of exercise, of any resulting fractional shares, and (ii) if the Committee causes the Company to elect to settle all or part of its obligations arming out of the exercise of the Stock Appreciation Right in cash pursuant to Section 7.6, deliver to the associate an amount in cash equal to the fair market value, as of the date of exercise, of the shares of Common Stock it would otherwise be obligated to deliver.</w:t>
      </w:r>
    </w:p>
    <w:p>
      <w:pPr>
        <w:spacing w:after="0" w:line="388"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7.6 CASH SETTLEMENT. The Committee, in its discretion, may cause the Company to settle all or any part of its obligation arising out of the exercise of a Stock Appreciation Right by the payment of cash in lieu of all or part of the shares of Common Stock it would otherwise be obligated to deliver in an amount equal to the fair market value of such shares on the date of exercise.</w:t>
      </w:r>
    </w:p>
    <w:p>
      <w:pPr>
        <w:spacing w:after="0" w:line="38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NONTRANSFERABILITY OF OPTIONS AND STOCK APPRECIATION RIGHTS</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No Option or Stock Appreciation Right may be transferred, assigned, pledged or hypothecated (whether by operation of law or otherwise), except as provided by will or the applicable laws of descent and distribution, and no Option or Stock Appreciation Right shall be subject to execution, attachment or similar process. Any attempted assignment, transfer, pledge, hypothecation or other disposition of an Option or a Stock Appreciation Right not specifically permitted herein shall be null and void and without effect. An Option or Stock Appreciation Right may be exercised by an associate only during his or her lifetime, or following his or her death pursuant to Article l0.</w:t>
      </w:r>
    </w:p>
    <w:p>
      <w:pPr>
        <w:spacing w:after="0" w:line="38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TERMINATION OF EMPLOYMENT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9.1 EXERCISE AFTER TERMINATION OF EMPLOYMENT. In the event that the employment of an associate to whom an Option or Stock Appreciation Right has been granted under the Plan shall be terminated (for reasons other than death or total disability), such Option or Stock Appreciation Right may be exercised (to the extent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the associate was entitled to do so on the date of the termination</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of his employment) at any time within three (3) months after such termination of employment.</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9.2 TOTAL DISABILITY. In the event that an associate to whom an Option or Stock Appreciation Right has been granted under the Plan shall become totally disabled, such Option or Stock Appreciation Right may be exercised at any time during the first nine (9) months that the associate receives benefits under the VABCO Long-Term Disability Plan (the "Disability Plan") to the extent otherwise exercisable during such nine-month period. For purposes hereof, "total disability" shall have the definition set forth in the Disability Plan, which definition is hereby incorporated by reference.</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DEATH OF ASSOCIATE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If an associate to whom an Option or Stock Appreciation Right has been granted under the Plan shall die while employed by the Company or one of its subsidiaries or within three (3) months after the termination of such employment, such Option or Stock Appreciation Right may be exercised to the extent that the associate was entitled to do so at the time of his or her death, by the associate's estate or by the person who acquires the right to exercise such Option or Stock Appreciation Right upon his or her death by bequest or inheritance. Such exercise may occur at any time within one (1) year after the date of the associate's death, but in no case later than the date on which the Option or Stock Appreciation Right terminates.</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RESTRICTED SHARES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11.1 GRANT OF RESTRICTED SHARES. The Committee may from time to time cause the Company to grant Restricted Shares under the Plan to associates, subject to such restrictions, conditions and other terms as the Committee may determine.</w:t>
      </w:r>
    </w:p>
    <w:p>
      <w:pPr>
        <w:spacing w:after="0" w:line="207"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11.2 RESTRICTIONS. At the time a grant of Restricted Shares is made, the Committee shall establish a period of time (the "Restricted Period"). applicable to such Restricted Shares. Each grant of Restricted Shares may be subject to a different Restricted Period. The Committee may, in its sole discretion, at the time a grant is made, prescribe restrictions in addition to or other than the expiration of the Restricted Period, including the satisfaction of corporate or individual performance objectives as provided in Section 11.7, which may be applicable to all or any portion of the Restricted Shares. Except with respect to grants of Restricted Shares intended</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 qualify as performance-based compensation for purposes of Section 162(m) of the Code, the Committee may also, in its sole discretion, shorten or terminate the Restricted Period or waive any other restrictions applicable to all or a portion of such Restricted Shares. None of the Restricted Shares may be sold, transferred, assigned, pledged or otherwise encumbered or disposed of during the Rated Period or prior to the satisfaction of any other restrictions prescribed by the Committee with respect to such Restricted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11.3 RESTRICTED STOCK CERTIFICATES. The Company shall issue, in the name of each associate to whom Restricted Shares have been granted, stock certificates representing the total number of Restricted Shares granted to the associate, as soon as reasonably practicable after the grant. The Secretary of the Company shall hold such certificates, properly endorsed for transfer, for the associate's benefit until such time as the Restricted Shares are forfeited to the Company, or the restrictions lapse.</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11.4 RIGHTS OF HOLDERS OF RESTRICTED SHARES. Except as determined by the Committee either at the time Restricted Shares are awarded or at any time thereafter prior to the lapse of the restrictions, holders of Restricted Shares shall not have the right to vote such shares or the right to receive any dividends with respect to such shares. All distributions, if any, received by an associate with respect to Restricted Shares as a result of any stock split-up, stock distribution, a combination of shares, or other similar transaction shall be subject to the restrictions of this Article 11.</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11.5 FORFEITURE. Any restricted Shares granted to an associate pursuant to the Plan shall be forfeited if the associate terminates employment with the Company or its subsidiaries prior to the expiration or termination of the Restricted Period and the satisfaction of any other conditions applicable to such Restricted Shares. Upon such forfeiture, the Secretary of the Company shall either cancel or retain in its treasury the Restricted Shares that are forfeited to the Company. If the associate's employment terminates as a result of his or her death or total disability (as defined in Article 9), Restricted Shares of such associate shall be forfeited, unless the Committee, in its sole discretion, shall determine otherwise.</w:t>
      </w:r>
    </w:p>
    <w:p>
      <w:pPr>
        <w:spacing w:after="0" w:line="21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11.6 DELIVERY OF RESTRICTED SHARES. Upon the expiration or termination of the Restricted Period and the satisfaction of any other conditions prescribed by the Committee, the restrictions applicable to the Restricted Shares shall lapse and a stock certificate for the number of Restricted Shares with respect to which the restrictions have lapsed shall be delivered, free of all such restrictions, to the associate or the associate's beneficiary or estate, as the case may be.</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11.7 PERFORMANCE BASED-OBJECTIVES. At the time of the grant of Restricted Shares to an associate, and prior to the beginning of the performance period to which performance objectives relate, the Committee may establish performance objectives based on operating income and/or gross margin objectives of the Company or any subsidiary or division thereof. These objectives shall be based on an analysis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historical performance and growth expectations for the relevant business unit, financial results of other comparable businesses both inside and outside the Company, and progress towards achieving the long-range strategic plan for that business unit. These objectives and determination of results shall be based entirely on such financial measures, and the Committee shall have no discretion to modify such results.</w:t>
      </w: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SHARES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12.1 AWARD OF PERFORMANCE SHARES. For each Performance Period (as defined in Section 12.2), Performance Shares may be granted under the Plan to such associates of the Company and its subsidiaries as the Committee shall determine. Each Performance Share shall be deemed to be equivalent to one (1) share of Common Stock. Performance Shares granted to an associate shall be credited to an account (a "Performance Share Account") established and maintained for such associate.</w:t>
      </w:r>
    </w:p>
    <w:p>
      <w:pPr>
        <w:spacing w:after="0" w:line="211"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12.2 PERFORMANCE PERIOD. "Performance Period" shall mean such period of time as shall be determined by the Committee in its sole discretion. Different Performance Periods may be established for different associates receiving Performance Shares. Performance Periods may run consecutively or concurrently.</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12.3 RIGHT TO PAYMENT OF PERFORMANCE SHARES. With respect to each award of Performance Shares under this Plan, the Committee shall specify performance objectives (the "Performance Objectives") which must be satisfied in order for the associate to vest in the Performance Shares which have been awarded to him or her for the Performance Period. If the Performance Objectives established for an associate for the Performance Period are partially but not fully met, the Committee may, nonetheless, in its sole discretion, determine that all or a portion of the Performance Shares have vested. If the Performance Objectives for a Performance Period are exceeded, the Committee may, in its sole discretion, grant additional, fully vested Performance Shares to the associate. The Committee may also determine, in its sole discretion, that Performance Shares awarded to an associate shall become partially or fully vested upon the associate's death, total disability (as defined in Article 9) or retirement, or upon the termination of the associate's employment prior to the end of the Performance Period.</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12.4 PAYMENT FOR PERFORMANCE SHARES. As soon as practicable following the end of a Performance Period, the Committee shall determine whether the Performance Objectives for the Performance Period have been achieved (or partially achieved to the extent necessary to permit partial vesting at the discretion of the Committee pursuant to Section 12.3). If the Performance Objectives for the Performance Period have been exceeded, the Committee shall determine whether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 Performance Shares shall be granted to the associate pursuant to Section 12.3. As soon as reasonably practicable after such determinations, or at such later date as the Committee shall determine at the time of grant, the Company shall pay to the associate an amount with respect to each vested Performance Share equal to the fair market value of a share of Common Stock on such payment date or, if the Committee shall so specify at the time of grant, an amount equal to (i) the fair market value of a share of Common Stock on the payment date less (ii) the fair market value of a share of Common Stock on the date of grant of the Performance Share. Payment shall be made entirely in cash, entirely in Common Stock (including Restricted Shares) or in such combination of cash and Common Stock as the Committee shall determine.</w:t>
      </w:r>
    </w:p>
    <w:p>
      <w:pPr>
        <w:spacing w:after="0" w:line="216"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12.5 VOTING AND DIVIDEND RIGHTS. No associate shall be entitled to any voting rights, to receive any dividends, or to have his or her Performance Share Account credited or increased as a result of any dividends or other distribution with respect to Common Stock. Notwithstanding the foregoing, within sixty (60) days from the date of payment of a dividend by the Company on its shares of Common Stock, the Committee, in its discretion, may credit an associate's Performance Share Account with additional Performance Shares having an aggregate fair market value equal to the dividend per share paid on the Common Stock multiplied by the number of Performance Shares credited to his or her account at the time the dividend was declared.</w:t>
      </w:r>
    </w:p>
    <w:p>
      <w:pPr>
        <w:spacing w:after="0" w:line="200" w:lineRule="exact"/>
        <w:rPr>
          <w:sz w:val="20"/>
          <w:szCs w:val="20"/>
          <w:color w:val="auto"/>
        </w:rPr>
      </w:pPr>
    </w:p>
    <w:p>
      <w:pPr>
        <w:spacing w:after="0" w:line="3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PERFORMANCE UNITS</w:t>
      </w:r>
    </w:p>
    <w:p>
      <w:pPr>
        <w:spacing w:after="0" w:line="207"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13.1 AWARD OF PERFORMANCE UNITS. For each Performance Period (as defined in Section 12.2), Performance Units may be granted under the Plan to such associates of the Company and its subsidiaries as the Committee shall determine. The award agreement covering such Performance Units shall specify a value for each Performance Unit or shall set forth a formula for determining the value of each Performance Unit at the time of payment (the "Ending Value"). If necessary to make the calculation of the amount to be paid to the associate pursuant to Section 13.3, the Committee shall also state in the award agreement the initial value of each Performance Unit (the "Initial Value"). Performance Units granted to an associate shall be credited to an account (a "Performance Unit Account") established and maintained for such associate.</w:t>
      </w:r>
    </w:p>
    <w:p>
      <w:pPr>
        <w:spacing w:after="0" w:line="392"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13.2 RIGHT TO PAYMENT OF PERFORMANCE UNITS. With respect to each award of Performance Units under this Plan, the Committee shall specify Performance Objectives which must be satisfied in order for the associate to vest in the Performance Units which have been awarded to him or her for the Performance Period. If the Performance Objectives established for an associate for the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Performance Period are partially but not fully met, the Committee may, nonetheless, in its sole discretion, determine that all or a portion of the Performance Units have vested. If the Performance Objectives for a Performance Period are exceeded, the Committee may, in its sole discretion, grant additional, fully vested Performance Units to the associate. The Committee may also determine, in its sole discretion, that Performance Units awarded to an associate shall become partially or fully vested upon the associate's death, total disability (as defined in Article 9) or retirement, or upon the termination of employment of the associate by the Company.</w:t>
      </w:r>
    </w:p>
    <w:p>
      <w:pPr>
        <w:spacing w:after="0" w:line="208"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PAYMENT FOR PERFORMANCE UNITS. As soon as practicable following</w:t>
      </w:r>
    </w:p>
    <w:p>
      <w:pPr>
        <w:spacing w:after="0" w:line="238" w:lineRule="auto"/>
        <w:rPr>
          <w:sz w:val="20"/>
          <w:szCs w:val="20"/>
          <w:color w:val="auto"/>
        </w:rPr>
      </w:pPr>
      <w:r>
        <w:rPr>
          <w:rFonts w:ascii="Courier New" w:cs="Courier New" w:eastAsia="Courier New" w:hAnsi="Courier New"/>
          <w:sz w:val="18"/>
          <w:szCs w:val="18"/>
          <w:color w:val="auto"/>
        </w:rPr>
        <w:t>the end of a Performance Period, the Committee shall determine whether the</w:t>
      </w:r>
    </w:p>
    <w:p>
      <w:pPr>
        <w:spacing w:after="0"/>
        <w:rPr>
          <w:sz w:val="20"/>
          <w:szCs w:val="20"/>
          <w:color w:val="auto"/>
        </w:rPr>
      </w:pPr>
      <w:r>
        <w:rPr>
          <w:rFonts w:ascii="Courier New" w:cs="Courier New" w:eastAsia="Courier New" w:hAnsi="Courier New"/>
          <w:sz w:val="18"/>
          <w:szCs w:val="18"/>
          <w:color w:val="auto"/>
        </w:rPr>
        <w:t>Performance Objectives for the Performance Period have been achieved (or</w:t>
      </w:r>
    </w:p>
    <w:p>
      <w:pPr>
        <w:spacing w:after="0" w:line="237" w:lineRule="auto"/>
        <w:rPr>
          <w:sz w:val="20"/>
          <w:szCs w:val="20"/>
          <w:color w:val="auto"/>
        </w:rPr>
      </w:pPr>
      <w:r>
        <w:rPr>
          <w:rFonts w:ascii="Courier New" w:cs="Courier New" w:eastAsia="Courier New" w:hAnsi="Courier New"/>
          <w:sz w:val="18"/>
          <w:szCs w:val="18"/>
          <w:color w:val="auto"/>
        </w:rPr>
        <w:t>partially achieved to the extent necessary to permit partial vesting at the</w:t>
      </w:r>
    </w:p>
    <w:p>
      <w:pPr>
        <w:spacing w:after="0" w:line="238" w:lineRule="auto"/>
        <w:rPr>
          <w:sz w:val="20"/>
          <w:szCs w:val="20"/>
          <w:color w:val="auto"/>
        </w:rPr>
      </w:pPr>
      <w:r>
        <w:rPr>
          <w:rFonts w:ascii="Courier New" w:cs="Courier New" w:eastAsia="Courier New" w:hAnsi="Courier New"/>
          <w:sz w:val="18"/>
          <w:szCs w:val="18"/>
          <w:color w:val="auto"/>
        </w:rPr>
        <w:t>discretion of the Committee pursuant to Section 13.2). If the Performance</w:t>
      </w:r>
    </w:p>
    <w:p>
      <w:pPr>
        <w:spacing w:after="0"/>
        <w:rPr>
          <w:sz w:val="20"/>
          <w:szCs w:val="20"/>
          <w:color w:val="auto"/>
        </w:rPr>
      </w:pPr>
      <w:r>
        <w:rPr>
          <w:rFonts w:ascii="Courier New" w:cs="Courier New" w:eastAsia="Courier New" w:hAnsi="Courier New"/>
          <w:sz w:val="18"/>
          <w:szCs w:val="18"/>
          <w:color w:val="auto"/>
        </w:rPr>
        <w:t>Objectives for the Performance Period have been exceeded, the Committee shall</w:t>
      </w:r>
    </w:p>
    <w:p>
      <w:pPr>
        <w:spacing w:after="0" w:line="237" w:lineRule="auto"/>
        <w:rPr>
          <w:sz w:val="20"/>
          <w:szCs w:val="20"/>
          <w:color w:val="auto"/>
        </w:rPr>
      </w:pPr>
      <w:r>
        <w:rPr>
          <w:rFonts w:ascii="Courier New" w:cs="Courier New" w:eastAsia="Courier New" w:hAnsi="Courier New"/>
          <w:sz w:val="18"/>
          <w:szCs w:val="18"/>
          <w:color w:val="auto"/>
        </w:rPr>
        <w:t>determine whether additional Performance Units shall be granted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 pursuant to Section 13.2. As soon as reasonably practicable after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determinations, or at such later date as the Committee shall determine at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grant, the Company shall pay to the associate an amount with respect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vested Performance Unit equal to the Ending Value of the Performance Unit</w:t>
      </w:r>
    </w:p>
    <w:p>
      <w:pPr>
        <w:spacing w:after="0" w:line="238" w:lineRule="auto"/>
        <w:rPr>
          <w:sz w:val="20"/>
          <w:szCs w:val="20"/>
          <w:color w:val="auto"/>
        </w:rPr>
      </w:pPr>
      <w:r>
        <w:rPr>
          <w:rFonts w:ascii="Courier New" w:cs="Courier New" w:eastAsia="Courier New" w:hAnsi="Courier New"/>
          <w:sz w:val="18"/>
          <w:szCs w:val="18"/>
          <w:color w:val="auto"/>
        </w:rPr>
        <w:t>or, if the Committee shall so specify at the time of grant, an amount equal to</w:t>
      </w:r>
    </w:p>
    <w:p>
      <w:pPr>
        <w:spacing w:after="0" w:line="5" w:lineRule="exact"/>
        <w:rPr>
          <w:sz w:val="20"/>
          <w:szCs w:val="20"/>
          <w:color w:val="auto"/>
        </w:rPr>
      </w:pPr>
    </w:p>
    <w:p>
      <w:pPr>
        <w:ind w:right="187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Ending Value of the Performance Unit less (ii) the Initial Value of the Performance Unit. Payment shall be made entirely in cash, entirely in Common Stock (including Restricted Shares) or in such combination of cash and Common Stock as the Committee shall determine.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14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UNRESTRICTED SHARES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14.1 AWARD OF UNRESTRICTED SHARES. The Committee may cause the Company to grant Unrestricted Shares to associates at such time or times, in such amounts and for such reasons as the Committee, in its sole discretion, shall determine. Except as required by applicable law, no payment shall be required for Unrestricted Shares.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14.2 DELIVERY OF UNRESTRICTED SHARES. The Company shall issue, in the name of each associate to whom Unrestricted Shares have been granted, stock certificates representing the total number of Unrestricted Shares granted to the associate, and shall deliver such certificates to the associate as soon as reasonably practicable after the date of grant or on such later date as the Committee shall determine at the time of grant.</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15</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TAX OFFSET PAYMENTS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Committee shall have the authority at the time of any award under this Plan or anytime thereafter to make Tax Offset Payments to assist associates in paying income taxes incurred as a result of their participation in this Plan. The Tax Offset Payments, which, if awarded, may be in cash or shares of Common Stock, shall be determined by multiplying a percentage established by the Committee times all or a portion (as the Committee shall determine) of the taxable income recognized by an associate upon (i) the exercise of a Nonstatutory Stock Option or a Stock Appreciation Right, (ii) the disposition of shares received upon exercise of an Incentive Stock Option,</w:t>
      </w:r>
    </w:p>
    <w:p>
      <w:pPr>
        <w:spacing w:after="0" w:line="2" w:lineRule="exact"/>
        <w:rPr>
          <w:sz w:val="20"/>
          <w:szCs w:val="20"/>
          <w:color w:val="auto"/>
        </w:rPr>
      </w:pPr>
    </w:p>
    <w:p>
      <w:pPr>
        <w:ind w:right="1879" w:firstLine="8"/>
        <w:spacing w:after="0" w:line="237" w:lineRule="auto"/>
        <w:tabs>
          <w:tab w:leader="none" w:pos="6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lapse of restrictions on Restricted Shares, (iv) the award of Unrestricted Shares, or (v) payments for Performance Shares or Performance Units. The percentage shall be established, from time to time, by the Committee at that rate which the Committee, in its sole discretion, determines to be appropriate and in the best interests of the Company to assist associates in paying income taxes incurred as a result of the events described in the preceding sentence. Tax Offset Payments shall be subject to the restrictions on transferability applicable to Options and Stock Appreciation Rights under Article 8.</w:t>
      </w:r>
    </w:p>
    <w:p>
      <w:pPr>
        <w:spacing w:after="0" w:line="20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16</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ADJUSTMENT UPON CHANGES IN CAPITALIZATION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Notwithstanding any other provision of the Plan, the Committee may at any time makes or provide for such adjustments to the Plan, to the number and class of shares available thereunder or to any outstanding Options, Stock Appreciation Rights, Restricted Shares or Performance Shares as it shall deem appropriate to prevent dilution or enlargement of rights, including adjustments in the event of changes in the number of shares of outstanding Common Stock by reason of stock dividends, extraordinary cash dividends, split-ups, recapitalizations, mergers, consolidations, combinations or exchanges of shares, separations, reorganizations, liquidations and the like.</w:t>
      </w:r>
    </w:p>
    <w:p>
      <w:pPr>
        <w:spacing w:after="0" w:line="17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17</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Board may suspend, terminate, modify or amend the Plan, provided that any amendment that would materially increase the aggregate number of shares which may be issued under the Plan shall be subject to the approval of the Company's stockholders, except that any such increase or modification that may result from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adjustments authorized by Article 16 does not require such approval. If the Plan is terminated, the terms of the Plan shall, notwithstanding such termination, continue to apply to awards granted prior to such termination. No suspension, termination, modification or amendment of the Plan may, without the consent of the associate to whom an award shall theretofore have been granted, adversely affect the rights of such associate under such award.</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18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WRITTEN AGREEMENT</w:t>
      </w:r>
    </w:p>
    <w:p>
      <w:pPr>
        <w:spacing w:after="0" w:line="207"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Each award of Options, Stock Appreciation Rights, Restricted Shares, Performance Shares, Performance Units, Unrestricted Shares and Tax Offset Payments shall be evidenced by a written agreement, executed by the associate and the Company, and containing such restrictions, terms and conditions, if any, as the Committee may require. In the event of any conflict between a written agreement and the Plan, the terms of the Plan shall govern.</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19</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MISCELLANEOUS PROVISIONS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19.1 FAIR MARKET VALUE. For purposes of this Plan, fair market value with respect to the exercise price of options granted prior to and subject to the consummation of the initial public offering referred to in Section 1.1 hereof shall be the price at which shares of Common Stock are sold to the public pursuant to such offering and, for all other purposes hereunder, shall be the closing price of the Common Stock as reported on the principal exchange on which the shares are listed for the date on which the grant, exercise or other transaction occurs, or if there were no sales on such date, the most recent prior date on which there were sales.</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19.2 TAX WITHHOLDING. The Company shall have the right to require associates or their beneficiaries or legal representatives to remit to the Company an amount sufficient to satisfy Federal, state and local withholding tax requirements, or to deduct from all payments under this Plan, including Tax Offset Paymemts, amounts sufficient to satisfy all withholding tax requirements. Whenever payments under the Plan are to be made to an associate in cash, such payments shall be net of any amounts sufficient to satisfy all Federal, state and local withholding tax requirements. The Committee may,</w:t>
      </w:r>
    </w:p>
    <w:p>
      <w:pPr>
        <w:spacing w:after="0" w:line="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its discretion, permit an associate to satisfy his or her tax withholding obligation either by (i) surrendering shares owned by the associate or (ii) having the Company withhold from shares otherwise deliverable to the associate. Shares surrendered or withheld shall be valued at their fair market value as of the date on which income is required to be recognized for income tax purposes.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case of an award of Incentive Stock Options, the foregoing right shall be deemed to be provided to the associate at the time of such award.</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19.3 Compliance With Section 16(b) and Section 162(m). In the case of associates who are or may be subject to Section 16 of the Act, it is the intent of the Company that any award granted hereunder satisfy and be interpreted in a manner that satisfies the applicable requirements of Rule 16b-3, so that such person will be entitled to the benefits of</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Rule 16b-3 or other exemptive rules under Section 16 of the Act and will not be subjected to liability thereunder. If any provision of the Plan or any award would otherwise conflict with the intent expressed herein, that provisions to the extent possible, shall be interpreted and deemed amended so as to avoid such conflict. To the extent of any remaining irreconcilable conflict with such intent, such provision shall be deemed void as applicable to associates who are or may be subject to Section 16 of the Act. If any award hereunder is intended to qualify as performance-based for purposes of Section 162(m) of the Code, the Committee shall not exercise any discretion to increase the payable under such award except to the extent permitted by Section 162(m) and the regulations thereunder.</w:t>
      </w:r>
    </w:p>
    <w:p>
      <w:pPr>
        <w:spacing w:after="0" w:line="21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19.4 SUCCESSORS.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In the event of any of the foregoing, the Committee may, at its discretion prior to the consummation of the transaction, cancel, offer to purchase, exchange, adjust or modify any outstanding awards, at such time and in such manner as the Committee deems appropriate and in accordance with applicable law.</w:t>
      </w:r>
    </w:p>
    <w:p>
      <w:pPr>
        <w:spacing w:after="0" w:line="214"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l9.5 GENERAL CREDITOR STATUS. Associates shall have no right, title, or interest whatsoever in or to any investments which the Company may make to aid it in meeting its obligations under the Plan. Nothing contained in the Plan, and no action taken pursuant to its provisions, shall create or be construed to create a trust of any kind, or a fiduciary relationship between the Company and any associate or beneficiary or legal representative of such associate. To the extent than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19.6 NO RIGHT TO EMPLOYMENT. Nothing in the Plan or in any written</w:t>
      </w:r>
    </w:p>
    <w:p>
      <w:pPr>
        <w:spacing w:after="0" w:line="238" w:lineRule="auto"/>
        <w:rPr>
          <w:sz w:val="20"/>
          <w:szCs w:val="20"/>
          <w:color w:val="auto"/>
        </w:rPr>
      </w:pPr>
      <w:r>
        <w:rPr>
          <w:rFonts w:ascii="Courier New" w:cs="Courier New" w:eastAsia="Courier New" w:hAnsi="Courier New"/>
          <w:sz w:val="18"/>
          <w:szCs w:val="18"/>
          <w:color w:val="auto"/>
        </w:rPr>
        <w:t>agreement entered into pursuant to Article 18, nor the grant of any award,</w:t>
      </w:r>
    </w:p>
    <w:p>
      <w:pPr>
        <w:spacing w:after="0"/>
        <w:rPr>
          <w:sz w:val="20"/>
          <w:szCs w:val="20"/>
          <w:color w:val="auto"/>
        </w:rPr>
      </w:pPr>
      <w:r>
        <w:rPr>
          <w:rFonts w:ascii="Courier New" w:cs="Courier New" w:eastAsia="Courier New" w:hAnsi="Courier New"/>
          <w:sz w:val="18"/>
          <w:szCs w:val="18"/>
          <w:color w:val="auto"/>
        </w:rPr>
        <w:t>shall confer upon any associate any right to continue in the employ of the</w:t>
      </w:r>
    </w:p>
    <w:p>
      <w:pPr>
        <w:spacing w:after="0" w:line="237" w:lineRule="auto"/>
        <w:rPr>
          <w:sz w:val="20"/>
          <w:szCs w:val="20"/>
          <w:color w:val="auto"/>
        </w:rPr>
      </w:pPr>
      <w:r>
        <w:rPr>
          <w:rFonts w:ascii="Courier New" w:cs="Courier New" w:eastAsia="Courier New" w:hAnsi="Courier New"/>
          <w:sz w:val="18"/>
          <w:szCs w:val="18"/>
          <w:color w:val="auto"/>
        </w:rPr>
        <w:t>Company or a subsidiary or to be entitled to any remuneration or benefits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set forth in the Plan or such written agreement or interfere with or limit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right of the Company or a</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subsidiary to modify the terms of or terminate such associate's employment at any time.</w:t>
      </w:r>
    </w:p>
    <w:p>
      <w:pPr>
        <w:spacing w:after="0" w:line="208"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19.7 NOTICES. Notices required or permitted to be made under the Plan shall be sufficiently made if sent by registered or certified mail addressed</w:t>
      </w:r>
    </w:p>
    <w:p>
      <w:pPr>
        <w:ind w:right="2099" w:firstLine="8"/>
        <w:spacing w:after="0" w:line="236"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associate at the associate's address as set forth in the books and records of the Company or its subsidiaries, or (b) to the Company or the Committee at the principal office of the Company.</w:t>
      </w:r>
    </w:p>
    <w:p>
      <w:pPr>
        <w:spacing w:after="0" w:line="209"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19.8 SEVERABILITY. In the event that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18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19.9 GOVERNING LAW. To the extent not preempted by Federal law, the Plan, and all agreements hereunder, shall be construed in accordance with and governed by the laws of the State of Delaware.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19.10 TERM OF PLAN. Unless earlier terminatd pursuant to Article 17 hereof, the Plan shall terminate on the tenth (l0th) anniversary of the earlier of the date of adoption of the Plan by the Board or the date of the consummation of the initial public offering referred to in Section 1.1 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EXHIBIT 5.1</w:t>
      </w:r>
    </w:p>
    <w:p>
      <w:pPr>
        <w:ind w:left="2220"/>
        <w:spacing w:after="0" w:line="238" w:lineRule="auto"/>
        <w:rPr>
          <w:sz w:val="20"/>
          <w:szCs w:val="20"/>
          <w:color w:val="auto"/>
        </w:rPr>
      </w:pPr>
      <w:r>
        <w:rPr>
          <w:rFonts w:ascii="Courier New" w:cs="Courier New" w:eastAsia="Courier New" w:hAnsi="Courier New"/>
          <w:sz w:val="18"/>
          <w:szCs w:val="18"/>
          <w:color w:val="auto"/>
        </w:rPr>
        <w:t>[ABERCROMBIE &amp; FITCH CO. LETTERHEAD]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Abercrombie &amp; Fitch Co.</w:t>
      </w:r>
    </w:p>
    <w:p>
      <w:pPr>
        <w:spacing w:after="0" w:line="238" w:lineRule="auto"/>
        <w:rPr>
          <w:sz w:val="20"/>
          <w:szCs w:val="20"/>
          <w:color w:val="auto"/>
        </w:rPr>
      </w:pPr>
      <w:r>
        <w:rPr>
          <w:rFonts w:ascii="Courier New" w:cs="Courier New" w:eastAsia="Courier New" w:hAnsi="Courier New"/>
          <w:sz w:val="18"/>
          <w:szCs w:val="18"/>
          <w:color w:val="auto"/>
        </w:rPr>
        <w:t>Four Limited Parkway</w:t>
      </w:r>
    </w:p>
    <w:p>
      <w:pPr>
        <w:spacing w:after="0"/>
        <w:rPr>
          <w:sz w:val="20"/>
          <w:szCs w:val="20"/>
          <w:color w:val="auto"/>
        </w:rPr>
      </w:pPr>
      <w:r>
        <w:rPr>
          <w:rFonts w:ascii="Courier New" w:cs="Courier New" w:eastAsia="Courier New" w:hAnsi="Courier New"/>
          <w:sz w:val="18"/>
          <w:szCs w:val="18"/>
          <w:color w:val="auto"/>
        </w:rPr>
        <w:t>Reynoldsburg, Ohio 43068</w:t>
      </w:r>
    </w:p>
    <w:p>
      <w:pPr>
        <w:spacing w:after="0" w:line="206" w:lineRule="exact"/>
        <w:rPr>
          <w:sz w:val="20"/>
          <w:szCs w:val="20"/>
          <w:color w:val="auto"/>
        </w:rPr>
      </w:pPr>
    </w:p>
    <w:p>
      <w:pPr>
        <w:ind w:left="420" w:right="2199" w:hanging="419"/>
        <w:spacing w:after="0" w:line="290" w:lineRule="auto"/>
        <w:tabs>
          <w:tab w:leader="none" w:pos="400" w:val="left"/>
        </w:tabs>
        <w:rPr>
          <w:sz w:val="20"/>
          <w:szCs w:val="20"/>
          <w:color w:val="auto"/>
        </w:rPr>
      </w:pPr>
      <w:r>
        <w:rPr>
          <w:rFonts w:ascii="Courier New" w:cs="Courier New" w:eastAsia="Courier New" w:hAnsi="Courier New"/>
          <w:sz w:val="16"/>
          <w:szCs w:val="16"/>
          <w:color w:val="auto"/>
        </w:rPr>
        <w:t>Re:</w:t>
        <w:tab/>
        <w:t>Securities Act of 1993 Form S-8 Registration Statement for the Abercrombie &amp; Fitch Co. 1996 Stock Option and Performance Incentive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 have acted as counsel for Abercrombie &amp; Fitch Co., a Delaware corporation (the "Company"), in connection with the proposed issuance by the Company of up to 3,500,000 shares of the Company's Class A common stock, par value $.01 per share (the "Common Stock"), under the Abercrombie &amp; Fitch &amp; Co. 1996 Stock Option and Performance Incentive Plan (the "Plan"), which Common Stock is being registered pursuant to the filing of a Registration Statement on Form S-8 under the Securities Act of 1933 (the "Act").</w:t>
      </w:r>
    </w:p>
    <w:p>
      <w:pPr>
        <w:spacing w:after="0" w:line="212"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 have examined the Certificate of Incorporation of the Company, its Bylaws, the Plan and such other corporate records, certificates, documents and matters of law as I have deemed necessary to render this opinion.</w:t>
      </w:r>
    </w:p>
    <w:p>
      <w:pPr>
        <w:spacing w:after="0" w:line="207" w:lineRule="exact"/>
        <w:rPr>
          <w:sz w:val="20"/>
          <w:szCs w:val="20"/>
          <w:color w:val="auto"/>
        </w:rPr>
      </w:pPr>
    </w:p>
    <w:p>
      <w:pPr>
        <w:jc w:val="both"/>
        <w:ind w:right="2939"/>
        <w:spacing w:after="0" w:line="279" w:lineRule="auto"/>
        <w:rPr>
          <w:sz w:val="20"/>
          <w:szCs w:val="20"/>
          <w:color w:val="auto"/>
        </w:rPr>
      </w:pPr>
      <w:r>
        <w:rPr>
          <w:rFonts w:ascii="Courier New" w:cs="Courier New" w:eastAsia="Courier New" w:hAnsi="Courier New"/>
          <w:sz w:val="16"/>
          <w:szCs w:val="16"/>
          <w:color w:val="auto"/>
        </w:rPr>
        <w:t>Based on the foregoing, I am of the opinion that the shares of Common Stock issued or to be issued under the terms of the Plan will be duly authorized, validly issued, fully paid and nonassessable.</w:t>
      </w:r>
    </w:p>
    <w:p>
      <w:pPr>
        <w:spacing w:after="0" w:line="17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 hereby consent to the filing of this opinion as Exhibit 5.1 and 23.2 to the Registration Statement. By giving such consent, I do not admit that I am an expert with respect to any part of the Registration Statement, including this exhibit, within the meaning of the term "expert" as used in the Act or the rules and regulations of the Securities and Exchange Commission issued thereunder.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ABERCROMBIE &amp; FITCH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Samuel P. Fried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Samuel P. Fried</w:t>
      </w:r>
    </w:p>
    <w:p>
      <w:pPr>
        <w:ind w:left="420"/>
        <w:spacing w:after="0" w:line="237"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10219"/>
          </w:cols>
          <w:pgMar w:left="240" w:top="136"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S-8, relating to the Abercrombie &amp; Fitch 1996 Stock Option and Performance Incentive Plan, of our reports dated July 11, 1996, on our audits of the balance sheet of the Abercrombie &amp; Fitch Co. as of July 11, 1996, and the consolidated financial statements of the Abercrombie &amp; Fitch Businesses as of February 3, 1996 and January 28, 1995, and for the fiscal years ended February 3, 1996, January 28, 1995 and January 29, 1994, which reports were included in the prospectus contained in the registration statement on Form S-1 (Reg. No. 333-8231) for the Abercrombie &amp; Fitch Co. filed on September 25, 1996.</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Coopers &amp; Lybrand L.L.P.</w:t>
      </w:r>
    </w:p>
    <w:p>
      <w:pPr>
        <w:ind w:left="3900"/>
        <w:spacing w:after="0" w:line="238" w:lineRule="auto"/>
        <w:rPr>
          <w:sz w:val="20"/>
          <w:szCs w:val="20"/>
          <w:color w:val="auto"/>
        </w:rPr>
      </w:pPr>
      <w:r>
        <w:rPr>
          <w:rFonts w:ascii="Courier New" w:cs="Courier New" w:eastAsia="Courier New" w:hAnsi="Courier New"/>
          <w:sz w:val="18"/>
          <w:szCs w:val="18"/>
          <w:color w:val="auto"/>
        </w:rPr>
        <w:t>COOPERS &amp; LYBRAND L.L.P.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November 7, 1996</w:t>
      </w:r>
    </w:p>
    <w:p>
      <w:pPr>
        <w:sectPr>
          <w:pgSz w:w="11900" w:h="16838" w:orient="portrait"/>
          <w:cols w:equalWidth="0" w:num="1">
            <w:col w:w="10219"/>
          </w:cols>
          <w:pgMar w:left="240" w:top="136"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w:t>
      </w:r>
    </w:p>
    <w:p>
      <w:pPr>
        <w:ind w:left="6320"/>
        <w:spacing w:after="0" w:line="238" w:lineRule="auto"/>
        <w:rPr>
          <w:sz w:val="20"/>
          <w:szCs w:val="20"/>
          <w:color w:val="auto"/>
        </w:rPr>
      </w:pPr>
      <w:r>
        <w:rPr>
          <w:rFonts w:ascii="Courier New" w:cs="Courier New" w:eastAsia="Courier New" w:hAnsi="Courier New"/>
          <w:sz w:val="18"/>
          <w:szCs w:val="18"/>
          <w:color w:val="auto"/>
        </w:rPr>
        <w:t>EXHIBIT 24</w:t>
      </w:r>
    </w:p>
    <w:p>
      <w:pPr>
        <w:spacing w:after="0" w:line="202"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POWER</w:t>
        <w:tab/>
        <w:t>OF ATORNEY FOR</w:t>
      </w:r>
    </w:p>
    <w:p>
      <w:pPr>
        <w:ind w:left="2960"/>
        <w:spacing w:after="0" w:line="238" w:lineRule="auto"/>
        <w:rPr>
          <w:sz w:val="20"/>
          <w:szCs w:val="20"/>
          <w:color w:val="auto"/>
        </w:rPr>
      </w:pPr>
      <w:r>
        <w:rPr>
          <w:rFonts w:ascii="Courier New" w:cs="Courier New" w:eastAsia="Courier New" w:hAnsi="Courier New"/>
          <w:sz w:val="18"/>
          <w:szCs w:val="18"/>
          <w:color w:val="auto"/>
        </w:rPr>
        <w:t>OFFICERS AND DIRECTORS</w:t>
      </w:r>
    </w:p>
    <w:p>
      <w:pPr>
        <w:ind w:left="4020"/>
        <w:spacing w:after="0"/>
        <w:rPr>
          <w:sz w:val="20"/>
          <w:szCs w:val="20"/>
          <w:color w:val="auto"/>
        </w:rPr>
      </w:pPr>
      <w:r>
        <w:rPr>
          <w:rFonts w:ascii="Courier New" w:cs="Courier New" w:eastAsia="Courier New" w:hAnsi="Courier New"/>
          <w:sz w:val="18"/>
          <w:szCs w:val="18"/>
          <w:color w:val="auto"/>
        </w:rPr>
        <w:t>OF</w:t>
      </w:r>
    </w:p>
    <w:p>
      <w:pPr>
        <w:ind w:left="2960"/>
        <w:spacing w:after="0" w:line="237" w:lineRule="auto"/>
        <w:rPr>
          <w:sz w:val="20"/>
          <w:szCs w:val="20"/>
          <w:color w:val="auto"/>
        </w:rPr>
      </w:pPr>
      <w:r>
        <w:rPr>
          <w:rFonts w:ascii="Courier New" w:cs="Courier New" w:eastAsia="Courier New" w:hAnsi="Courier New"/>
          <w:sz w:val="18"/>
          <w:szCs w:val="18"/>
          <w:color w:val="auto"/>
        </w:rPr>
        <w:t>ABERCROMBIE &amp; FITCH CO.</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Pursuant to the requirements of the Securities Act of 1933, the undersigned officers and/or directors of Abercrombie &amp; Fitch Co., a Delaware corporation (the "Company"), hereby appoint Kenneth B. Gilman as attorney-in-fact with full power of substitution and resubstitution to sign for the undersigned and in the name of the undersigned in any and all capacities with respect to the registration on Form S-8 of 3,500,000 shares of Common Stock of the Company under the Abercrombie &amp; Fitch Co. 1996 Stock Option and Performance Incentive Plan (the "Registration Statement") with the Securities and Exchange Commission ("SEC"), and to sign any and all amendments (including post-effective amendments) thereto and any and all applications or other documents to be filed with the SEC pertaining to the Registration Statement, and to grant unto the attorney-in-fact and agent the full power and authority to do and perform each and every act and thing required to be done, as fully</w:t>
      </w:r>
    </w:p>
    <w:p>
      <w:pPr>
        <w:spacing w:after="0" w:line="5"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to all intents and purposes as the undersigned could do if personally present. The undersigned hereby ratifies and confirms all that the attorney-in-fact and agent or its substitutes may lawfully do or cause to be done by virtue hereof.</w:t>
      </w:r>
    </w:p>
    <w:p>
      <w:pPr>
        <w:sectPr>
          <w:pgSz w:w="11900" w:h="16838" w:orient="portrait"/>
          <w:cols w:equalWidth="0" w:num="1">
            <w:col w:w="10219"/>
          </w:cols>
          <w:pgMar w:left="240" w:top="13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Leslie H. Wexner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5, 1996</w:t>
      </w:r>
    </w:p>
    <w:p>
      <w:pPr>
        <w:spacing w:after="0" w:line="16" w:lineRule="exact"/>
        <w:rPr>
          <w:sz w:val="20"/>
          <w:szCs w:val="20"/>
          <w:color w:val="auto"/>
        </w:rPr>
      </w:pPr>
    </w:p>
    <w:p>
      <w:pPr>
        <w:sectPr>
          <w:pgSz w:w="11900" w:h="16838" w:orient="portrait"/>
          <w:cols w:equalWidth="0" w:num="3">
            <w:col w:w="2340" w:space="720"/>
            <w:col w:w="2760" w:space="720"/>
            <w:col w:w="3679"/>
          </w:cols>
          <w:pgMar w:left="240" w:top="136" w:right="1440" w:bottom="1440" w:gutter="0" w:footer="0" w:header="0"/>
          <w:type w:val="continuous"/>
        </w:sect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Leslie H. Wexner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/s/ Michael</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 Jeffries</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President, Chief Executive</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5, 1996</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900" w:type="dxa"/>
            <w:vAlign w:val="bottom"/>
          </w:tcPr>
          <w:p>
            <w:pPr>
              <w:spacing w:after="0"/>
              <w:rPr>
                <w:sz w:val="17"/>
                <w:szCs w:val="17"/>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Michael</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 Jeffries</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900" w:type="dxa"/>
            <w:vAlign w:val="bottom"/>
          </w:tcPr>
          <w:p>
            <w:pPr>
              <w:spacing w:after="0"/>
              <w:rPr>
                <w:sz w:val="17"/>
                <w:szCs w:val="17"/>
                <w:color w:val="auto"/>
              </w:rPr>
            </w:pPr>
          </w:p>
        </w:tc>
      </w:tr>
      <w:tr>
        <w:trPr>
          <w:trHeight w:val="405"/>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/s/ Seth R. Johnson</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Vice President-Chief</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5, 1996</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900" w:type="dxa"/>
            <w:vAlign w:val="bottom"/>
          </w:tcPr>
          <w:p>
            <w:pPr>
              <w:spacing w:after="0"/>
              <w:rPr>
                <w:sz w:val="17"/>
                <w:szCs w:val="17"/>
                <w:color w:val="auto"/>
              </w:rPr>
            </w:pPr>
          </w:p>
        </w:tc>
      </w:tr>
      <w:tr>
        <w:trPr>
          <w:trHeight w:val="203"/>
        </w:trPr>
        <w:tc>
          <w:tcPr>
            <w:tcW w:w="2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Seth R. Johnson</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1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900" w:type="dxa"/>
            <w:vAlign w:val="bottom"/>
          </w:tcPr>
          <w:p>
            <w:pPr>
              <w:spacing w:after="0"/>
              <w:rPr>
                <w:sz w:val="17"/>
                <w:szCs w:val="17"/>
                <w:color w:val="auto"/>
              </w:rPr>
            </w:pPr>
          </w:p>
        </w:tc>
      </w:tr>
      <w:tr>
        <w:trPr>
          <w:trHeight w:val="405"/>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/s/ E. Gordon Gee</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5, 1996</w:t>
            </w:r>
          </w:p>
        </w:tc>
      </w:tr>
    </w:tbl>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Gordon Gee</w:t>
      </w:r>
    </w:p>
    <w:p>
      <w:pPr>
        <w:spacing w:after="0" w:line="202" w:lineRule="exact"/>
        <w:rPr>
          <w:sz w:val="20"/>
          <w:szCs w:val="20"/>
          <w:color w:val="auto"/>
        </w:rPr>
      </w:pPr>
    </w:p>
    <w:p>
      <w:pPr>
        <w:spacing w:after="0"/>
        <w:tabs>
          <w:tab w:leader="none" w:pos="3040" w:val="left"/>
          <w:tab w:leader="none" w:pos="6520" w:val="left"/>
        </w:tabs>
        <w:rPr>
          <w:sz w:val="20"/>
          <w:szCs w:val="20"/>
          <w:color w:val="auto"/>
        </w:rPr>
      </w:pPr>
      <w:r>
        <w:rPr>
          <w:rFonts w:ascii="Courier New" w:cs="Courier New" w:eastAsia="Courier New" w:hAnsi="Courier New"/>
          <w:sz w:val="18"/>
          <w:szCs w:val="18"/>
          <w:color w:val="auto"/>
        </w:rPr>
        <w:t>/s/ Donald B. Shackleford</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5, 1996</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B. Shackleford</w:t>
      </w:r>
    </w:p>
    <w:p>
      <w:pPr>
        <w:spacing w:after="0" w:line="202" w:lineRule="exact"/>
        <w:rPr>
          <w:sz w:val="20"/>
          <w:szCs w:val="20"/>
          <w:color w:val="auto"/>
        </w:rPr>
      </w:pPr>
    </w:p>
    <w:p>
      <w:pPr>
        <w:spacing w:after="0"/>
        <w:tabs>
          <w:tab w:leader="none" w:pos="3040" w:val="left"/>
          <w:tab w:leader="none" w:pos="6520" w:val="left"/>
        </w:tabs>
        <w:rPr>
          <w:sz w:val="20"/>
          <w:szCs w:val="20"/>
          <w:color w:val="auto"/>
        </w:rPr>
      </w:pPr>
      <w:r>
        <w:rPr>
          <w:rFonts w:ascii="Courier New" w:cs="Courier New" w:eastAsia="Courier New" w:hAnsi="Courier New"/>
          <w:sz w:val="18"/>
          <w:szCs w:val="18"/>
          <w:color w:val="auto"/>
        </w:rPr>
        <w:t>/s/ Roger D. Blackwell</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5, 1996</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Roger D. Blackwell</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614"/>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Roman"/>
      <w:start w:val="1"/>
    </w:lvl>
  </w:abstractNum>
  <w:abstractNum w:abstractNumId="8">
    <w:nsid w:val="41A7C4C9"/>
    <w:multiLevelType w:val="hybridMultilevel"/>
    <w:lvl w:ilvl="0">
      <w:lvlJc w:val="left"/>
      <w:lvlText w:val="(%1)"/>
      <w:numFmt w:val="lowerRoman"/>
      <w:start w:val="3"/>
    </w:lvl>
  </w:abstractNum>
  <w:abstractNum w:abstractNumId="9">
    <w:nsid w:val="6B68079A"/>
    <w:multiLevelType w:val="hybridMultilevel"/>
    <w:lvl w:ilvl="0">
      <w:lvlJc w:val="left"/>
      <w:lvlText w:val="%1"/>
      <w:numFmt w:val="lowerLetter"/>
      <w:start w:val="1"/>
    </w:lvl>
    <w:lvl w:ilvl="1">
      <w:lvlJc w:val="left"/>
      <w:lvlText w:val="(%2)"/>
      <w:numFmt w:val="decimal"/>
      <w:start w:val="2"/>
    </w:lvl>
  </w:abstractNum>
  <w:abstractNum w:abstractNumId="10">
    <w:nsid w:val="4E6AFB66"/>
    <w:multiLevelType w:val="hybridMultilevel"/>
    <w:lvl w:ilvl="0">
      <w:lvlJc w:val="left"/>
      <w:lvlText w:val="(%1)"/>
      <w:numFmt w:val="lowerLetter"/>
      <w:start w:val="2"/>
    </w:lvl>
    <w:lvl w:ilvl="1">
      <w:lvlJc w:val="left"/>
      <w:lvlText w:val="%2"/>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Roman"/>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lowerRoman"/>
      <w:start w:val="3"/>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lvl w:ilvl="1">
      <w:lvlJc w:val="left"/>
      <w:lvlText w:val="%2"/>
      <w:numFmt w:val="upperLetter"/>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2019-12-14T09:50:08Z</dcterms:created>
  <dcterms:modified xsi:type="dcterms:W3CDTF">2019-12-14T09:50:08Z</dcterms:modified>
</cp:coreProperties>
</file>