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4"/>
          <w:szCs w:val="24"/>
          <w:color w:val="auto"/>
        </w:rPr>
      </w:pPr>
    </w:p>
    <w:p>
      <w:pPr>
        <w:spacing w:after="0" w:line="38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39"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41"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4"/>
          <w:szCs w:val="14"/>
          <w:b w:val="1"/>
          <w:bCs w:val="1"/>
          <w:color w:val="auto"/>
        </w:rPr>
        <w:t>ANNUAL REPORT PURSUANT TO SECTION 13 OR 15(d) OF THE SECURITIES EXCHANGE ACT OF 1934</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February 1, 2025</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34"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6"/>
          <w:szCs w:val="16"/>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2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840" w:type="dxa"/>
            <w:vAlign w:val="bottom"/>
            <w:gridSpan w:val="5"/>
          </w:tcPr>
          <w:p>
            <w:pPr>
              <w:ind w:left="320"/>
              <w:spacing w:after="0"/>
              <w:rPr>
                <w:sz w:val="20"/>
                <w:szCs w:val="20"/>
                <w:color w:val="auto"/>
              </w:rPr>
            </w:pPr>
            <w:r>
              <w:rPr>
                <w:rFonts w:ascii="Arial" w:cs="Arial" w:eastAsia="Arial" w:hAnsi="Arial"/>
                <w:sz w:val="16"/>
                <w:szCs w:val="16"/>
                <w:b w:val="1"/>
                <w:bCs w:val="1"/>
                <w:color w:val="auto"/>
              </w:rPr>
              <w:t>For the transition period from</w:t>
            </w:r>
          </w:p>
        </w:tc>
        <w:tc>
          <w:tcPr>
            <w:tcW w:w="820" w:type="dxa"/>
            <w:vAlign w:val="bottom"/>
            <w:gridSpan w:val="3"/>
          </w:tcPr>
          <w:p>
            <w:pPr>
              <w:ind w:left="160"/>
              <w:spacing w:after="0"/>
              <w:rPr>
                <w:sz w:val="20"/>
                <w:szCs w:val="20"/>
                <w:color w:val="auto"/>
              </w:rPr>
            </w:pPr>
            <w:r>
              <w:rPr>
                <w:rFonts w:ascii="Arial" w:cs="Arial" w:eastAsia="Arial" w:hAnsi="Arial"/>
                <w:sz w:val="16"/>
                <w:szCs w:val="16"/>
                <w:b w:val="1"/>
                <w:bCs w:val="1"/>
                <w:color w:val="auto"/>
              </w:rPr>
              <w:t>to</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1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660" w:type="dxa"/>
            <w:vAlign w:val="bottom"/>
            <w:gridSpan w:val="8"/>
          </w:tcPr>
          <w:p>
            <w:pPr>
              <w:ind w:left="480"/>
              <w:spacing w:after="0"/>
              <w:rPr>
                <w:sz w:val="20"/>
                <w:szCs w:val="20"/>
                <w:color w:val="auto"/>
              </w:rPr>
            </w:pPr>
            <w:r>
              <w:rPr>
                <w:rFonts w:ascii="Arial" w:cs="Arial" w:eastAsia="Arial" w:hAnsi="Arial"/>
                <w:sz w:val="16"/>
                <w:szCs w:val="16"/>
                <w:b w:val="1"/>
                <w:bCs w:val="1"/>
                <w:color w:val="auto"/>
              </w:rPr>
              <w:t>Commission file number 001-12107</w:t>
            </w: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2100" w:type="dxa"/>
            <w:vAlign w:val="bottom"/>
          </w:tcPr>
          <w:p>
            <w:pPr>
              <w:spacing w:after="0"/>
              <w:rPr>
                <w:sz w:val="24"/>
                <w:szCs w:val="24"/>
                <w:color w:val="auto"/>
              </w:rPr>
            </w:pPr>
          </w:p>
        </w:tc>
        <w:tc>
          <w:tcPr>
            <w:tcW w:w="6120" w:type="dxa"/>
            <w:vAlign w:val="bottom"/>
            <w:gridSpan w:val="11"/>
          </w:tcPr>
          <w:p>
            <w:pPr>
              <w:jc w:val="center"/>
              <w:ind w:left="853"/>
              <w:spacing w:after="0"/>
              <w:rPr>
                <w:sz w:val="20"/>
                <w:szCs w:val="20"/>
                <w:color w:val="auto"/>
              </w:rPr>
            </w:pPr>
            <w:r>
              <w:rPr>
                <w:rFonts w:ascii="Arial" w:cs="Arial" w:eastAsia="Arial" w:hAnsi="Arial"/>
                <w:sz w:val="36"/>
                <w:szCs w:val="36"/>
                <w:b w:val="1"/>
                <w:bCs w:val="1"/>
                <w:color w:val="auto"/>
                <w:w w:val="99"/>
              </w:rPr>
              <w:t>Abercrombie &amp; Fitch Co.</w:t>
            </w:r>
          </w:p>
        </w:tc>
        <w:tc>
          <w:tcPr>
            <w:tcW w:w="3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660" w:type="dxa"/>
            <w:vAlign w:val="bottom"/>
            <w:gridSpan w:val="8"/>
          </w:tcPr>
          <w:p>
            <w:pPr>
              <w:jc w:val="center"/>
              <w:ind w:right="180"/>
              <w:spacing w:after="0"/>
              <w:rPr>
                <w:sz w:val="20"/>
                <w:szCs w:val="20"/>
                <w:color w:val="auto"/>
              </w:rPr>
            </w:pPr>
            <w:r>
              <w:rPr>
                <w:rFonts w:ascii="Arial" w:cs="Arial" w:eastAsia="Arial" w:hAnsi="Arial"/>
                <w:sz w:val="14"/>
                <w:szCs w:val="14"/>
                <w:i w:val="1"/>
                <w:iCs w:val="1"/>
                <w:color w:val="auto"/>
              </w:rPr>
              <w:t>(Exact name of registrant as specified in its charter)</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21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center"/>
              <w:ind w:left="853"/>
              <w:spacing w:after="0"/>
              <w:rPr>
                <w:sz w:val="20"/>
                <w:szCs w:val="20"/>
                <w:color w:val="auto"/>
              </w:rPr>
            </w:pPr>
            <w:r>
              <w:rPr>
                <w:rFonts w:ascii="Arial" w:cs="Arial" w:eastAsia="Arial" w:hAnsi="Arial"/>
                <w:sz w:val="14"/>
                <w:szCs w:val="14"/>
                <w:b w:val="1"/>
                <w:bCs w:val="1"/>
                <w:color w:val="auto"/>
              </w:rPr>
              <w:t>Delaware</w:t>
            </w: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jc w:val="right"/>
              <w:ind w:right="1227"/>
              <w:spacing w:after="0"/>
              <w:rPr>
                <w:sz w:val="20"/>
                <w:szCs w:val="20"/>
                <w:color w:val="auto"/>
              </w:rPr>
            </w:pPr>
            <w:r>
              <w:rPr>
                <w:rFonts w:ascii="Arial" w:cs="Arial" w:eastAsia="Arial" w:hAnsi="Arial"/>
                <w:sz w:val="14"/>
                <w:szCs w:val="14"/>
                <w:b w:val="1"/>
                <w:bCs w:val="1"/>
                <w:color w:val="auto"/>
              </w:rPr>
              <w:t>31-1469076</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720" w:type="dxa"/>
            <w:vAlign w:val="bottom"/>
            <w:gridSpan w:val="7"/>
          </w:tcPr>
          <w:p>
            <w:pPr>
              <w:jc w:val="center"/>
              <w:ind w:left="128"/>
              <w:spacing w:after="0"/>
              <w:rPr>
                <w:sz w:val="20"/>
                <w:szCs w:val="20"/>
                <w:color w:val="auto"/>
              </w:rPr>
            </w:pPr>
            <w:r>
              <w:rPr>
                <w:rFonts w:ascii="Arial" w:cs="Arial" w:eastAsia="Arial" w:hAnsi="Arial"/>
                <w:sz w:val="14"/>
                <w:szCs w:val="14"/>
                <w:i w:val="1"/>
                <w:iCs w:val="1"/>
                <w:color w:val="auto"/>
              </w:rPr>
              <w:t>(State or other jurisdiction of incorporation or organization)</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20" w:type="dxa"/>
            <w:vAlign w:val="bottom"/>
            <w:gridSpan w:val="2"/>
          </w:tcPr>
          <w:p>
            <w:pPr>
              <w:jc w:val="center"/>
              <w:ind w:right="400"/>
              <w:spacing w:after="0"/>
              <w:rPr>
                <w:sz w:val="20"/>
                <w:szCs w:val="20"/>
                <w:color w:val="auto"/>
              </w:rPr>
            </w:pPr>
            <w:r>
              <w:rPr>
                <w:rFonts w:ascii="Arial" w:cs="Arial" w:eastAsia="Arial" w:hAnsi="Arial"/>
                <w:sz w:val="14"/>
                <w:szCs w:val="14"/>
                <w:i w:val="1"/>
                <w:iCs w:val="1"/>
                <w:color w:val="auto"/>
              </w:rPr>
              <w:t>(I.R.S. Employer Identification No.)</w:t>
            </w:r>
          </w:p>
        </w:tc>
        <w:tc>
          <w:tcPr>
            <w:tcW w:w="0" w:type="dxa"/>
            <w:vAlign w:val="bottom"/>
          </w:tcPr>
          <w:p>
            <w:pPr>
              <w:spacing w:after="0"/>
              <w:rPr>
                <w:sz w:val="1"/>
                <w:szCs w:val="1"/>
                <w:color w:val="auto"/>
              </w:rPr>
            </w:pPr>
          </w:p>
        </w:tc>
      </w:tr>
      <w:tr>
        <w:trPr>
          <w:trHeight w:val="264"/>
        </w:trPr>
        <w:tc>
          <w:tcPr>
            <w:tcW w:w="210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6301 Fitch Path</w:t>
            </w:r>
          </w:p>
        </w:tc>
        <w:tc>
          <w:tcPr>
            <w:tcW w:w="178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New Albany</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Ohio</w:t>
            </w:r>
          </w:p>
        </w:tc>
        <w:tc>
          <w:tcPr>
            <w:tcW w:w="20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3000" w:type="dxa"/>
            <w:vAlign w:val="bottom"/>
            <w:tcBorders>
              <w:bottom w:val="single" w:sz="8" w:color="auto"/>
            </w:tcBorders>
          </w:tcPr>
          <w:p>
            <w:pPr>
              <w:jc w:val="right"/>
              <w:ind w:right="1407"/>
              <w:spacing w:after="0"/>
              <w:rPr>
                <w:sz w:val="20"/>
                <w:szCs w:val="20"/>
                <w:color w:val="auto"/>
              </w:rPr>
            </w:pPr>
            <w:r>
              <w:rPr>
                <w:rFonts w:ascii="Arial" w:cs="Arial" w:eastAsia="Arial" w:hAnsi="Arial"/>
                <w:sz w:val="14"/>
                <w:szCs w:val="14"/>
                <w:b w:val="1"/>
                <w:bCs w:val="1"/>
                <w:color w:val="auto"/>
              </w:rPr>
              <w:t>43054</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100" w:type="dxa"/>
            <w:vAlign w:val="bottom"/>
          </w:tcPr>
          <w:p>
            <w:pPr>
              <w:spacing w:after="0"/>
              <w:rPr>
                <w:sz w:val="16"/>
                <w:szCs w:val="16"/>
                <w:color w:val="auto"/>
              </w:rPr>
            </w:pPr>
          </w:p>
        </w:tc>
        <w:tc>
          <w:tcPr>
            <w:tcW w:w="4620" w:type="dxa"/>
            <w:vAlign w:val="bottom"/>
            <w:gridSpan w:val="6"/>
          </w:tcPr>
          <w:p>
            <w:pPr>
              <w:jc w:val="center"/>
              <w:ind w:right="1880"/>
              <w:spacing w:after="0"/>
              <w:rPr>
                <w:sz w:val="20"/>
                <w:szCs w:val="20"/>
                <w:color w:val="auto"/>
              </w:rPr>
            </w:pPr>
            <w:r>
              <w:rPr>
                <w:rFonts w:ascii="Arial" w:cs="Arial" w:eastAsia="Arial" w:hAnsi="Arial"/>
                <w:sz w:val="14"/>
                <w:szCs w:val="14"/>
                <w:i w:val="1"/>
                <w:iCs w:val="1"/>
                <w:color w:val="auto"/>
              </w:rPr>
              <w:t>(Address of principal executive offices)</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20" w:type="dxa"/>
            <w:vAlign w:val="bottom"/>
            <w:gridSpan w:val="2"/>
          </w:tcPr>
          <w:p>
            <w:pPr>
              <w:jc w:val="center"/>
              <w:ind w:right="380"/>
              <w:spacing w:after="0"/>
              <w:rPr>
                <w:sz w:val="20"/>
                <w:szCs w:val="20"/>
                <w:color w:val="auto"/>
              </w:rPr>
            </w:pPr>
            <w:r>
              <w:rPr>
                <w:rFonts w:ascii="Arial" w:cs="Arial" w:eastAsia="Arial" w:hAnsi="Arial"/>
                <w:sz w:val="14"/>
                <w:szCs w:val="14"/>
                <w:i w:val="1"/>
                <w:iCs w:val="1"/>
                <w:color w:val="auto"/>
              </w:rPr>
              <w:t>(Zip Code)</w:t>
            </w:r>
          </w:p>
        </w:tc>
        <w:tc>
          <w:tcPr>
            <w:tcW w:w="0" w:type="dxa"/>
            <w:vAlign w:val="bottom"/>
          </w:tcPr>
          <w:p>
            <w:pPr>
              <w:spacing w:after="0"/>
              <w:rPr>
                <w:sz w:val="1"/>
                <w:szCs w:val="1"/>
                <w:color w:val="auto"/>
              </w:rPr>
            </w:pPr>
          </w:p>
        </w:tc>
      </w:tr>
      <w:tr>
        <w:trPr>
          <w:trHeight w:val="269"/>
        </w:trPr>
        <w:tc>
          <w:tcPr>
            <w:tcW w:w="2100" w:type="dxa"/>
            <w:vAlign w:val="bottom"/>
          </w:tcPr>
          <w:p>
            <w:pPr>
              <w:spacing w:after="0"/>
              <w:rPr>
                <w:sz w:val="23"/>
                <w:szCs w:val="23"/>
                <w:color w:val="auto"/>
              </w:rPr>
            </w:pPr>
          </w:p>
        </w:tc>
        <w:tc>
          <w:tcPr>
            <w:tcW w:w="6120" w:type="dxa"/>
            <w:vAlign w:val="bottom"/>
            <w:gridSpan w:val="11"/>
          </w:tcPr>
          <w:p>
            <w:pPr>
              <w:jc w:val="center"/>
              <w:ind w:left="833"/>
              <w:spacing w:after="0"/>
              <w:rPr>
                <w:sz w:val="20"/>
                <w:szCs w:val="20"/>
                <w:color w:val="auto"/>
              </w:rPr>
            </w:pPr>
            <w:r>
              <w:rPr>
                <w:rFonts w:ascii="Arial" w:cs="Arial" w:eastAsia="Arial" w:hAnsi="Arial"/>
                <w:sz w:val="14"/>
                <w:szCs w:val="14"/>
                <w:b w:val="1"/>
                <w:bCs w:val="1"/>
                <w:color w:val="auto"/>
              </w:rPr>
              <w:t>Registrant’s telephone number, including area code: (614) 283-6500</w:t>
            </w:r>
          </w:p>
        </w:tc>
        <w:tc>
          <w:tcPr>
            <w:tcW w:w="3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2100" w:type="dxa"/>
            <w:vAlign w:val="bottom"/>
          </w:tcPr>
          <w:p>
            <w:pPr>
              <w:spacing w:after="0"/>
              <w:rPr>
                <w:sz w:val="17"/>
                <w:szCs w:val="17"/>
                <w:color w:val="auto"/>
              </w:rPr>
            </w:pPr>
          </w:p>
        </w:tc>
        <w:tc>
          <w:tcPr>
            <w:tcW w:w="6120" w:type="dxa"/>
            <w:vAlign w:val="bottom"/>
            <w:gridSpan w:val="11"/>
          </w:tcPr>
          <w:p>
            <w:pPr>
              <w:jc w:val="center"/>
              <w:ind w:left="833"/>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3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3880" w:type="dxa"/>
            <w:vAlign w:val="bottom"/>
            <w:tcBorders>
              <w:bottom w:val="single" w:sz="8" w:color="auto"/>
            </w:tcBorders>
            <w:gridSpan w:val="2"/>
          </w:tcPr>
          <w:p>
            <w:pPr>
              <w:jc w:val="center"/>
              <w:ind w:left="528"/>
              <w:spacing w:after="0"/>
              <w:rPr>
                <w:sz w:val="20"/>
                <w:szCs w:val="20"/>
                <w:color w:val="auto"/>
              </w:rPr>
            </w:pPr>
            <w:r>
              <w:rPr>
                <w:rFonts w:ascii="Arial" w:cs="Arial" w:eastAsia="Arial" w:hAnsi="Arial"/>
                <w:sz w:val="14"/>
                <w:szCs w:val="14"/>
                <w:color w:val="auto"/>
              </w:rPr>
              <w:t>Title of each class</w:t>
            </w: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Trading Symbol(s)</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3"/>
          </w:tcPr>
          <w:p>
            <w:pPr>
              <w:jc w:val="center"/>
              <w:ind w:right="767"/>
              <w:spacing w:after="0"/>
              <w:rPr>
                <w:sz w:val="20"/>
                <w:szCs w:val="20"/>
                <w:color w:val="auto"/>
              </w:rPr>
            </w:pPr>
            <w:r>
              <w:rPr>
                <w:rFonts w:ascii="Arial" w:cs="Arial" w:eastAsia="Arial" w:hAnsi="Arial"/>
                <w:sz w:val="14"/>
                <w:szCs w:val="14"/>
                <w:color w:val="auto"/>
              </w:rPr>
              <w:t>Name of each exchange on which registered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880" w:type="dxa"/>
            <w:vAlign w:val="bottom"/>
            <w:gridSpan w:val="2"/>
          </w:tcPr>
          <w:p>
            <w:pPr>
              <w:jc w:val="center"/>
              <w:ind w:left="528"/>
              <w:spacing w:after="0"/>
              <w:rPr>
                <w:sz w:val="20"/>
                <w:szCs w:val="20"/>
                <w:color w:val="auto"/>
              </w:rPr>
            </w:pPr>
            <w:r>
              <w:rPr>
                <w:rFonts w:ascii="Arial" w:cs="Arial" w:eastAsia="Arial" w:hAnsi="Arial"/>
                <w:sz w:val="14"/>
                <w:szCs w:val="14"/>
                <w:b w:val="1"/>
                <w:bCs w:val="1"/>
                <w:color w:val="auto"/>
              </w:rPr>
              <w:t>Class A Common Stock, $0.01 Par Value</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ANF</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20" w:type="dxa"/>
            <w:vAlign w:val="bottom"/>
            <w:gridSpan w:val="3"/>
          </w:tcPr>
          <w:p>
            <w:pPr>
              <w:jc w:val="center"/>
              <w:ind w:right="1140"/>
              <w:spacing w:after="0"/>
              <w:rPr>
                <w:sz w:val="20"/>
                <w:szCs w:val="20"/>
                <w:color w:val="auto"/>
              </w:rPr>
            </w:pPr>
            <w:r>
              <w:rPr>
                <w:rFonts w:ascii="Arial" w:cs="Arial" w:eastAsia="Arial" w:hAnsi="Arial"/>
                <w:sz w:val="14"/>
                <w:szCs w:val="14"/>
                <w:b w:val="1"/>
                <w:bCs w:val="1"/>
                <w:color w:val="auto"/>
              </w:rPr>
              <w:t>New York Stock Exchange</w:t>
            </w:r>
          </w:p>
        </w:tc>
        <w:tc>
          <w:tcPr>
            <w:tcW w:w="0" w:type="dxa"/>
            <w:vAlign w:val="bottom"/>
          </w:tcPr>
          <w:p>
            <w:pPr>
              <w:spacing w:after="0"/>
              <w:rPr>
                <w:sz w:val="1"/>
                <w:szCs w:val="1"/>
                <w:color w:val="auto"/>
              </w:rPr>
            </w:pPr>
          </w:p>
        </w:tc>
      </w:tr>
      <w:tr>
        <w:trPr>
          <w:trHeight w:val="284"/>
        </w:trPr>
        <w:tc>
          <w:tcPr>
            <w:tcW w:w="2100" w:type="dxa"/>
            <w:vAlign w:val="bottom"/>
          </w:tcPr>
          <w:p>
            <w:pPr>
              <w:spacing w:after="0"/>
              <w:rPr>
                <w:sz w:val="24"/>
                <w:szCs w:val="24"/>
                <w:color w:val="auto"/>
              </w:rPr>
            </w:pPr>
          </w:p>
        </w:tc>
        <w:tc>
          <w:tcPr>
            <w:tcW w:w="6120" w:type="dxa"/>
            <w:vAlign w:val="bottom"/>
            <w:gridSpan w:val="11"/>
          </w:tcPr>
          <w:p>
            <w:pPr>
              <w:jc w:val="center"/>
              <w:ind w:left="853"/>
              <w:spacing w:after="0"/>
              <w:rPr>
                <w:sz w:val="20"/>
                <w:szCs w:val="20"/>
                <w:color w:val="auto"/>
              </w:rPr>
            </w:pPr>
            <w:r>
              <w:rPr>
                <w:rFonts w:ascii="Arial" w:cs="Arial" w:eastAsia="Arial" w:hAnsi="Arial"/>
                <w:sz w:val="14"/>
                <w:szCs w:val="14"/>
                <w:b w:val="1"/>
                <w:bCs w:val="1"/>
                <w:color w:val="auto"/>
              </w:rPr>
              <w:t xml:space="preserve">Securities registered pursuant to Section 12(g) of the Act: </w:t>
            </w:r>
            <w:r>
              <w:rPr>
                <w:rFonts w:ascii="Arial" w:cs="Arial" w:eastAsia="Arial" w:hAnsi="Arial"/>
                <w:sz w:val="14"/>
                <w:szCs w:val="14"/>
                <w:color w:val="auto"/>
              </w:rPr>
              <w:t>None</w:t>
            </w:r>
          </w:p>
        </w:tc>
        <w:tc>
          <w:tcPr>
            <w:tcW w:w="3020" w:type="dxa"/>
            <w:vAlign w:val="bottom"/>
            <w:gridSpan w:val="2"/>
            <w:vMerge w:val="restart"/>
          </w:tcPr>
          <w:p>
            <w:pPr>
              <w:ind w:left="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4"/>
                <w:szCs w:val="14"/>
                <w:color w:val="auto"/>
              </w:rPr>
              <w:t xml:space="preserve"> No</w:t>
            </w:r>
          </w:p>
        </w:tc>
        <w:tc>
          <w:tcPr>
            <w:tcW w:w="0" w:type="dxa"/>
            <w:vAlign w:val="bottom"/>
          </w:tcPr>
          <w:p>
            <w:pPr>
              <w:spacing w:after="0"/>
              <w:rPr>
                <w:sz w:val="1"/>
                <w:szCs w:val="1"/>
                <w:color w:val="auto"/>
              </w:rPr>
            </w:pPr>
          </w:p>
        </w:tc>
      </w:tr>
      <w:tr>
        <w:trPr>
          <w:trHeight w:val="249"/>
        </w:trPr>
        <w:tc>
          <w:tcPr>
            <w:tcW w:w="7540" w:type="dxa"/>
            <w:vAlign w:val="bottom"/>
            <w:gridSpan w:val="10"/>
          </w:tcPr>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tc>
        <w:tc>
          <w:tcPr>
            <w:tcW w:w="680" w:type="dxa"/>
            <w:vAlign w:val="bottom"/>
            <w:gridSpan w:val="2"/>
          </w:tcPr>
          <w:p>
            <w:pPr>
              <w:ind w:left="60"/>
              <w:spacing w:after="0"/>
              <w:rPr>
                <w:sz w:val="20"/>
                <w:szCs w:val="20"/>
                <w:color w:val="auto"/>
              </w:rPr>
            </w:pPr>
            <w:r>
              <w:rPr>
                <w:rFonts w:ascii="Wingdings" w:cs="Wingdings" w:eastAsia="Wingdings" w:hAnsi="Wingdings"/>
                <w:sz w:val="16"/>
                <w:szCs w:val="16"/>
                <w:b w:val="1"/>
                <w:bCs w:val="1"/>
                <w:color w:val="auto"/>
              </w:rPr>
              <w:t xml:space="preserve">x </w:t>
            </w:r>
            <w:r>
              <w:rPr>
                <w:rFonts w:ascii="Arial" w:cs="Arial" w:eastAsia="Arial" w:hAnsi="Arial"/>
                <w:sz w:val="14"/>
                <w:szCs w:val="14"/>
                <w:color w:val="auto"/>
              </w:rPr>
              <w:t>Yes</w:t>
            </w:r>
          </w:p>
        </w:tc>
        <w:tc>
          <w:tcPr>
            <w:tcW w:w="30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7540" w:type="dxa"/>
            <w:vAlign w:val="bottom"/>
            <w:gridSpan w:val="10"/>
          </w:tcPr>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tc>
        <w:tc>
          <w:tcPr>
            <w:tcW w:w="680" w:type="dxa"/>
            <w:vAlign w:val="bottom"/>
            <w:gridSpan w:val="2"/>
          </w:tcPr>
          <w:p>
            <w:pPr>
              <w:ind w:left="1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4"/>
                <w:szCs w:val="14"/>
                <w:color w:val="auto"/>
              </w:rPr>
              <w:t xml:space="preserve"> Yes</w:t>
            </w:r>
          </w:p>
        </w:tc>
        <w:tc>
          <w:tcPr>
            <w:tcW w:w="3020" w:type="dxa"/>
            <w:vAlign w:val="bottom"/>
            <w:gridSpan w:val="2"/>
          </w:tcPr>
          <w:p>
            <w:pPr>
              <w:ind w:left="120"/>
              <w:spacing w:after="0"/>
              <w:rPr>
                <w:sz w:val="20"/>
                <w:szCs w:val="20"/>
                <w:color w:val="auto"/>
              </w:rPr>
            </w:pPr>
            <w:r>
              <w:rPr>
                <w:rFonts w:ascii="Wingdings" w:cs="Wingdings" w:eastAsia="Wingdings" w:hAnsi="Wingdings"/>
                <w:sz w:val="16"/>
                <w:szCs w:val="16"/>
                <w:b w:val="1"/>
                <w:bCs w:val="1"/>
                <w:color w:val="auto"/>
              </w:rPr>
              <w:t xml:space="preserve">x </w:t>
            </w:r>
            <w:r>
              <w:rPr>
                <w:rFonts w:ascii="Arial" w:cs="Arial" w:eastAsia="Arial" w:hAnsi="Arial"/>
                <w:sz w:val="14"/>
                <w:szCs w:val="14"/>
                <w:color w:val="auto"/>
              </w:rPr>
              <w:t>No</w:t>
            </w:r>
          </w:p>
        </w:tc>
        <w:tc>
          <w:tcPr>
            <w:tcW w:w="0" w:type="dxa"/>
            <w:vAlign w:val="bottom"/>
          </w:tcPr>
          <w:p>
            <w:pPr>
              <w:spacing w:after="0"/>
              <w:rPr>
                <w:sz w:val="1"/>
                <w:szCs w:val="1"/>
                <w:color w:val="auto"/>
              </w:rPr>
            </w:pPr>
          </w:p>
        </w:tc>
      </w:tr>
    </w:tbl>
    <w:p>
      <w:pPr>
        <w:spacing w:after="0" w:line="79" w:lineRule="exact"/>
        <w:rPr>
          <w:sz w:val="24"/>
          <w:szCs w:val="24"/>
          <w:color w:val="auto"/>
        </w:rPr>
      </w:pPr>
    </w:p>
    <w:p>
      <w:pPr>
        <w:ind w:right="100"/>
        <w:spacing w:after="0" w:line="257"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78" w:lineRule="exact"/>
        <w:tabs>
          <w:tab w:leader="none" w:pos="500" w:val="left"/>
        </w:tabs>
        <w:rPr>
          <w:sz w:val="20"/>
          <w:szCs w:val="20"/>
          <w:color w:val="auto"/>
        </w:rPr>
      </w:pPr>
      <w:r>
        <w:rPr>
          <w:rFonts w:ascii="Arial" w:cs="Arial" w:eastAsia="Arial" w:hAnsi="Arial"/>
          <w:sz w:val="14"/>
          <w:szCs w:val="14"/>
          <w:color w:val="auto"/>
        </w:rPr>
        <w:t>days.</w:t>
      </w:r>
      <w:r>
        <w:rPr>
          <w:sz w:val="20"/>
          <w:szCs w:val="20"/>
          <w:color w:val="auto"/>
        </w:rPr>
        <w:tab/>
      </w:r>
      <w:r>
        <w:rPr>
          <w:rFonts w:ascii="Wingdings" w:cs="Wingdings" w:eastAsia="Wingdings" w:hAnsi="Wingdings"/>
          <w:sz w:val="16"/>
          <w:szCs w:val="16"/>
          <w:b w:val="1"/>
          <w:bCs w:val="1"/>
          <w:color w:val="auto"/>
        </w:rPr>
        <w:t xml:space="preserve">x </w:t>
      </w:r>
      <w:r>
        <w:rPr>
          <w:rFonts w:ascii="Arial" w:cs="Arial" w:eastAsia="Arial" w:hAnsi="Arial"/>
          <w:sz w:val="14"/>
          <w:szCs w:val="14"/>
          <w:color w:val="auto"/>
        </w:rPr>
        <w:t>Yes</w:t>
      </w:r>
      <w:r>
        <w:rPr>
          <w:rFonts w:ascii="Wingdings" w:cs="Wingdings" w:eastAsia="Wingdings" w:hAnsi="Wingdings"/>
          <w:sz w:val="16"/>
          <w:szCs w:val="16"/>
          <w:b w:val="1"/>
          <w:bCs w:val="1"/>
          <w:color w:val="auto"/>
        </w:rPr>
        <w:t xml:space="preserve">  </w:t>
      </w:r>
      <w:r>
        <w:rPr>
          <w:rFonts w:ascii="MS PGothic" w:cs="MS PGothic" w:eastAsia="MS PGothic" w:hAnsi="MS PGothic"/>
          <w:sz w:val="16"/>
          <w:szCs w:val="16"/>
          <w:color w:val="auto"/>
        </w:rPr>
        <w:t>☐</w:t>
      </w:r>
      <w:r>
        <w:rPr>
          <w:rFonts w:ascii="Wingdings" w:cs="Wingdings" w:eastAsia="Wingdings" w:hAnsi="Wingdings"/>
          <w:sz w:val="16"/>
          <w:szCs w:val="16"/>
          <w:b w:val="1"/>
          <w:bCs w:val="1"/>
          <w:color w:val="auto"/>
        </w:rPr>
        <w:t xml:space="preserve"> </w:t>
      </w:r>
      <w:r>
        <w:rPr>
          <w:rFonts w:ascii="Arial" w:cs="Arial" w:eastAsia="Arial" w:hAnsi="Arial"/>
          <w:sz w:val="14"/>
          <w:szCs w:val="14"/>
          <w:color w:val="auto"/>
        </w:rPr>
        <w:t>No</w:t>
      </w:r>
    </w:p>
    <w:p>
      <w:pPr>
        <w:spacing w:after="0" w:line="126" w:lineRule="exact"/>
        <w:rPr>
          <w:sz w:val="24"/>
          <w:szCs w:val="24"/>
          <w:color w:val="auto"/>
        </w:rPr>
      </w:pPr>
    </w:p>
    <w:p>
      <w:pPr>
        <w:jc w:val="both"/>
        <w:spacing w:after="0" w:line="19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Wingdings" w:cs="Wingdings" w:eastAsia="Wingdings" w:hAnsi="Wingdings"/>
          <w:sz w:val="16"/>
          <w:szCs w:val="16"/>
          <w:b w:val="1"/>
          <w:bCs w:val="1"/>
          <w:color w:val="auto"/>
        </w:rPr>
        <w:t>x</w:t>
      </w:r>
      <w:r>
        <w:rPr>
          <w:rFonts w:ascii="Arial" w:cs="Arial" w:eastAsia="Arial" w:hAnsi="Arial"/>
          <w:sz w:val="14"/>
          <w:szCs w:val="14"/>
          <w:color w:val="auto"/>
        </w:rPr>
        <w:t xml:space="preserve"> Yes </w:t>
      </w:r>
      <w:r>
        <w:rPr>
          <w:rFonts w:ascii="MS PGothic" w:cs="MS PGothic" w:eastAsia="MS PGothic" w:hAnsi="MS PGothic"/>
          <w:sz w:val="16"/>
          <w:szCs w:val="16"/>
          <w:color w:val="auto"/>
        </w:rPr>
        <w:t>☐</w:t>
      </w:r>
      <w:r>
        <w:rPr>
          <w:rFonts w:ascii="Arial" w:cs="Arial" w:eastAsia="Arial" w:hAnsi="Arial"/>
          <w:sz w:val="14"/>
          <w:szCs w:val="14"/>
          <w:color w:val="auto"/>
        </w:rPr>
        <w:t xml:space="preserve"> No</w:t>
      </w:r>
    </w:p>
    <w:p>
      <w:pPr>
        <w:spacing w:after="0" w:line="80" w:lineRule="exact"/>
        <w:rPr>
          <w:sz w:val="24"/>
          <w:szCs w:val="24"/>
          <w:color w:val="auto"/>
        </w:rPr>
      </w:pPr>
    </w:p>
    <w:p>
      <w:pPr>
        <w:ind w:right="280"/>
        <w:spacing w:after="0" w:line="27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88"/>
        </w:trPr>
        <w:tc>
          <w:tcPr>
            <w:tcW w:w="19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360" w:type="dxa"/>
            <w:vAlign w:val="bottom"/>
          </w:tcPr>
          <w:p>
            <w:pPr>
              <w:ind w:left="560"/>
              <w:spacing w:after="0"/>
              <w:rPr>
                <w:sz w:val="20"/>
                <w:szCs w:val="20"/>
                <w:color w:val="auto"/>
              </w:rPr>
            </w:pPr>
            <w:r>
              <w:rPr>
                <w:rFonts w:ascii="Wingdings" w:cs="Wingdings" w:eastAsia="Wingdings" w:hAnsi="Wingdings"/>
                <w:sz w:val="16"/>
                <w:szCs w:val="16"/>
                <w:b w:val="1"/>
                <w:bCs w:val="1"/>
                <w:color w:val="auto"/>
              </w:rPr>
              <w:t>x</w:t>
            </w:r>
          </w:p>
        </w:tc>
        <w:tc>
          <w:tcPr>
            <w:tcW w:w="4940" w:type="dxa"/>
            <w:vAlign w:val="bottom"/>
          </w:tcPr>
          <w:p>
            <w:pPr>
              <w:ind w:left="2640"/>
              <w:spacing w:after="0"/>
              <w:rPr>
                <w:sz w:val="20"/>
                <w:szCs w:val="20"/>
                <w:color w:val="auto"/>
              </w:rPr>
            </w:pPr>
            <w:r>
              <w:rPr>
                <w:rFonts w:ascii="Arial" w:cs="Arial" w:eastAsia="Arial" w:hAnsi="Arial"/>
                <w:sz w:val="14"/>
                <w:szCs w:val="14"/>
                <w:color w:val="auto"/>
              </w:rPr>
              <w:t>Accelerated filer</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1980" w:type="dxa"/>
            <w:vAlign w:val="bottom"/>
          </w:tcPr>
          <w:p>
            <w:pPr>
              <w:spacing w:after="0"/>
              <w:rPr>
                <w:sz w:val="20"/>
                <w:szCs w:val="20"/>
                <w:color w:val="auto"/>
              </w:rPr>
            </w:pPr>
            <w:r>
              <w:rPr>
                <w:rFonts w:ascii="Arial" w:cs="Arial" w:eastAsia="Arial" w:hAnsi="Arial"/>
                <w:sz w:val="14"/>
                <w:szCs w:val="14"/>
                <w:color w:val="auto"/>
              </w:rPr>
              <w:t>Non-accelerated filer</w:t>
            </w:r>
          </w:p>
        </w:tc>
        <w:tc>
          <w:tcPr>
            <w:tcW w:w="336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4940" w:type="dxa"/>
            <w:vAlign w:val="bottom"/>
          </w:tcPr>
          <w:p>
            <w:pPr>
              <w:ind w:left="2640"/>
              <w:spacing w:after="0"/>
              <w:rPr>
                <w:sz w:val="20"/>
                <w:szCs w:val="20"/>
                <w:color w:val="auto"/>
              </w:rPr>
            </w:pPr>
            <w:r>
              <w:rPr>
                <w:rFonts w:ascii="Arial" w:cs="Arial" w:eastAsia="Arial" w:hAnsi="Arial"/>
                <w:sz w:val="14"/>
                <w:szCs w:val="14"/>
                <w:color w:val="auto"/>
              </w:rPr>
              <w:t>Smaller reporting company</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98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4940" w:type="dxa"/>
            <w:vAlign w:val="bottom"/>
          </w:tcPr>
          <w:p>
            <w:pPr>
              <w:ind w:left="2640"/>
              <w:spacing w:after="0"/>
              <w:rPr>
                <w:sz w:val="20"/>
                <w:szCs w:val="20"/>
                <w:color w:val="auto"/>
              </w:rPr>
            </w:pPr>
            <w:r>
              <w:rPr>
                <w:rFonts w:ascii="Arial" w:cs="Arial" w:eastAsia="Arial" w:hAnsi="Arial"/>
                <w:sz w:val="14"/>
                <w:szCs w:val="14"/>
                <w:color w:val="auto"/>
              </w:rPr>
              <w:t>Emerging growth company</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9" w:lineRule="exact"/>
        <w:rPr>
          <w:sz w:val="24"/>
          <w:szCs w:val="24"/>
          <w:color w:val="auto"/>
        </w:rPr>
      </w:pPr>
    </w:p>
    <w:p>
      <w:pPr>
        <w:ind w:right="300"/>
        <w:spacing w:after="0" w:line="20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jc w:val="both"/>
        <w:spacing w:after="0" w:line="284" w:lineRule="auto"/>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Wingdings" w:cs="Wingdings" w:eastAsia="Wingdings" w:hAnsi="Wingdings"/>
          <w:sz w:val="16"/>
          <w:szCs w:val="16"/>
          <w:b w:val="1"/>
          <w:bCs w:val="1"/>
          <w:color w:val="auto"/>
        </w:rPr>
        <w:t>x</w:t>
      </w:r>
    </w:p>
    <w:p>
      <w:pPr>
        <w:spacing w:after="0" w:line="24" w:lineRule="exact"/>
        <w:rPr>
          <w:sz w:val="24"/>
          <w:szCs w:val="24"/>
          <w:color w:val="auto"/>
        </w:rPr>
      </w:pPr>
    </w:p>
    <w:p>
      <w:pPr>
        <w:ind w:right="620"/>
        <w:spacing w:after="0" w:line="214"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45" w:lineRule="exact"/>
        <w:rPr>
          <w:sz w:val="24"/>
          <w:szCs w:val="24"/>
          <w:color w:val="auto"/>
        </w:rPr>
      </w:pPr>
    </w:p>
    <w:p>
      <w:pPr>
        <w:ind w:right="460"/>
        <w:spacing w:after="0" w:line="197"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68" w:lineRule="exact"/>
        <w:tabs>
          <w:tab w:leader="none" w:pos="668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4"/>
          <w:szCs w:val="14"/>
          <w:color w:val="auto"/>
        </w:rPr>
        <w:t>Yes</w:t>
      </w:r>
      <w:r>
        <w:rPr>
          <w:rFonts w:ascii="MS PGothic" w:cs="MS PGothic" w:eastAsia="MS PGothic" w:hAnsi="MS PGothic"/>
          <w:sz w:val="16"/>
          <w:szCs w:val="16"/>
          <w:color w:val="auto"/>
        </w:rPr>
        <w:t xml:space="preserve">  </w:t>
      </w:r>
      <w:r>
        <w:rPr>
          <w:rFonts w:ascii="Wingdings" w:cs="Wingdings" w:eastAsia="Wingdings" w:hAnsi="Wingdings"/>
          <w:sz w:val="14"/>
          <w:szCs w:val="14"/>
          <w:b w:val="1"/>
          <w:bCs w:val="1"/>
          <w:color w:val="auto"/>
        </w:rPr>
        <w:t>x</w:t>
      </w:r>
      <w:r>
        <w:rPr>
          <w:rFonts w:ascii="MS PGothic" w:cs="MS PGothic" w:eastAsia="MS PGothic" w:hAnsi="MS PGothic"/>
          <w:sz w:val="16"/>
          <w:szCs w:val="16"/>
          <w:color w:val="auto"/>
        </w:rPr>
        <w:t xml:space="preserve">  </w:t>
      </w:r>
      <w:r>
        <w:rPr>
          <w:rFonts w:ascii="Arial" w:cs="Arial" w:eastAsia="Arial" w:hAnsi="Arial"/>
          <w:sz w:val="14"/>
          <w:szCs w:val="14"/>
          <w:color w:val="auto"/>
        </w:rPr>
        <w:t>No</w:t>
      </w:r>
    </w:p>
    <w:p>
      <w:pPr>
        <w:spacing w:after="0" w:line="128" w:lineRule="exact"/>
        <w:rPr>
          <w:sz w:val="24"/>
          <w:szCs w:val="24"/>
          <w:color w:val="auto"/>
        </w:rPr>
      </w:pPr>
    </w:p>
    <w:p>
      <w:pPr>
        <w:jc w:val="both"/>
        <w:spacing w:after="0" w:line="273" w:lineRule="auto"/>
        <w:rPr>
          <w:sz w:val="20"/>
          <w:szCs w:val="20"/>
          <w:color w:val="auto"/>
        </w:rPr>
      </w:pPr>
      <w:r>
        <w:rPr>
          <w:rFonts w:ascii="Arial" w:cs="Arial" w:eastAsia="Arial" w:hAnsi="Arial"/>
          <w:sz w:val="14"/>
          <w:szCs w:val="14"/>
          <w:color w:val="auto"/>
        </w:rPr>
        <w:t>Aggregate market value of the registrant’s Class A Common Stock (the only outstanding common equity of the registrant) held by non-affiliates of the registrant (for this purpose, executive officers and directors of the registrant are considered affiliates) as of August 3, 2024: $6,635,249,010. Number of shares outstanding of the registrant’s common stock as of March 28, 2025: 48,869,057 shares of Class A Common Stock.</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19" w:lineRule="exact"/>
        <w:rPr>
          <w:sz w:val="24"/>
          <w:szCs w:val="24"/>
          <w:color w:val="auto"/>
        </w:rPr>
      </w:pPr>
    </w:p>
    <w:p>
      <w:pPr>
        <w:ind w:right="100"/>
        <w:spacing w:after="0" w:line="264" w:lineRule="auto"/>
        <w:rPr>
          <w:sz w:val="20"/>
          <w:szCs w:val="20"/>
          <w:color w:val="auto"/>
        </w:rPr>
      </w:pPr>
      <w:r>
        <w:rPr>
          <w:rFonts w:ascii="Arial" w:cs="Arial" w:eastAsia="Arial" w:hAnsi="Arial"/>
          <w:sz w:val="14"/>
          <w:szCs w:val="14"/>
          <w:color w:val="auto"/>
        </w:rPr>
        <w:t>Portions of the registrant’s definitive proxy statement for the 2025 Annual Meeting of Stockholders, are incorporated by reference into Part III of this Annual Report on Form 10-K. The registrant expects to file such definitive proxy statement with the Securities and Exchange Commission within 120 days of its fiscal year ended February 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530860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9"/>
          <w:szCs w:val="29"/>
          <w:u w:val="single" w:color="auto"/>
          <w:color w:val="auto"/>
        </w:rPr>
        <w:t>Table of Contents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700" w:type="dxa"/>
            <w:vAlign w:val="bottom"/>
            <w:gridSpan w:val="11"/>
          </w:tcPr>
          <w:p>
            <w:pPr>
              <w:jc w:val="center"/>
              <w:ind w:right="5100"/>
              <w:spacing w:after="0"/>
              <w:rPr>
                <w:sz w:val="20"/>
                <w:szCs w:val="20"/>
                <w:color w:val="auto"/>
              </w:rPr>
            </w:pPr>
            <w:r>
              <w:rPr>
                <w:rFonts w:ascii="Arial" w:cs="Arial" w:eastAsia="Arial" w:hAnsi="Arial"/>
                <w:sz w:val="16"/>
                <w:szCs w:val="16"/>
                <w:b w:val="1"/>
                <w:bCs w:val="1"/>
                <w:color w:val="0000FF"/>
                <w:w w:val="99"/>
              </w:rPr>
              <w:t>PART I</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Borders>
              <w:bottom w:val="single" w:sz="8" w:color="F5F5F5"/>
            </w:tcBorders>
            <w:shd w:val="clear" w:color="auto" w:fill="F5F5F5"/>
          </w:tcPr>
          <w:p>
            <w:pPr>
              <w:ind w:left="20"/>
              <w:spacing w:after="0" w:line="175" w:lineRule="exact"/>
              <w:rPr>
                <w:sz w:val="20"/>
                <w:szCs w:val="20"/>
                <w:color w:val="auto"/>
              </w:rPr>
            </w:pPr>
            <w:r>
              <w:rPr>
                <w:rFonts w:ascii="Arial" w:cs="Arial" w:eastAsia="Arial" w:hAnsi="Arial"/>
                <w:sz w:val="16"/>
                <w:szCs w:val="16"/>
                <w:color w:val="auto"/>
              </w:rPr>
              <w:t>Item 1.</w:t>
            </w:r>
          </w:p>
        </w:tc>
        <w:tc>
          <w:tcPr>
            <w:tcW w:w="660" w:type="dxa"/>
            <w:vAlign w:val="bottom"/>
            <w:tcBorders>
              <w:bottom w:val="single" w:sz="8" w:color="0000FF"/>
            </w:tcBorders>
            <w:shd w:val="clear" w:color="auto" w:fill="F5F5F5"/>
          </w:tcPr>
          <w:p>
            <w:pPr>
              <w:spacing w:after="0" w:line="175" w:lineRule="exact"/>
              <w:rPr>
                <w:sz w:val="20"/>
                <w:szCs w:val="20"/>
                <w:color w:val="auto"/>
              </w:rPr>
            </w:pPr>
            <w:r>
              <w:rPr>
                <w:rFonts w:ascii="Arial" w:cs="Arial" w:eastAsia="Arial" w:hAnsi="Arial"/>
                <w:sz w:val="16"/>
                <w:szCs w:val="16"/>
                <w:color w:val="0000FF"/>
                <w:w w:val="98"/>
              </w:rPr>
              <w:t>Business</w:t>
            </w:r>
          </w:p>
        </w:tc>
        <w:tc>
          <w:tcPr>
            <w:tcW w:w="9360" w:type="dxa"/>
            <w:vAlign w:val="bottom"/>
            <w:tcBorders>
              <w:bottom w:val="single" w:sz="8" w:color="F5F5F5"/>
            </w:tcBorders>
            <w:gridSpan w:val="34"/>
            <w:shd w:val="clear" w:color="auto" w:fill="F5F5F5"/>
          </w:tcPr>
          <w:p>
            <w:pPr>
              <w:spacing w:after="0"/>
              <w:rPr>
                <w:sz w:val="17"/>
                <w:szCs w:val="17"/>
                <w:color w:val="auto"/>
              </w:rPr>
            </w:pPr>
          </w:p>
        </w:tc>
        <w:tc>
          <w:tcPr>
            <w:tcW w:w="80" w:type="dxa"/>
            <w:vAlign w:val="bottom"/>
            <w:tcBorders>
              <w:bottom w:val="single" w:sz="8" w:color="F5F5F5"/>
            </w:tcBorders>
            <w:shd w:val="clear" w:color="auto" w:fill="F5F5F5"/>
          </w:tcPr>
          <w:p>
            <w:pPr>
              <w:spacing w:after="0"/>
              <w:rPr>
                <w:sz w:val="17"/>
                <w:szCs w:val="17"/>
                <w:color w:val="auto"/>
              </w:rPr>
            </w:pPr>
          </w:p>
        </w:tc>
        <w:tc>
          <w:tcPr>
            <w:tcW w:w="100" w:type="dxa"/>
            <w:vAlign w:val="bottom"/>
            <w:tcBorders>
              <w:bottom w:val="single" w:sz="8" w:color="0000FF"/>
            </w:tcBorders>
            <w:shd w:val="clear" w:color="auto" w:fill="F5F5F5"/>
          </w:tcPr>
          <w:p>
            <w:pPr>
              <w:jc w:val="right"/>
              <w:spacing w:after="0" w:line="175" w:lineRule="exact"/>
              <w:rPr>
                <w:sz w:val="20"/>
                <w:szCs w:val="20"/>
                <w:color w:val="auto"/>
              </w:rPr>
            </w:pPr>
            <w:r>
              <w:rPr>
                <w:rFonts w:ascii="Arial" w:cs="Arial" w:eastAsia="Arial" w:hAnsi="Arial"/>
                <w:sz w:val="16"/>
                <w:szCs w:val="16"/>
                <w:color w:val="0000FF"/>
                <w:w w:val="89"/>
              </w:rPr>
              <w:t>4</w:t>
            </w:r>
          </w:p>
        </w:tc>
        <w:tc>
          <w:tcPr>
            <w:tcW w:w="20" w:type="dxa"/>
            <w:vAlign w:val="bottom"/>
            <w:tcBorders>
              <w:bottom w:val="single" w:sz="8" w:color="F5F5F5"/>
            </w:tcBorders>
            <w:shd w:val="clear" w:color="auto" w:fill="F5F5F5"/>
          </w:tcPr>
          <w:p>
            <w:pPr>
              <w:spacing w:after="0"/>
              <w:rPr>
                <w:sz w:val="17"/>
                <w:szCs w:val="17"/>
                <w:color w:val="auto"/>
              </w:rPr>
            </w:pPr>
          </w:p>
        </w:tc>
      </w:tr>
      <w:tr>
        <w:trPr>
          <w:trHeight w:val="176"/>
        </w:trPr>
        <w:tc>
          <w:tcPr>
            <w:tcW w:w="1000" w:type="dxa"/>
            <w:vAlign w:val="bottom"/>
          </w:tcPr>
          <w:p>
            <w:pPr>
              <w:ind w:left="20"/>
              <w:spacing w:after="0" w:line="175" w:lineRule="exact"/>
              <w:rPr>
                <w:sz w:val="20"/>
                <w:szCs w:val="20"/>
                <w:color w:val="auto"/>
              </w:rPr>
            </w:pPr>
            <w:r>
              <w:rPr>
                <w:rFonts w:ascii="Arial" w:cs="Arial" w:eastAsia="Arial" w:hAnsi="Arial"/>
                <w:sz w:val="16"/>
                <w:szCs w:val="16"/>
                <w:color w:val="auto"/>
              </w:rPr>
              <w:t>Item 1A.</w:t>
            </w:r>
          </w:p>
        </w:tc>
        <w:tc>
          <w:tcPr>
            <w:tcW w:w="10020" w:type="dxa"/>
            <w:vAlign w:val="bottom"/>
            <w:gridSpan w:val="35"/>
          </w:tcPr>
          <w:p>
            <w:pPr>
              <w:spacing w:after="0" w:line="175" w:lineRule="exact"/>
              <w:rPr>
                <w:sz w:val="20"/>
                <w:szCs w:val="20"/>
                <w:color w:val="auto"/>
              </w:rPr>
            </w:pPr>
            <w:r>
              <w:rPr>
                <w:rFonts w:ascii="Arial" w:cs="Arial" w:eastAsia="Arial" w:hAnsi="Arial"/>
                <w:sz w:val="16"/>
                <w:szCs w:val="16"/>
                <w:color w:val="0000FF"/>
              </w:rPr>
              <w:t>Risk Factors</w:t>
            </w:r>
          </w:p>
        </w:tc>
        <w:tc>
          <w:tcPr>
            <w:tcW w:w="180" w:type="dxa"/>
            <w:vAlign w:val="bottom"/>
            <w:gridSpan w:val="2"/>
          </w:tcPr>
          <w:p>
            <w:pPr>
              <w:jc w:val="right"/>
              <w:spacing w:after="0" w:line="175" w:lineRule="exact"/>
              <w:rPr>
                <w:sz w:val="20"/>
                <w:szCs w:val="20"/>
                <w:color w:val="auto"/>
              </w:rPr>
            </w:pPr>
            <w:r>
              <w:rPr>
                <w:rFonts w:ascii="Arial" w:cs="Arial" w:eastAsia="Arial" w:hAnsi="Arial"/>
                <w:sz w:val="16"/>
                <w:szCs w:val="16"/>
                <w:color w:val="0000FF"/>
                <w:w w:val="89"/>
              </w:rPr>
              <w:t>12</w:t>
            </w:r>
          </w:p>
        </w:tc>
        <w:tc>
          <w:tcPr>
            <w:tcW w:w="20" w:type="dxa"/>
            <w:vAlign w:val="bottom"/>
          </w:tcPr>
          <w:p>
            <w:pPr>
              <w:spacing w:after="0"/>
              <w:rPr>
                <w:sz w:val="15"/>
                <w:szCs w:val="15"/>
                <w:color w:val="auto"/>
              </w:rPr>
            </w:pPr>
          </w:p>
        </w:tc>
      </w:tr>
      <w:tr>
        <w:trPr>
          <w:trHeight w:val="20"/>
        </w:trPr>
        <w:tc>
          <w:tcPr>
            <w:tcW w:w="100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shd w:val="clear" w:color="auto" w:fill="F5F5F5"/>
          </w:tcPr>
          <w:p>
            <w:pPr>
              <w:ind w:left="20"/>
              <w:spacing w:after="0" w:line="175" w:lineRule="exact"/>
              <w:rPr>
                <w:sz w:val="20"/>
                <w:szCs w:val="20"/>
                <w:color w:val="auto"/>
              </w:rPr>
            </w:pPr>
            <w:r>
              <w:rPr>
                <w:rFonts w:ascii="Arial" w:cs="Arial" w:eastAsia="Arial" w:hAnsi="Arial"/>
                <w:sz w:val="16"/>
                <w:szCs w:val="16"/>
                <w:color w:val="auto"/>
              </w:rPr>
              <w:t>Item 1B.</w:t>
            </w:r>
          </w:p>
        </w:tc>
        <w:tc>
          <w:tcPr>
            <w:tcW w:w="10020" w:type="dxa"/>
            <w:vAlign w:val="bottom"/>
            <w:gridSpan w:val="35"/>
            <w:shd w:val="clear" w:color="auto" w:fill="F5F5F5"/>
          </w:tcPr>
          <w:p>
            <w:pPr>
              <w:spacing w:after="0" w:line="175" w:lineRule="exact"/>
              <w:rPr>
                <w:sz w:val="20"/>
                <w:szCs w:val="20"/>
                <w:color w:val="auto"/>
              </w:rPr>
            </w:pPr>
            <w:r>
              <w:rPr>
                <w:rFonts w:ascii="Arial" w:cs="Arial" w:eastAsia="Arial" w:hAnsi="Arial"/>
                <w:sz w:val="16"/>
                <w:szCs w:val="16"/>
                <w:color w:val="0000FF"/>
              </w:rPr>
              <w:t>Unresolved Staff Comments</w:t>
            </w:r>
          </w:p>
        </w:tc>
        <w:tc>
          <w:tcPr>
            <w:tcW w:w="180" w:type="dxa"/>
            <w:vAlign w:val="bottom"/>
            <w:gridSpan w:val="2"/>
            <w:shd w:val="clear" w:color="auto" w:fill="F5F5F5"/>
          </w:tcPr>
          <w:p>
            <w:pPr>
              <w:jc w:val="right"/>
              <w:spacing w:after="0" w:line="175" w:lineRule="exact"/>
              <w:rPr>
                <w:sz w:val="20"/>
                <w:szCs w:val="20"/>
                <w:color w:val="auto"/>
              </w:rPr>
            </w:pPr>
            <w:r>
              <w:rPr>
                <w:rFonts w:ascii="Arial" w:cs="Arial" w:eastAsia="Arial" w:hAnsi="Arial"/>
                <w:sz w:val="16"/>
                <w:szCs w:val="16"/>
                <w:color w:val="0000FF"/>
                <w:w w:val="89"/>
              </w:rPr>
              <w:t>25</w:t>
            </w:r>
          </w:p>
        </w:tc>
        <w:tc>
          <w:tcPr>
            <w:tcW w:w="20" w:type="dxa"/>
            <w:vAlign w:val="bottom"/>
            <w:shd w:val="clear" w:color="auto" w:fill="F5F5F5"/>
          </w:tcPr>
          <w:p>
            <w:pPr>
              <w:spacing w:after="0"/>
              <w:rPr>
                <w:sz w:val="17"/>
                <w:szCs w:val="17"/>
                <w:color w:val="auto"/>
              </w:rPr>
            </w:pPr>
          </w:p>
        </w:tc>
      </w:tr>
      <w:tr>
        <w:trPr>
          <w:trHeight w:val="176"/>
        </w:trPr>
        <w:tc>
          <w:tcPr>
            <w:tcW w:w="1000" w:type="dxa"/>
            <w:vAlign w:val="bottom"/>
            <w:tcBorders>
              <w:top w:val="single" w:sz="8" w:color="F5F5F5"/>
            </w:tcBorders>
          </w:tcPr>
          <w:p>
            <w:pPr>
              <w:ind w:left="20"/>
              <w:spacing w:after="0" w:line="175" w:lineRule="exact"/>
              <w:rPr>
                <w:sz w:val="20"/>
                <w:szCs w:val="20"/>
                <w:color w:val="auto"/>
              </w:rPr>
            </w:pPr>
            <w:r>
              <w:rPr>
                <w:rFonts w:ascii="Arial" w:cs="Arial" w:eastAsia="Arial" w:hAnsi="Arial"/>
                <w:sz w:val="16"/>
                <w:szCs w:val="16"/>
                <w:color w:val="auto"/>
              </w:rPr>
              <w:t>Item 1C.</w:t>
            </w:r>
          </w:p>
        </w:tc>
        <w:tc>
          <w:tcPr>
            <w:tcW w:w="2020" w:type="dxa"/>
            <w:vAlign w:val="bottom"/>
            <w:tcBorders>
              <w:top w:val="single" w:sz="8" w:color="0000FF"/>
            </w:tcBorders>
            <w:gridSpan w:val="12"/>
          </w:tcPr>
          <w:p>
            <w:pPr>
              <w:spacing w:after="0" w:line="175" w:lineRule="exact"/>
              <w:rPr>
                <w:sz w:val="20"/>
                <w:szCs w:val="20"/>
                <w:color w:val="auto"/>
              </w:rPr>
            </w:pPr>
            <w:r>
              <w:rPr>
                <w:rFonts w:ascii="Arial" w:cs="Arial" w:eastAsia="Arial" w:hAnsi="Arial"/>
                <w:sz w:val="16"/>
                <w:szCs w:val="16"/>
                <w:color w:val="0000FF"/>
              </w:rPr>
              <w:t>Cybersecurity</w:t>
            </w:r>
          </w:p>
        </w:tc>
        <w:tc>
          <w:tcPr>
            <w:tcW w:w="8000" w:type="dxa"/>
            <w:vAlign w:val="bottom"/>
            <w:tcBorders>
              <w:top w:val="single" w:sz="8" w:color="F5F5F5"/>
            </w:tcBorders>
            <w:gridSpan w:val="23"/>
          </w:tcPr>
          <w:p>
            <w:pPr>
              <w:spacing w:after="0"/>
              <w:rPr>
                <w:sz w:val="15"/>
                <w:szCs w:val="15"/>
                <w:color w:val="auto"/>
              </w:rPr>
            </w:pPr>
          </w:p>
        </w:tc>
        <w:tc>
          <w:tcPr>
            <w:tcW w:w="180" w:type="dxa"/>
            <w:vAlign w:val="bottom"/>
            <w:tcBorders>
              <w:top w:val="single" w:sz="8" w:color="0000FF"/>
            </w:tcBorders>
            <w:gridSpan w:val="2"/>
          </w:tcPr>
          <w:p>
            <w:pPr>
              <w:jc w:val="right"/>
              <w:spacing w:after="0" w:line="175" w:lineRule="exact"/>
              <w:rPr>
                <w:sz w:val="20"/>
                <w:szCs w:val="20"/>
                <w:color w:val="auto"/>
              </w:rPr>
            </w:pPr>
            <w:r>
              <w:rPr>
                <w:rFonts w:ascii="Arial" w:cs="Arial" w:eastAsia="Arial" w:hAnsi="Arial"/>
                <w:sz w:val="16"/>
                <w:szCs w:val="16"/>
                <w:color w:val="0000FF"/>
                <w:w w:val="89"/>
              </w:rPr>
              <w:t>25</w:t>
            </w:r>
          </w:p>
        </w:tc>
        <w:tc>
          <w:tcPr>
            <w:tcW w:w="20" w:type="dxa"/>
            <w:vAlign w:val="bottom"/>
            <w:tcBorders>
              <w:top w:val="single" w:sz="8" w:color="F5F5F5"/>
            </w:tcBorders>
          </w:tcPr>
          <w:p>
            <w:pPr>
              <w:spacing w:after="0"/>
              <w:rPr>
                <w:sz w:val="15"/>
                <w:szCs w:val="15"/>
                <w:color w:val="auto"/>
              </w:rPr>
            </w:pPr>
          </w:p>
        </w:tc>
      </w:tr>
      <w:tr>
        <w:trPr>
          <w:trHeight w:val="21"/>
        </w:trPr>
        <w:tc>
          <w:tcPr>
            <w:tcW w:w="100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Borders>
              <w:bottom w:val="single" w:sz="8" w:color="F5F5F5"/>
            </w:tcBorders>
            <w:shd w:val="clear" w:color="auto" w:fill="F5F5F5"/>
          </w:tcPr>
          <w:p>
            <w:pPr>
              <w:ind w:left="20"/>
              <w:spacing w:after="0" w:line="175" w:lineRule="exact"/>
              <w:rPr>
                <w:sz w:val="20"/>
                <w:szCs w:val="20"/>
                <w:color w:val="auto"/>
              </w:rPr>
            </w:pPr>
            <w:r>
              <w:rPr>
                <w:rFonts w:ascii="Arial" w:cs="Arial" w:eastAsia="Arial" w:hAnsi="Arial"/>
                <w:sz w:val="16"/>
                <w:szCs w:val="16"/>
                <w:color w:val="auto"/>
              </w:rPr>
              <w:t>Item 2.</w:t>
            </w:r>
          </w:p>
        </w:tc>
        <w:tc>
          <w:tcPr>
            <w:tcW w:w="740" w:type="dxa"/>
            <w:vAlign w:val="bottom"/>
            <w:tcBorders>
              <w:bottom w:val="single" w:sz="8" w:color="0000FF"/>
            </w:tcBorders>
            <w:gridSpan w:val="2"/>
            <w:shd w:val="clear" w:color="auto" w:fill="F5F5F5"/>
          </w:tcPr>
          <w:p>
            <w:pPr>
              <w:spacing w:after="0" w:line="175" w:lineRule="exact"/>
              <w:rPr>
                <w:sz w:val="20"/>
                <w:szCs w:val="20"/>
                <w:color w:val="auto"/>
              </w:rPr>
            </w:pPr>
            <w:r>
              <w:rPr>
                <w:rFonts w:ascii="Arial" w:cs="Arial" w:eastAsia="Arial" w:hAnsi="Arial"/>
                <w:sz w:val="16"/>
                <w:szCs w:val="16"/>
                <w:color w:val="0000FF"/>
                <w:w w:val="98"/>
              </w:rPr>
              <w:t>Properties</w:t>
            </w:r>
          </w:p>
        </w:tc>
        <w:tc>
          <w:tcPr>
            <w:tcW w:w="9280" w:type="dxa"/>
            <w:vAlign w:val="bottom"/>
            <w:tcBorders>
              <w:bottom w:val="single" w:sz="8" w:color="F5F5F5"/>
            </w:tcBorders>
            <w:gridSpan w:val="33"/>
            <w:shd w:val="clear" w:color="auto" w:fill="F5F5F5"/>
          </w:tcPr>
          <w:p>
            <w:pPr>
              <w:spacing w:after="0"/>
              <w:rPr>
                <w:sz w:val="17"/>
                <w:szCs w:val="17"/>
                <w:color w:val="auto"/>
              </w:rPr>
            </w:pPr>
          </w:p>
        </w:tc>
        <w:tc>
          <w:tcPr>
            <w:tcW w:w="180" w:type="dxa"/>
            <w:vAlign w:val="bottom"/>
            <w:tcBorders>
              <w:bottom w:val="single" w:sz="8" w:color="0000FF"/>
            </w:tcBorders>
            <w:gridSpan w:val="2"/>
            <w:shd w:val="clear" w:color="auto" w:fill="F5F5F5"/>
          </w:tcPr>
          <w:p>
            <w:pPr>
              <w:jc w:val="right"/>
              <w:spacing w:after="0" w:line="175" w:lineRule="exact"/>
              <w:rPr>
                <w:sz w:val="20"/>
                <w:szCs w:val="20"/>
                <w:color w:val="auto"/>
              </w:rPr>
            </w:pPr>
            <w:r>
              <w:rPr>
                <w:rFonts w:ascii="Arial" w:cs="Arial" w:eastAsia="Arial" w:hAnsi="Arial"/>
                <w:sz w:val="16"/>
                <w:szCs w:val="16"/>
                <w:color w:val="0000FF"/>
                <w:w w:val="89"/>
              </w:rPr>
              <w:t>26</w:t>
            </w:r>
          </w:p>
        </w:tc>
        <w:tc>
          <w:tcPr>
            <w:tcW w:w="20" w:type="dxa"/>
            <w:vAlign w:val="bottom"/>
            <w:tcBorders>
              <w:bottom w:val="single" w:sz="8" w:color="F5F5F5"/>
            </w:tcBorders>
            <w:shd w:val="clear" w:color="auto" w:fill="F5F5F5"/>
          </w:tcPr>
          <w:p>
            <w:pPr>
              <w:spacing w:after="0"/>
              <w:rPr>
                <w:sz w:val="17"/>
                <w:szCs w:val="17"/>
                <w:color w:val="auto"/>
              </w:rPr>
            </w:pPr>
          </w:p>
        </w:tc>
      </w:tr>
      <w:tr>
        <w:trPr>
          <w:trHeight w:val="175"/>
        </w:trPr>
        <w:tc>
          <w:tcPr>
            <w:tcW w:w="1000" w:type="dxa"/>
            <w:vAlign w:val="bottom"/>
          </w:tcPr>
          <w:p>
            <w:pPr>
              <w:ind w:left="20"/>
              <w:spacing w:after="0" w:line="175" w:lineRule="exact"/>
              <w:rPr>
                <w:sz w:val="20"/>
                <w:szCs w:val="20"/>
                <w:color w:val="auto"/>
              </w:rPr>
            </w:pPr>
            <w:r>
              <w:rPr>
                <w:rFonts w:ascii="Arial" w:cs="Arial" w:eastAsia="Arial" w:hAnsi="Arial"/>
                <w:sz w:val="16"/>
                <w:szCs w:val="16"/>
                <w:color w:val="auto"/>
              </w:rPr>
              <w:t>Item 3.</w:t>
            </w:r>
          </w:p>
        </w:tc>
        <w:tc>
          <w:tcPr>
            <w:tcW w:w="10020" w:type="dxa"/>
            <w:vAlign w:val="bottom"/>
            <w:gridSpan w:val="35"/>
          </w:tcPr>
          <w:p>
            <w:pPr>
              <w:spacing w:after="0" w:line="175" w:lineRule="exact"/>
              <w:rPr>
                <w:sz w:val="20"/>
                <w:szCs w:val="20"/>
                <w:color w:val="auto"/>
              </w:rPr>
            </w:pPr>
            <w:r>
              <w:rPr>
                <w:rFonts w:ascii="Arial" w:cs="Arial" w:eastAsia="Arial" w:hAnsi="Arial"/>
                <w:sz w:val="16"/>
                <w:szCs w:val="16"/>
                <w:color w:val="0000FF"/>
              </w:rPr>
              <w:t>Legal Proceedings</w:t>
            </w:r>
          </w:p>
        </w:tc>
        <w:tc>
          <w:tcPr>
            <w:tcW w:w="180" w:type="dxa"/>
            <w:vAlign w:val="bottom"/>
            <w:gridSpan w:val="2"/>
          </w:tcPr>
          <w:p>
            <w:pPr>
              <w:jc w:val="right"/>
              <w:spacing w:after="0" w:line="175" w:lineRule="exact"/>
              <w:rPr>
                <w:sz w:val="20"/>
                <w:szCs w:val="20"/>
                <w:color w:val="auto"/>
              </w:rPr>
            </w:pPr>
            <w:r>
              <w:rPr>
                <w:rFonts w:ascii="Arial" w:cs="Arial" w:eastAsia="Arial" w:hAnsi="Arial"/>
                <w:sz w:val="16"/>
                <w:szCs w:val="16"/>
                <w:color w:val="0000FF"/>
                <w:w w:val="89"/>
              </w:rPr>
              <w:t>26</w:t>
            </w:r>
          </w:p>
        </w:tc>
        <w:tc>
          <w:tcPr>
            <w:tcW w:w="20" w:type="dxa"/>
            <w:vAlign w:val="bottom"/>
          </w:tcPr>
          <w:p>
            <w:pPr>
              <w:spacing w:after="0"/>
              <w:rPr>
                <w:sz w:val="15"/>
                <w:szCs w:val="15"/>
                <w:color w:val="auto"/>
              </w:rPr>
            </w:pPr>
          </w:p>
        </w:tc>
      </w:tr>
      <w:tr>
        <w:trPr>
          <w:trHeight w:val="21"/>
        </w:trPr>
        <w:tc>
          <w:tcPr>
            <w:tcW w:w="100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shd w:val="clear" w:color="auto" w:fill="F5F5F5"/>
          </w:tcPr>
          <w:p>
            <w:pPr>
              <w:ind w:left="20"/>
              <w:spacing w:after="0" w:line="175" w:lineRule="exact"/>
              <w:rPr>
                <w:sz w:val="20"/>
                <w:szCs w:val="20"/>
                <w:color w:val="auto"/>
              </w:rPr>
            </w:pPr>
            <w:r>
              <w:rPr>
                <w:rFonts w:ascii="Arial" w:cs="Arial" w:eastAsia="Arial" w:hAnsi="Arial"/>
                <w:sz w:val="16"/>
                <w:szCs w:val="16"/>
                <w:color w:val="auto"/>
              </w:rPr>
              <w:t>Item 4.</w:t>
            </w:r>
          </w:p>
        </w:tc>
        <w:tc>
          <w:tcPr>
            <w:tcW w:w="10020" w:type="dxa"/>
            <w:vAlign w:val="bottom"/>
            <w:gridSpan w:val="35"/>
            <w:shd w:val="clear" w:color="auto" w:fill="F5F5F5"/>
          </w:tcPr>
          <w:p>
            <w:pPr>
              <w:spacing w:after="0" w:line="175" w:lineRule="exact"/>
              <w:rPr>
                <w:sz w:val="20"/>
                <w:szCs w:val="20"/>
                <w:color w:val="auto"/>
              </w:rPr>
            </w:pPr>
            <w:r>
              <w:rPr>
                <w:rFonts w:ascii="Arial" w:cs="Arial" w:eastAsia="Arial" w:hAnsi="Arial"/>
                <w:sz w:val="16"/>
                <w:szCs w:val="16"/>
                <w:color w:val="0000FF"/>
              </w:rPr>
              <w:t>Mine Safety Disclosures</w:t>
            </w:r>
          </w:p>
        </w:tc>
        <w:tc>
          <w:tcPr>
            <w:tcW w:w="180" w:type="dxa"/>
            <w:vAlign w:val="bottom"/>
            <w:gridSpan w:val="2"/>
            <w:shd w:val="clear" w:color="auto" w:fill="F5F5F5"/>
          </w:tcPr>
          <w:p>
            <w:pPr>
              <w:jc w:val="right"/>
              <w:spacing w:after="0" w:line="175" w:lineRule="exact"/>
              <w:rPr>
                <w:sz w:val="20"/>
                <w:szCs w:val="20"/>
                <w:color w:val="auto"/>
              </w:rPr>
            </w:pPr>
            <w:r>
              <w:rPr>
                <w:rFonts w:ascii="Arial" w:cs="Arial" w:eastAsia="Arial" w:hAnsi="Arial"/>
                <w:sz w:val="16"/>
                <w:szCs w:val="16"/>
                <w:color w:val="0000FF"/>
                <w:w w:val="89"/>
              </w:rPr>
              <w:t>26</w:t>
            </w:r>
          </w:p>
        </w:tc>
        <w:tc>
          <w:tcPr>
            <w:tcW w:w="20" w:type="dxa"/>
            <w:vAlign w:val="bottom"/>
            <w:shd w:val="clear" w:color="auto" w:fill="F5F5F5"/>
          </w:tcPr>
          <w:p>
            <w:pPr>
              <w:spacing w:after="0"/>
              <w:rPr>
                <w:sz w:val="17"/>
                <w:szCs w:val="17"/>
                <w:color w:val="auto"/>
              </w:rPr>
            </w:pPr>
          </w:p>
        </w:tc>
      </w:tr>
      <w:tr>
        <w:trPr>
          <w:trHeight w:val="176"/>
        </w:trPr>
        <w:tc>
          <w:tcPr>
            <w:tcW w:w="1000" w:type="dxa"/>
            <w:vAlign w:val="bottom"/>
            <w:tcBorders>
              <w:top w:val="single" w:sz="8" w:color="F5F5F5"/>
            </w:tcBorders>
          </w:tcPr>
          <w:p>
            <w:pPr>
              <w:spacing w:after="0"/>
              <w:rPr>
                <w:sz w:val="15"/>
                <w:szCs w:val="15"/>
                <w:color w:val="auto"/>
              </w:rPr>
            </w:pPr>
          </w:p>
        </w:tc>
        <w:tc>
          <w:tcPr>
            <w:tcW w:w="6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40" w:type="dxa"/>
            <w:vAlign w:val="bottom"/>
            <w:tcBorders>
              <w:top w:val="single" w:sz="8" w:color="F5F5F5"/>
            </w:tcBorders>
          </w:tcPr>
          <w:p>
            <w:pPr>
              <w:spacing w:after="0"/>
              <w:rPr>
                <w:sz w:val="15"/>
                <w:szCs w:val="15"/>
                <w:color w:val="auto"/>
              </w:rPr>
            </w:pPr>
          </w:p>
        </w:tc>
        <w:tc>
          <w:tcPr>
            <w:tcW w:w="240" w:type="dxa"/>
            <w:vAlign w:val="bottom"/>
            <w:tcBorders>
              <w:top w:val="single" w:sz="8" w:color="F5F5F5"/>
            </w:tcBorders>
          </w:tcPr>
          <w:p>
            <w:pPr>
              <w:spacing w:after="0"/>
              <w:rPr>
                <w:sz w:val="15"/>
                <w:szCs w:val="15"/>
                <w:color w:val="auto"/>
              </w:rPr>
            </w:pPr>
          </w:p>
        </w:tc>
        <w:tc>
          <w:tcPr>
            <w:tcW w:w="100" w:type="dxa"/>
            <w:vAlign w:val="bottom"/>
            <w:tcBorders>
              <w:top w:val="single" w:sz="8" w:color="F5F5F5"/>
            </w:tcBorders>
          </w:tcPr>
          <w:p>
            <w:pPr>
              <w:spacing w:after="0"/>
              <w:rPr>
                <w:sz w:val="15"/>
                <w:szCs w:val="15"/>
                <w:color w:val="auto"/>
              </w:rPr>
            </w:pPr>
          </w:p>
        </w:tc>
        <w:tc>
          <w:tcPr>
            <w:tcW w:w="740" w:type="dxa"/>
            <w:vAlign w:val="bottom"/>
            <w:tcBorders>
              <w:top w:val="single" w:sz="8" w:color="F5F5F5"/>
            </w:tcBorders>
          </w:tcPr>
          <w:p>
            <w:pPr>
              <w:spacing w:after="0"/>
              <w:rPr>
                <w:sz w:val="15"/>
                <w:szCs w:val="15"/>
                <w:color w:val="auto"/>
              </w:rPr>
            </w:pPr>
          </w:p>
        </w:tc>
        <w:tc>
          <w:tcPr>
            <w:tcW w:w="20" w:type="dxa"/>
            <w:vAlign w:val="bottom"/>
            <w:tcBorders>
              <w:top w:val="single" w:sz="8" w:color="F5F5F5"/>
            </w:tcBorders>
          </w:tcPr>
          <w:p>
            <w:pPr>
              <w:spacing w:after="0"/>
              <w:rPr>
                <w:sz w:val="15"/>
                <w:szCs w:val="15"/>
                <w:color w:val="auto"/>
              </w:rPr>
            </w:pPr>
          </w:p>
        </w:tc>
        <w:tc>
          <w:tcPr>
            <w:tcW w:w="260" w:type="dxa"/>
            <w:vAlign w:val="bottom"/>
            <w:tcBorders>
              <w:top w:val="single" w:sz="8" w:color="F5F5F5"/>
            </w:tcBorders>
          </w:tcPr>
          <w:p>
            <w:pPr>
              <w:spacing w:after="0"/>
              <w:rPr>
                <w:sz w:val="15"/>
                <w:szCs w:val="15"/>
                <w:color w:val="auto"/>
              </w:rPr>
            </w:pPr>
          </w:p>
        </w:tc>
        <w:tc>
          <w:tcPr>
            <w:tcW w:w="20" w:type="dxa"/>
            <w:vAlign w:val="bottom"/>
            <w:tcBorders>
              <w:top w:val="single" w:sz="8" w:color="F5F5F5"/>
            </w:tcBorders>
          </w:tcPr>
          <w:p>
            <w:pPr>
              <w:spacing w:after="0"/>
              <w:rPr>
                <w:sz w:val="15"/>
                <w:szCs w:val="15"/>
                <w:color w:val="auto"/>
              </w:rPr>
            </w:pPr>
          </w:p>
        </w:tc>
        <w:tc>
          <w:tcPr>
            <w:tcW w:w="180" w:type="dxa"/>
            <w:vAlign w:val="bottom"/>
            <w:tcBorders>
              <w:top w:val="single" w:sz="8" w:color="F5F5F5"/>
            </w:tcBorders>
          </w:tcPr>
          <w:p>
            <w:pPr>
              <w:spacing w:after="0"/>
              <w:rPr>
                <w:sz w:val="15"/>
                <w:szCs w:val="15"/>
                <w:color w:val="auto"/>
              </w:rPr>
            </w:pPr>
          </w:p>
        </w:tc>
        <w:tc>
          <w:tcPr>
            <w:tcW w:w="160" w:type="dxa"/>
            <w:vAlign w:val="bottom"/>
            <w:tcBorders>
              <w:top w:val="single" w:sz="8" w:color="F5F5F5"/>
            </w:tcBorders>
          </w:tcPr>
          <w:p>
            <w:pPr>
              <w:spacing w:after="0"/>
              <w:rPr>
                <w:sz w:val="15"/>
                <w:szCs w:val="15"/>
                <w:color w:val="auto"/>
              </w:rPr>
            </w:pPr>
          </w:p>
        </w:tc>
        <w:tc>
          <w:tcPr>
            <w:tcW w:w="320" w:type="dxa"/>
            <w:vAlign w:val="bottom"/>
            <w:tcBorders>
              <w:top w:val="single" w:sz="8" w:color="F5F5F5"/>
            </w:tcBorders>
          </w:tcPr>
          <w:p>
            <w:pPr>
              <w:spacing w:after="0"/>
              <w:rPr>
                <w:sz w:val="15"/>
                <w:szCs w:val="15"/>
                <w:color w:val="auto"/>
              </w:rPr>
            </w:pPr>
          </w:p>
        </w:tc>
        <w:tc>
          <w:tcPr>
            <w:tcW w:w="220" w:type="dxa"/>
            <w:vAlign w:val="bottom"/>
            <w:tcBorders>
              <w:top w:val="single" w:sz="8" w:color="F5F5F5"/>
            </w:tcBorders>
          </w:tcPr>
          <w:p>
            <w:pPr>
              <w:spacing w:after="0"/>
              <w:rPr>
                <w:sz w:val="15"/>
                <w:szCs w:val="15"/>
                <w:color w:val="auto"/>
              </w:rPr>
            </w:pPr>
          </w:p>
        </w:tc>
        <w:tc>
          <w:tcPr>
            <w:tcW w:w="200" w:type="dxa"/>
            <w:vAlign w:val="bottom"/>
            <w:tcBorders>
              <w:top w:val="single" w:sz="8" w:color="F5F5F5"/>
            </w:tcBorders>
          </w:tcPr>
          <w:p>
            <w:pPr>
              <w:spacing w:after="0"/>
              <w:rPr>
                <w:sz w:val="15"/>
                <w:szCs w:val="15"/>
                <w:color w:val="auto"/>
              </w:rPr>
            </w:pPr>
          </w:p>
        </w:tc>
        <w:tc>
          <w:tcPr>
            <w:tcW w:w="60" w:type="dxa"/>
            <w:vAlign w:val="bottom"/>
            <w:tcBorders>
              <w:top w:val="single" w:sz="8" w:color="F5F5F5"/>
            </w:tcBorders>
          </w:tcPr>
          <w:p>
            <w:pPr>
              <w:spacing w:after="0"/>
              <w:rPr>
                <w:sz w:val="15"/>
                <w:szCs w:val="15"/>
                <w:color w:val="auto"/>
              </w:rPr>
            </w:pPr>
          </w:p>
        </w:tc>
        <w:tc>
          <w:tcPr>
            <w:tcW w:w="5720" w:type="dxa"/>
            <w:vAlign w:val="bottom"/>
            <w:tcBorders>
              <w:top w:val="single" w:sz="8" w:color="F5F5F5"/>
            </w:tcBorders>
            <w:gridSpan w:val="12"/>
          </w:tcPr>
          <w:p>
            <w:pPr>
              <w:jc w:val="center"/>
              <w:ind w:right="5100"/>
              <w:spacing w:after="0" w:line="175" w:lineRule="exact"/>
              <w:rPr>
                <w:sz w:val="20"/>
                <w:szCs w:val="20"/>
                <w:color w:val="auto"/>
              </w:rPr>
            </w:pPr>
            <w:r>
              <w:rPr>
                <w:rFonts w:ascii="Arial" w:cs="Arial" w:eastAsia="Arial" w:hAnsi="Arial"/>
                <w:sz w:val="16"/>
                <w:szCs w:val="16"/>
                <w:b w:val="1"/>
                <w:bCs w:val="1"/>
                <w:color w:val="0000FF"/>
              </w:rPr>
              <w:t>PART II</w:t>
            </w:r>
          </w:p>
        </w:tc>
        <w:tc>
          <w:tcPr>
            <w:tcW w:w="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F5F5F5"/>
            </w:tcBorders>
          </w:tcPr>
          <w:p>
            <w:pPr>
              <w:spacing w:after="0"/>
              <w:rPr>
                <w:sz w:val="15"/>
                <w:szCs w:val="15"/>
                <w:color w:val="auto"/>
              </w:rPr>
            </w:pPr>
          </w:p>
        </w:tc>
      </w:tr>
      <w:tr>
        <w:trPr>
          <w:trHeight w:val="20"/>
        </w:trPr>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shd w:val="clear" w:color="auto" w:fill="F5F5F5"/>
          </w:tcPr>
          <w:p>
            <w:pPr>
              <w:ind w:left="20"/>
              <w:spacing w:after="0" w:line="175" w:lineRule="exact"/>
              <w:rPr>
                <w:sz w:val="20"/>
                <w:szCs w:val="20"/>
                <w:color w:val="auto"/>
              </w:rPr>
            </w:pPr>
            <w:r>
              <w:rPr>
                <w:rFonts w:ascii="Arial" w:cs="Arial" w:eastAsia="Arial" w:hAnsi="Arial"/>
                <w:sz w:val="16"/>
                <w:szCs w:val="16"/>
                <w:color w:val="auto"/>
              </w:rPr>
              <w:t>Item 5.</w:t>
            </w:r>
          </w:p>
        </w:tc>
        <w:tc>
          <w:tcPr>
            <w:tcW w:w="10020" w:type="dxa"/>
            <w:vAlign w:val="bottom"/>
            <w:gridSpan w:val="35"/>
            <w:shd w:val="clear" w:color="auto" w:fill="F5F5F5"/>
          </w:tcPr>
          <w:p>
            <w:pPr>
              <w:spacing w:after="0" w:line="175" w:lineRule="exact"/>
              <w:rPr>
                <w:sz w:val="20"/>
                <w:szCs w:val="20"/>
                <w:color w:val="auto"/>
              </w:rPr>
            </w:pPr>
            <w:r>
              <w:rPr>
                <w:rFonts w:ascii="Arial" w:cs="Arial" w:eastAsia="Arial" w:hAnsi="Arial"/>
                <w:sz w:val="16"/>
                <w:szCs w:val="16"/>
                <w:color w:val="0000FF"/>
              </w:rPr>
              <w:t>Market for Registrant’s Common Equity, Related Stockholder Matters and Issuer Purchases of Equity Securities</w:t>
            </w:r>
          </w:p>
        </w:tc>
        <w:tc>
          <w:tcPr>
            <w:tcW w:w="180" w:type="dxa"/>
            <w:vAlign w:val="bottom"/>
            <w:gridSpan w:val="2"/>
            <w:shd w:val="clear" w:color="auto" w:fill="F5F5F5"/>
          </w:tcPr>
          <w:p>
            <w:pPr>
              <w:jc w:val="right"/>
              <w:spacing w:after="0" w:line="175" w:lineRule="exact"/>
              <w:rPr>
                <w:sz w:val="20"/>
                <w:szCs w:val="20"/>
                <w:color w:val="auto"/>
              </w:rPr>
            </w:pPr>
            <w:r>
              <w:rPr>
                <w:rFonts w:ascii="Arial" w:cs="Arial" w:eastAsia="Arial" w:hAnsi="Arial"/>
                <w:sz w:val="16"/>
                <w:szCs w:val="16"/>
                <w:color w:val="0000FF"/>
                <w:w w:val="89"/>
              </w:rPr>
              <w:t>27</w:t>
            </w:r>
          </w:p>
        </w:tc>
        <w:tc>
          <w:tcPr>
            <w:tcW w:w="20" w:type="dxa"/>
            <w:vAlign w:val="bottom"/>
            <w:shd w:val="clear" w:color="auto" w:fill="F5F5F5"/>
          </w:tcPr>
          <w:p>
            <w:pPr>
              <w:spacing w:after="0"/>
              <w:rPr>
                <w:sz w:val="17"/>
                <w:szCs w:val="17"/>
                <w:color w:val="auto"/>
              </w:rPr>
            </w:pPr>
          </w:p>
        </w:tc>
      </w:tr>
      <w:tr>
        <w:trPr>
          <w:trHeight w:val="175"/>
        </w:trPr>
        <w:tc>
          <w:tcPr>
            <w:tcW w:w="1000" w:type="dxa"/>
            <w:vAlign w:val="bottom"/>
            <w:tcBorders>
              <w:top w:val="single" w:sz="8" w:color="F5F5F5"/>
            </w:tcBorders>
          </w:tcPr>
          <w:p>
            <w:pPr>
              <w:ind w:left="20"/>
              <w:spacing w:after="0" w:line="175" w:lineRule="exact"/>
              <w:rPr>
                <w:sz w:val="20"/>
                <w:szCs w:val="20"/>
                <w:color w:val="auto"/>
              </w:rPr>
            </w:pPr>
            <w:r>
              <w:rPr>
                <w:rFonts w:ascii="Arial" w:cs="Arial" w:eastAsia="Arial" w:hAnsi="Arial"/>
                <w:sz w:val="16"/>
                <w:szCs w:val="16"/>
                <w:color w:val="auto"/>
              </w:rPr>
              <w:t>Item 6.</w:t>
            </w:r>
          </w:p>
        </w:tc>
        <w:tc>
          <w:tcPr>
            <w:tcW w:w="7980" w:type="dxa"/>
            <w:vAlign w:val="bottom"/>
            <w:tcBorders>
              <w:top w:val="single" w:sz="8" w:color="0000FF"/>
            </w:tcBorders>
            <w:gridSpan w:val="34"/>
          </w:tcPr>
          <w:p>
            <w:pPr>
              <w:spacing w:after="0" w:line="175" w:lineRule="exact"/>
              <w:rPr>
                <w:sz w:val="20"/>
                <w:szCs w:val="20"/>
                <w:color w:val="auto"/>
              </w:rPr>
            </w:pPr>
            <w:r>
              <w:rPr>
                <w:rFonts w:ascii="Arial" w:cs="Arial" w:eastAsia="Arial" w:hAnsi="Arial"/>
                <w:sz w:val="16"/>
                <w:szCs w:val="16"/>
                <w:color w:val="0000FF"/>
              </w:rPr>
              <w:t>[Reserved]</w:t>
            </w:r>
          </w:p>
        </w:tc>
        <w:tc>
          <w:tcPr>
            <w:tcW w:w="2040" w:type="dxa"/>
            <w:vAlign w:val="bottom"/>
            <w:tcBorders>
              <w:top w:val="single" w:sz="8" w:color="F5F5F5"/>
            </w:tcBorders>
          </w:tcPr>
          <w:p>
            <w:pPr>
              <w:spacing w:after="0"/>
              <w:rPr>
                <w:sz w:val="15"/>
                <w:szCs w:val="15"/>
                <w:color w:val="auto"/>
              </w:rPr>
            </w:pPr>
          </w:p>
        </w:tc>
        <w:tc>
          <w:tcPr>
            <w:tcW w:w="180" w:type="dxa"/>
            <w:vAlign w:val="bottom"/>
            <w:tcBorders>
              <w:top w:val="single" w:sz="8" w:color="0000FF"/>
            </w:tcBorders>
            <w:gridSpan w:val="2"/>
          </w:tcPr>
          <w:p>
            <w:pPr>
              <w:jc w:val="right"/>
              <w:spacing w:after="0" w:line="175" w:lineRule="exact"/>
              <w:rPr>
                <w:sz w:val="20"/>
                <w:szCs w:val="20"/>
                <w:color w:val="auto"/>
              </w:rPr>
            </w:pPr>
            <w:r>
              <w:rPr>
                <w:rFonts w:ascii="Arial" w:cs="Arial" w:eastAsia="Arial" w:hAnsi="Arial"/>
                <w:sz w:val="16"/>
                <w:szCs w:val="16"/>
                <w:color w:val="0000FF"/>
                <w:w w:val="89"/>
              </w:rPr>
              <w:t>28</w:t>
            </w:r>
          </w:p>
        </w:tc>
        <w:tc>
          <w:tcPr>
            <w:tcW w:w="20" w:type="dxa"/>
            <w:vAlign w:val="bottom"/>
            <w:tcBorders>
              <w:top w:val="single" w:sz="8" w:color="F5F5F5"/>
            </w:tcBorders>
          </w:tcPr>
          <w:p>
            <w:pPr>
              <w:spacing w:after="0"/>
              <w:rPr>
                <w:sz w:val="15"/>
                <w:szCs w:val="15"/>
                <w:color w:val="auto"/>
              </w:rPr>
            </w:pPr>
          </w:p>
        </w:tc>
      </w:tr>
      <w:tr>
        <w:trPr>
          <w:trHeight w:val="21"/>
        </w:trPr>
        <w:tc>
          <w:tcPr>
            <w:tcW w:w="100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Borders>
              <w:bottom w:val="single" w:sz="8" w:color="F5F5F5"/>
            </w:tcBorders>
            <w:shd w:val="clear" w:color="auto" w:fill="F5F5F5"/>
          </w:tcPr>
          <w:p>
            <w:pPr>
              <w:ind w:left="20"/>
              <w:spacing w:after="0" w:line="175" w:lineRule="exact"/>
              <w:rPr>
                <w:sz w:val="20"/>
                <w:szCs w:val="20"/>
                <w:color w:val="auto"/>
              </w:rPr>
            </w:pPr>
            <w:r>
              <w:rPr>
                <w:rFonts w:ascii="Arial" w:cs="Arial" w:eastAsia="Arial" w:hAnsi="Arial"/>
                <w:sz w:val="16"/>
                <w:szCs w:val="16"/>
                <w:color w:val="auto"/>
              </w:rPr>
              <w:t>Item 7.</w:t>
            </w:r>
          </w:p>
        </w:tc>
        <w:tc>
          <w:tcPr>
            <w:tcW w:w="6380" w:type="dxa"/>
            <w:vAlign w:val="bottom"/>
            <w:tcBorders>
              <w:bottom w:val="single" w:sz="8" w:color="0000FF"/>
            </w:tcBorders>
            <w:gridSpan w:val="31"/>
            <w:shd w:val="clear" w:color="auto" w:fill="F5F5F5"/>
          </w:tcPr>
          <w:p>
            <w:pPr>
              <w:spacing w:after="0" w:line="175" w:lineRule="exact"/>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3640" w:type="dxa"/>
            <w:vAlign w:val="bottom"/>
            <w:tcBorders>
              <w:bottom w:val="single" w:sz="8" w:color="F5F5F5"/>
            </w:tcBorders>
            <w:gridSpan w:val="4"/>
            <w:shd w:val="clear" w:color="auto" w:fill="F5F5F5"/>
          </w:tcPr>
          <w:p>
            <w:pPr>
              <w:spacing w:after="0"/>
              <w:rPr>
                <w:sz w:val="17"/>
                <w:szCs w:val="17"/>
                <w:color w:val="auto"/>
              </w:rPr>
            </w:pPr>
          </w:p>
        </w:tc>
        <w:tc>
          <w:tcPr>
            <w:tcW w:w="180" w:type="dxa"/>
            <w:vAlign w:val="bottom"/>
            <w:tcBorders>
              <w:bottom w:val="single" w:sz="8" w:color="0000FF"/>
            </w:tcBorders>
            <w:gridSpan w:val="2"/>
            <w:shd w:val="clear" w:color="auto" w:fill="F5F5F5"/>
          </w:tcPr>
          <w:p>
            <w:pPr>
              <w:jc w:val="right"/>
              <w:spacing w:after="0" w:line="175" w:lineRule="exact"/>
              <w:rPr>
                <w:sz w:val="20"/>
                <w:szCs w:val="20"/>
                <w:color w:val="auto"/>
              </w:rPr>
            </w:pPr>
            <w:r>
              <w:rPr>
                <w:rFonts w:ascii="Arial" w:cs="Arial" w:eastAsia="Arial" w:hAnsi="Arial"/>
                <w:sz w:val="16"/>
                <w:szCs w:val="16"/>
                <w:color w:val="0000FF"/>
                <w:w w:val="89"/>
              </w:rPr>
              <w:t>29</w:t>
            </w:r>
          </w:p>
        </w:tc>
        <w:tc>
          <w:tcPr>
            <w:tcW w:w="20" w:type="dxa"/>
            <w:vAlign w:val="bottom"/>
            <w:tcBorders>
              <w:bottom w:val="single" w:sz="8" w:color="F5F5F5"/>
            </w:tcBorders>
            <w:shd w:val="clear" w:color="auto" w:fill="F5F5F5"/>
          </w:tcPr>
          <w:p>
            <w:pPr>
              <w:spacing w:after="0"/>
              <w:rPr>
                <w:sz w:val="17"/>
                <w:szCs w:val="17"/>
                <w:color w:val="auto"/>
              </w:rPr>
            </w:pPr>
          </w:p>
        </w:tc>
      </w:tr>
      <w:tr>
        <w:trPr>
          <w:trHeight w:val="175"/>
        </w:trPr>
        <w:tc>
          <w:tcPr>
            <w:tcW w:w="1000" w:type="dxa"/>
            <w:vAlign w:val="bottom"/>
          </w:tcPr>
          <w:p>
            <w:pPr>
              <w:ind w:left="20"/>
              <w:spacing w:after="0" w:line="175" w:lineRule="exact"/>
              <w:rPr>
                <w:sz w:val="20"/>
                <w:szCs w:val="20"/>
                <w:color w:val="auto"/>
              </w:rPr>
            </w:pPr>
            <w:r>
              <w:rPr>
                <w:rFonts w:ascii="Arial" w:cs="Arial" w:eastAsia="Arial" w:hAnsi="Arial"/>
                <w:sz w:val="16"/>
                <w:szCs w:val="16"/>
                <w:color w:val="auto"/>
              </w:rPr>
              <w:t>Item 7A.</w:t>
            </w:r>
          </w:p>
        </w:tc>
        <w:tc>
          <w:tcPr>
            <w:tcW w:w="10020" w:type="dxa"/>
            <w:vAlign w:val="bottom"/>
            <w:gridSpan w:val="35"/>
          </w:tcPr>
          <w:p>
            <w:pPr>
              <w:spacing w:after="0" w:line="175" w:lineRule="exact"/>
              <w:rPr>
                <w:sz w:val="20"/>
                <w:szCs w:val="20"/>
                <w:color w:val="auto"/>
              </w:rPr>
            </w:pPr>
            <w:r>
              <w:rPr>
                <w:rFonts w:ascii="Arial" w:cs="Arial" w:eastAsia="Arial" w:hAnsi="Arial"/>
                <w:sz w:val="16"/>
                <w:szCs w:val="16"/>
                <w:color w:val="0000FF"/>
              </w:rPr>
              <w:t>Quantitative and Qualitative Disclosures About Market Risk</w:t>
            </w:r>
          </w:p>
        </w:tc>
        <w:tc>
          <w:tcPr>
            <w:tcW w:w="180" w:type="dxa"/>
            <w:vAlign w:val="bottom"/>
            <w:gridSpan w:val="2"/>
          </w:tcPr>
          <w:p>
            <w:pPr>
              <w:jc w:val="right"/>
              <w:spacing w:after="0" w:line="175" w:lineRule="exact"/>
              <w:rPr>
                <w:sz w:val="20"/>
                <w:szCs w:val="20"/>
                <w:color w:val="auto"/>
              </w:rPr>
            </w:pPr>
            <w:r>
              <w:rPr>
                <w:rFonts w:ascii="Arial" w:cs="Arial" w:eastAsia="Arial" w:hAnsi="Arial"/>
                <w:sz w:val="16"/>
                <w:szCs w:val="16"/>
                <w:color w:val="0000FF"/>
                <w:w w:val="89"/>
              </w:rPr>
              <w:t>44</w:t>
            </w:r>
          </w:p>
        </w:tc>
        <w:tc>
          <w:tcPr>
            <w:tcW w:w="20" w:type="dxa"/>
            <w:vAlign w:val="bottom"/>
          </w:tcPr>
          <w:p>
            <w:pPr>
              <w:spacing w:after="0"/>
              <w:rPr>
                <w:sz w:val="15"/>
                <w:szCs w:val="15"/>
                <w:color w:val="auto"/>
              </w:rPr>
            </w:pPr>
          </w:p>
        </w:tc>
      </w:tr>
      <w:tr>
        <w:trPr>
          <w:trHeight w:val="21"/>
        </w:trPr>
        <w:tc>
          <w:tcPr>
            <w:tcW w:w="100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00" w:type="dxa"/>
            <w:vAlign w:val="bottom"/>
            <w:shd w:val="clear" w:color="auto" w:fill="F5F5F5"/>
          </w:tcPr>
          <w:p>
            <w:pPr>
              <w:ind w:left="20"/>
              <w:spacing w:after="0" w:line="175" w:lineRule="exact"/>
              <w:rPr>
                <w:sz w:val="20"/>
                <w:szCs w:val="20"/>
                <w:color w:val="auto"/>
              </w:rPr>
            </w:pPr>
            <w:r>
              <w:rPr>
                <w:rFonts w:ascii="Arial" w:cs="Arial" w:eastAsia="Arial" w:hAnsi="Arial"/>
                <w:sz w:val="16"/>
                <w:szCs w:val="16"/>
                <w:color w:val="auto"/>
              </w:rPr>
              <w:t>Item 8.</w:t>
            </w:r>
          </w:p>
        </w:tc>
        <w:tc>
          <w:tcPr>
            <w:tcW w:w="10020" w:type="dxa"/>
            <w:vAlign w:val="bottom"/>
            <w:gridSpan w:val="35"/>
            <w:shd w:val="clear" w:color="auto" w:fill="F5F5F5"/>
          </w:tcPr>
          <w:p>
            <w:pPr>
              <w:spacing w:after="0" w:line="175" w:lineRule="exact"/>
              <w:rPr>
                <w:sz w:val="20"/>
                <w:szCs w:val="20"/>
                <w:color w:val="auto"/>
              </w:rPr>
            </w:pPr>
            <w:r>
              <w:rPr>
                <w:rFonts w:ascii="Arial" w:cs="Arial" w:eastAsia="Arial" w:hAnsi="Arial"/>
                <w:sz w:val="16"/>
                <w:szCs w:val="16"/>
                <w:color w:val="0000FF"/>
              </w:rPr>
              <w:t>Financial Statements and Supplementary Data</w:t>
            </w:r>
          </w:p>
        </w:tc>
        <w:tc>
          <w:tcPr>
            <w:tcW w:w="180" w:type="dxa"/>
            <w:vAlign w:val="bottom"/>
            <w:gridSpan w:val="2"/>
            <w:shd w:val="clear" w:color="auto" w:fill="F5F5F5"/>
          </w:tcPr>
          <w:p>
            <w:pPr>
              <w:jc w:val="right"/>
              <w:spacing w:after="0" w:line="175" w:lineRule="exact"/>
              <w:rPr>
                <w:sz w:val="20"/>
                <w:szCs w:val="20"/>
                <w:color w:val="auto"/>
              </w:rPr>
            </w:pPr>
            <w:r>
              <w:rPr>
                <w:rFonts w:ascii="Arial" w:cs="Arial" w:eastAsia="Arial" w:hAnsi="Arial"/>
                <w:sz w:val="16"/>
                <w:szCs w:val="16"/>
                <w:color w:val="0000FF"/>
                <w:w w:val="89"/>
              </w:rPr>
              <w:t>45</w:t>
            </w:r>
          </w:p>
        </w:tc>
        <w:tc>
          <w:tcPr>
            <w:tcW w:w="20" w:type="dxa"/>
            <w:vAlign w:val="bottom"/>
            <w:shd w:val="clear" w:color="auto" w:fill="F5F5F5"/>
          </w:tcPr>
          <w:p>
            <w:pPr>
              <w:spacing w:after="0"/>
              <w:rPr>
                <w:sz w:val="15"/>
                <w:szCs w:val="15"/>
                <w:color w:val="auto"/>
              </w:rPr>
            </w:pPr>
          </w:p>
        </w:tc>
      </w:tr>
      <w:tr>
        <w:trPr>
          <w:trHeight w:val="21"/>
        </w:trPr>
        <w:tc>
          <w:tcPr>
            <w:tcW w:w="1000" w:type="dxa"/>
            <w:vAlign w:val="bottom"/>
            <w:tcBorders>
              <w:top w:val="single" w:sz="8" w:color="F5F5F5"/>
            </w:tcBorders>
            <w:shd w:val="clear" w:color="auto" w:fill="F5F5F5"/>
          </w:tcPr>
          <w:p>
            <w:pPr>
              <w:spacing w:after="0" w:line="20" w:lineRule="exact"/>
              <w:rPr>
                <w:sz w:val="1"/>
                <w:szCs w:val="1"/>
                <w:color w:val="auto"/>
              </w:rPr>
            </w:pPr>
          </w:p>
        </w:tc>
        <w:tc>
          <w:tcPr>
            <w:tcW w:w="660" w:type="dxa"/>
            <w:vAlign w:val="bottom"/>
            <w:tcBorders>
              <w:top w:val="single" w:sz="8" w:color="0000FF"/>
            </w:tcBorders>
            <w:shd w:val="clear" w:color="auto" w:fill="F5F5F5"/>
          </w:tcPr>
          <w:p>
            <w:pPr>
              <w:spacing w:after="0" w:line="20" w:lineRule="exact"/>
              <w:rPr>
                <w:sz w:val="1"/>
                <w:szCs w:val="1"/>
                <w:color w:val="auto"/>
              </w:rPr>
            </w:pPr>
          </w:p>
        </w:tc>
        <w:tc>
          <w:tcPr>
            <w:tcW w:w="80" w:type="dxa"/>
            <w:vAlign w:val="bottom"/>
            <w:tcBorders>
              <w:top w:val="single" w:sz="8" w:color="0000FF"/>
            </w:tcBorders>
            <w:shd w:val="clear" w:color="auto" w:fill="F5F5F5"/>
          </w:tcPr>
          <w:p>
            <w:pPr>
              <w:spacing w:after="0" w:line="20" w:lineRule="exact"/>
              <w:rPr>
                <w:sz w:val="1"/>
                <w:szCs w:val="1"/>
                <w:color w:val="auto"/>
              </w:rPr>
            </w:pPr>
          </w:p>
        </w:tc>
        <w:tc>
          <w:tcPr>
            <w:tcW w:w="40" w:type="dxa"/>
            <w:vAlign w:val="bottom"/>
            <w:tcBorders>
              <w:top w:val="single" w:sz="8" w:color="0000FF"/>
            </w:tcBorders>
            <w:shd w:val="clear" w:color="auto" w:fill="F5F5F5"/>
          </w:tcPr>
          <w:p>
            <w:pPr>
              <w:spacing w:after="0" w:line="20" w:lineRule="exact"/>
              <w:rPr>
                <w:sz w:val="1"/>
                <w:szCs w:val="1"/>
                <w:color w:val="auto"/>
              </w:rPr>
            </w:pPr>
          </w:p>
        </w:tc>
        <w:tc>
          <w:tcPr>
            <w:tcW w:w="120" w:type="dxa"/>
            <w:vAlign w:val="bottom"/>
            <w:tcBorders>
              <w:top w:val="single" w:sz="8" w:color="0000FF"/>
            </w:tcBorders>
            <w:shd w:val="clear" w:color="auto" w:fill="F5F5F5"/>
          </w:tcPr>
          <w:p>
            <w:pPr>
              <w:spacing w:after="0" w:line="20" w:lineRule="exact"/>
              <w:rPr>
                <w:sz w:val="1"/>
                <w:szCs w:val="1"/>
                <w:color w:val="auto"/>
              </w:rPr>
            </w:pPr>
          </w:p>
        </w:tc>
        <w:tc>
          <w:tcPr>
            <w:tcW w:w="80" w:type="dxa"/>
            <w:vAlign w:val="bottom"/>
            <w:tcBorders>
              <w:top w:val="single" w:sz="8" w:color="0000FF"/>
            </w:tcBorders>
            <w:shd w:val="clear" w:color="auto" w:fill="F5F5F5"/>
          </w:tcPr>
          <w:p>
            <w:pPr>
              <w:spacing w:after="0" w:line="20" w:lineRule="exact"/>
              <w:rPr>
                <w:sz w:val="1"/>
                <w:szCs w:val="1"/>
                <w:color w:val="auto"/>
              </w:rPr>
            </w:pPr>
          </w:p>
        </w:tc>
        <w:tc>
          <w:tcPr>
            <w:tcW w:w="200" w:type="dxa"/>
            <w:vAlign w:val="bottom"/>
            <w:tcBorders>
              <w:top w:val="single" w:sz="8" w:color="0000FF"/>
            </w:tcBorders>
            <w:shd w:val="clear" w:color="auto" w:fill="F5F5F5"/>
          </w:tcPr>
          <w:p>
            <w:pPr>
              <w:spacing w:after="0" w:line="20" w:lineRule="exact"/>
              <w:rPr>
                <w:sz w:val="1"/>
                <w:szCs w:val="1"/>
                <w:color w:val="auto"/>
              </w:rPr>
            </w:pPr>
          </w:p>
        </w:tc>
        <w:tc>
          <w:tcPr>
            <w:tcW w:w="80" w:type="dxa"/>
            <w:vAlign w:val="bottom"/>
            <w:tcBorders>
              <w:top w:val="single" w:sz="8" w:color="0000FF"/>
            </w:tcBorders>
            <w:shd w:val="clear" w:color="auto" w:fill="F5F5F5"/>
          </w:tcPr>
          <w:p>
            <w:pPr>
              <w:spacing w:after="0" w:line="20" w:lineRule="exact"/>
              <w:rPr>
                <w:sz w:val="1"/>
                <w:szCs w:val="1"/>
                <w:color w:val="auto"/>
              </w:rPr>
            </w:pPr>
          </w:p>
        </w:tc>
        <w:tc>
          <w:tcPr>
            <w:tcW w:w="80" w:type="dxa"/>
            <w:vAlign w:val="bottom"/>
            <w:tcBorders>
              <w:top w:val="single" w:sz="8" w:color="0000FF"/>
            </w:tcBorders>
            <w:shd w:val="clear" w:color="auto" w:fill="F5F5F5"/>
          </w:tcPr>
          <w:p>
            <w:pPr>
              <w:spacing w:after="0" w:line="20" w:lineRule="exact"/>
              <w:rPr>
                <w:sz w:val="1"/>
                <w:szCs w:val="1"/>
                <w:color w:val="auto"/>
              </w:rPr>
            </w:pPr>
          </w:p>
        </w:tc>
        <w:tc>
          <w:tcPr>
            <w:tcW w:w="160" w:type="dxa"/>
            <w:vAlign w:val="bottom"/>
            <w:tcBorders>
              <w:top w:val="single" w:sz="8" w:color="0000FF"/>
            </w:tcBorders>
            <w:shd w:val="clear" w:color="auto" w:fill="F5F5F5"/>
          </w:tcPr>
          <w:p>
            <w:pPr>
              <w:spacing w:after="0" w:line="20" w:lineRule="exact"/>
              <w:rPr>
                <w:sz w:val="1"/>
                <w:szCs w:val="1"/>
                <w:color w:val="auto"/>
              </w:rPr>
            </w:pPr>
          </w:p>
        </w:tc>
        <w:tc>
          <w:tcPr>
            <w:tcW w:w="240" w:type="dxa"/>
            <w:vAlign w:val="bottom"/>
            <w:tcBorders>
              <w:top w:val="single" w:sz="8" w:color="0000FF"/>
            </w:tcBorders>
            <w:shd w:val="clear" w:color="auto" w:fill="F5F5F5"/>
          </w:tcPr>
          <w:p>
            <w:pPr>
              <w:spacing w:after="0" w:line="20" w:lineRule="exact"/>
              <w:rPr>
                <w:sz w:val="1"/>
                <w:szCs w:val="1"/>
                <w:color w:val="auto"/>
              </w:rPr>
            </w:pPr>
          </w:p>
        </w:tc>
        <w:tc>
          <w:tcPr>
            <w:tcW w:w="40" w:type="dxa"/>
            <w:vAlign w:val="bottom"/>
            <w:tcBorders>
              <w:top w:val="single" w:sz="8" w:color="0000FF"/>
            </w:tcBorders>
            <w:shd w:val="clear" w:color="auto" w:fill="F5F5F5"/>
          </w:tcPr>
          <w:p>
            <w:pPr>
              <w:spacing w:after="0" w:line="20" w:lineRule="exact"/>
              <w:rPr>
                <w:sz w:val="1"/>
                <w:szCs w:val="1"/>
                <w:color w:val="auto"/>
              </w:rPr>
            </w:pPr>
          </w:p>
        </w:tc>
        <w:tc>
          <w:tcPr>
            <w:tcW w:w="240" w:type="dxa"/>
            <w:vAlign w:val="bottom"/>
            <w:tcBorders>
              <w:top w:val="single" w:sz="8" w:color="0000FF"/>
            </w:tcBorders>
            <w:shd w:val="clear" w:color="auto" w:fill="F5F5F5"/>
          </w:tcPr>
          <w:p>
            <w:pPr>
              <w:spacing w:after="0" w:line="20" w:lineRule="exact"/>
              <w:rPr>
                <w:sz w:val="1"/>
                <w:szCs w:val="1"/>
                <w:color w:val="auto"/>
              </w:rPr>
            </w:pPr>
          </w:p>
        </w:tc>
        <w:tc>
          <w:tcPr>
            <w:tcW w:w="100" w:type="dxa"/>
            <w:vAlign w:val="bottom"/>
            <w:tcBorders>
              <w:top w:val="single" w:sz="8" w:color="0000FF"/>
            </w:tcBorders>
            <w:shd w:val="clear" w:color="auto" w:fill="F5F5F5"/>
          </w:tcPr>
          <w:p>
            <w:pPr>
              <w:spacing w:after="0" w:line="20" w:lineRule="exact"/>
              <w:rPr>
                <w:sz w:val="1"/>
                <w:szCs w:val="1"/>
                <w:color w:val="auto"/>
              </w:rPr>
            </w:pPr>
          </w:p>
        </w:tc>
        <w:tc>
          <w:tcPr>
            <w:tcW w:w="740" w:type="dxa"/>
            <w:vAlign w:val="bottom"/>
            <w:tcBorders>
              <w:top w:val="single" w:sz="8" w:color="0000FF"/>
            </w:tcBorders>
            <w:shd w:val="clear" w:color="auto" w:fill="F5F5F5"/>
          </w:tcPr>
          <w:p>
            <w:pPr>
              <w:spacing w:after="0" w:line="20" w:lineRule="exact"/>
              <w:rPr>
                <w:sz w:val="1"/>
                <w:szCs w:val="1"/>
                <w:color w:val="auto"/>
              </w:rPr>
            </w:pPr>
          </w:p>
        </w:tc>
        <w:tc>
          <w:tcPr>
            <w:tcW w:w="20" w:type="dxa"/>
            <w:vAlign w:val="bottom"/>
            <w:tcBorders>
              <w:top w:val="single" w:sz="8" w:color="0000FF"/>
            </w:tcBorders>
            <w:shd w:val="clear" w:color="auto" w:fill="F5F5F5"/>
          </w:tcPr>
          <w:p>
            <w:pPr>
              <w:spacing w:after="0" w:line="20" w:lineRule="exact"/>
              <w:rPr>
                <w:sz w:val="1"/>
                <w:szCs w:val="1"/>
                <w:color w:val="auto"/>
              </w:rPr>
            </w:pPr>
          </w:p>
        </w:tc>
        <w:tc>
          <w:tcPr>
            <w:tcW w:w="260" w:type="dxa"/>
            <w:vAlign w:val="bottom"/>
            <w:tcBorders>
              <w:top w:val="single" w:sz="8" w:color="0000FF"/>
            </w:tcBorders>
            <w:shd w:val="clear" w:color="auto" w:fill="F5F5F5"/>
          </w:tcPr>
          <w:p>
            <w:pPr>
              <w:spacing w:after="0" w:line="20" w:lineRule="exact"/>
              <w:rPr>
                <w:sz w:val="1"/>
                <w:szCs w:val="1"/>
                <w:color w:val="auto"/>
              </w:rPr>
            </w:pPr>
          </w:p>
        </w:tc>
        <w:tc>
          <w:tcPr>
            <w:tcW w:w="20" w:type="dxa"/>
            <w:vAlign w:val="bottom"/>
            <w:tcBorders>
              <w:top w:val="single" w:sz="8" w:color="0000FF"/>
            </w:tcBorders>
            <w:shd w:val="clear" w:color="auto" w:fill="F5F5F5"/>
          </w:tcPr>
          <w:p>
            <w:pPr>
              <w:spacing w:after="0" w:line="20" w:lineRule="exact"/>
              <w:rPr>
                <w:sz w:val="1"/>
                <w:szCs w:val="1"/>
                <w:color w:val="auto"/>
              </w:rPr>
            </w:pPr>
          </w:p>
        </w:tc>
        <w:tc>
          <w:tcPr>
            <w:tcW w:w="180" w:type="dxa"/>
            <w:vAlign w:val="bottom"/>
            <w:tcBorders>
              <w:top w:val="single" w:sz="8" w:color="0000FF"/>
            </w:tcBorders>
            <w:shd w:val="clear" w:color="auto" w:fill="F5F5F5"/>
          </w:tcPr>
          <w:p>
            <w:pPr>
              <w:spacing w:after="0" w:line="20" w:lineRule="exact"/>
              <w:rPr>
                <w:sz w:val="1"/>
                <w:szCs w:val="1"/>
                <w:color w:val="auto"/>
              </w:rPr>
            </w:pPr>
          </w:p>
        </w:tc>
        <w:tc>
          <w:tcPr>
            <w:tcW w:w="160" w:type="dxa"/>
            <w:vAlign w:val="bottom"/>
            <w:tcBorders>
              <w:top w:val="single" w:sz="8" w:color="F5F5F5"/>
            </w:tcBorders>
            <w:shd w:val="clear" w:color="auto" w:fill="F5F5F5"/>
          </w:tcPr>
          <w:p>
            <w:pPr>
              <w:spacing w:after="0" w:line="20" w:lineRule="exact"/>
              <w:rPr>
                <w:sz w:val="1"/>
                <w:szCs w:val="1"/>
                <w:color w:val="auto"/>
              </w:rPr>
            </w:pPr>
          </w:p>
        </w:tc>
        <w:tc>
          <w:tcPr>
            <w:tcW w:w="320" w:type="dxa"/>
            <w:vAlign w:val="bottom"/>
            <w:tcBorders>
              <w:top w:val="single" w:sz="8" w:color="F5F5F5"/>
            </w:tcBorders>
            <w:shd w:val="clear" w:color="auto" w:fill="F5F5F5"/>
          </w:tcPr>
          <w:p>
            <w:pPr>
              <w:spacing w:after="0" w:line="20" w:lineRule="exact"/>
              <w:rPr>
                <w:sz w:val="1"/>
                <w:szCs w:val="1"/>
                <w:color w:val="auto"/>
              </w:rPr>
            </w:pPr>
          </w:p>
        </w:tc>
        <w:tc>
          <w:tcPr>
            <w:tcW w:w="220" w:type="dxa"/>
            <w:vAlign w:val="bottom"/>
            <w:tcBorders>
              <w:top w:val="single" w:sz="8" w:color="F5F5F5"/>
            </w:tcBorders>
            <w:shd w:val="clear" w:color="auto" w:fill="F5F5F5"/>
          </w:tcPr>
          <w:p>
            <w:pPr>
              <w:spacing w:after="0" w:line="20" w:lineRule="exact"/>
              <w:rPr>
                <w:sz w:val="1"/>
                <w:szCs w:val="1"/>
                <w:color w:val="auto"/>
              </w:rPr>
            </w:pPr>
          </w:p>
        </w:tc>
        <w:tc>
          <w:tcPr>
            <w:tcW w:w="200" w:type="dxa"/>
            <w:vAlign w:val="bottom"/>
            <w:tcBorders>
              <w:top w:val="single" w:sz="8" w:color="F5F5F5"/>
            </w:tcBorders>
            <w:shd w:val="clear" w:color="auto" w:fill="F5F5F5"/>
          </w:tcPr>
          <w:p>
            <w:pPr>
              <w:spacing w:after="0" w:line="20" w:lineRule="exact"/>
              <w:rPr>
                <w:sz w:val="1"/>
                <w:szCs w:val="1"/>
                <w:color w:val="auto"/>
              </w:rPr>
            </w:pPr>
          </w:p>
        </w:tc>
        <w:tc>
          <w:tcPr>
            <w:tcW w:w="6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40" w:type="dxa"/>
            <w:vAlign w:val="bottom"/>
            <w:tcBorders>
              <w:top w:val="single" w:sz="8" w:color="F5F5F5"/>
            </w:tcBorders>
            <w:shd w:val="clear" w:color="auto" w:fill="F5F5F5"/>
          </w:tcPr>
          <w:p>
            <w:pPr>
              <w:spacing w:after="0" w:line="20" w:lineRule="exact"/>
              <w:rPr>
                <w:sz w:val="1"/>
                <w:szCs w:val="1"/>
                <w:color w:val="auto"/>
              </w:rPr>
            </w:pPr>
          </w:p>
        </w:tc>
        <w:tc>
          <w:tcPr>
            <w:tcW w:w="500" w:type="dxa"/>
            <w:vAlign w:val="bottom"/>
            <w:tcBorders>
              <w:top w:val="single" w:sz="8" w:color="F5F5F5"/>
            </w:tcBorders>
            <w:shd w:val="clear" w:color="auto" w:fill="F5F5F5"/>
          </w:tcPr>
          <w:p>
            <w:pPr>
              <w:spacing w:after="0" w:line="20" w:lineRule="exact"/>
              <w:rPr>
                <w:sz w:val="1"/>
                <w:szCs w:val="1"/>
                <w:color w:val="auto"/>
              </w:rPr>
            </w:pPr>
          </w:p>
        </w:tc>
        <w:tc>
          <w:tcPr>
            <w:tcW w:w="4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480" w:type="dxa"/>
            <w:vAlign w:val="bottom"/>
            <w:tcBorders>
              <w:top w:val="single" w:sz="8" w:color="F5F5F5"/>
            </w:tcBorders>
            <w:shd w:val="clear" w:color="auto" w:fill="F5F5F5"/>
          </w:tcPr>
          <w:p>
            <w:pPr>
              <w:spacing w:after="0" w:line="20" w:lineRule="exact"/>
              <w:rPr>
                <w:sz w:val="1"/>
                <w:szCs w:val="1"/>
                <w:color w:val="auto"/>
              </w:rPr>
            </w:pPr>
          </w:p>
        </w:tc>
        <w:tc>
          <w:tcPr>
            <w:tcW w:w="60" w:type="dxa"/>
            <w:vAlign w:val="bottom"/>
            <w:tcBorders>
              <w:top w:val="single" w:sz="8" w:color="F5F5F5"/>
            </w:tcBorders>
            <w:shd w:val="clear" w:color="auto" w:fill="F5F5F5"/>
          </w:tcPr>
          <w:p>
            <w:pPr>
              <w:spacing w:after="0" w:line="20" w:lineRule="exact"/>
              <w:rPr>
                <w:sz w:val="1"/>
                <w:szCs w:val="1"/>
                <w:color w:val="auto"/>
              </w:rPr>
            </w:pPr>
          </w:p>
        </w:tc>
        <w:tc>
          <w:tcPr>
            <w:tcW w:w="920" w:type="dxa"/>
            <w:vAlign w:val="bottom"/>
            <w:tcBorders>
              <w:top w:val="single" w:sz="8" w:color="F5F5F5"/>
            </w:tcBorders>
            <w:shd w:val="clear" w:color="auto" w:fill="F5F5F5"/>
          </w:tcPr>
          <w:p>
            <w:pPr>
              <w:spacing w:after="0" w:line="20" w:lineRule="exact"/>
              <w:rPr>
                <w:sz w:val="1"/>
                <w:szCs w:val="1"/>
                <w:color w:val="auto"/>
              </w:rPr>
            </w:pPr>
          </w:p>
        </w:tc>
        <w:tc>
          <w:tcPr>
            <w:tcW w:w="40" w:type="dxa"/>
            <w:vAlign w:val="bottom"/>
            <w:tcBorders>
              <w:top w:val="single" w:sz="8" w:color="F5F5F5"/>
            </w:tcBorders>
            <w:shd w:val="clear" w:color="auto" w:fill="F5F5F5"/>
          </w:tcPr>
          <w:p>
            <w:pPr>
              <w:spacing w:after="0" w:line="20" w:lineRule="exact"/>
              <w:rPr>
                <w:sz w:val="1"/>
                <w:szCs w:val="1"/>
                <w:color w:val="auto"/>
              </w:rPr>
            </w:pPr>
          </w:p>
        </w:tc>
        <w:tc>
          <w:tcPr>
            <w:tcW w:w="800" w:type="dxa"/>
            <w:vAlign w:val="bottom"/>
            <w:tcBorders>
              <w:top w:val="single" w:sz="8" w:color="F5F5F5"/>
            </w:tcBorders>
            <w:shd w:val="clear" w:color="auto" w:fill="F5F5F5"/>
          </w:tcPr>
          <w:p>
            <w:pPr>
              <w:spacing w:after="0" w:line="20" w:lineRule="exact"/>
              <w:rPr>
                <w:sz w:val="1"/>
                <w:szCs w:val="1"/>
                <w:color w:val="auto"/>
              </w:rPr>
            </w:pPr>
          </w:p>
        </w:tc>
        <w:tc>
          <w:tcPr>
            <w:tcW w:w="760" w:type="dxa"/>
            <w:vAlign w:val="bottom"/>
            <w:tcBorders>
              <w:top w:val="single" w:sz="8" w:color="F5F5F5"/>
            </w:tcBorders>
            <w:shd w:val="clear" w:color="auto" w:fill="F5F5F5"/>
          </w:tcPr>
          <w:p>
            <w:pPr>
              <w:spacing w:after="0" w:line="20" w:lineRule="exact"/>
              <w:rPr>
                <w:sz w:val="1"/>
                <w:szCs w:val="1"/>
                <w:color w:val="auto"/>
              </w:rPr>
            </w:pPr>
          </w:p>
        </w:tc>
        <w:tc>
          <w:tcPr>
            <w:tcW w:w="2040" w:type="dxa"/>
            <w:vAlign w:val="bottom"/>
            <w:tcBorders>
              <w:top w:val="single" w:sz="8" w:color="F5F5F5"/>
            </w:tcBorders>
            <w:shd w:val="clear" w:color="auto" w:fill="F5F5F5"/>
          </w:tcPr>
          <w:p>
            <w:pPr>
              <w:spacing w:after="0" w:line="20" w:lineRule="exact"/>
              <w:rPr>
                <w:sz w:val="1"/>
                <w:szCs w:val="1"/>
                <w:color w:val="auto"/>
              </w:rPr>
            </w:pPr>
          </w:p>
        </w:tc>
        <w:tc>
          <w:tcPr>
            <w:tcW w:w="80" w:type="dxa"/>
            <w:vAlign w:val="bottom"/>
            <w:tcBorders>
              <w:top w:val="single" w:sz="8" w:color="0000FF"/>
            </w:tcBorders>
            <w:shd w:val="clear" w:color="auto" w:fill="F5F5F5"/>
          </w:tcPr>
          <w:p>
            <w:pPr>
              <w:spacing w:after="0" w:line="20" w:lineRule="exact"/>
              <w:rPr>
                <w:sz w:val="1"/>
                <w:szCs w:val="1"/>
                <w:color w:val="auto"/>
              </w:rPr>
            </w:pPr>
          </w:p>
        </w:tc>
        <w:tc>
          <w:tcPr>
            <w:tcW w:w="100" w:type="dxa"/>
            <w:vAlign w:val="bottom"/>
            <w:tcBorders>
              <w:top w:val="single" w:sz="8" w:color="0000FF"/>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r>
      <w:tr>
        <w:trPr>
          <w:trHeight w:val="176"/>
        </w:trPr>
        <w:tc>
          <w:tcPr>
            <w:tcW w:w="1000" w:type="dxa"/>
            <w:vAlign w:val="bottom"/>
          </w:tcPr>
          <w:p>
            <w:pPr>
              <w:spacing w:after="0"/>
              <w:rPr>
                <w:sz w:val="15"/>
                <w:szCs w:val="15"/>
                <w:color w:val="auto"/>
              </w:rPr>
            </w:pPr>
          </w:p>
        </w:tc>
        <w:tc>
          <w:tcPr>
            <w:tcW w:w="10020" w:type="dxa"/>
            <w:vAlign w:val="bottom"/>
            <w:gridSpan w:val="35"/>
          </w:tcPr>
          <w:p>
            <w:pPr>
              <w:spacing w:after="0" w:line="175" w:lineRule="exact"/>
              <w:rPr>
                <w:sz w:val="20"/>
                <w:szCs w:val="20"/>
                <w:color w:val="auto"/>
              </w:rPr>
            </w:pPr>
            <w:r>
              <w:rPr>
                <w:rFonts w:ascii="Arial" w:cs="Arial" w:eastAsia="Arial" w:hAnsi="Arial"/>
                <w:sz w:val="16"/>
                <w:szCs w:val="16"/>
                <w:color w:val="0000FF"/>
              </w:rPr>
              <w:t>Consolidated Statements of Operations and Comprehensive Income (Loss)</w:t>
            </w:r>
          </w:p>
        </w:tc>
        <w:tc>
          <w:tcPr>
            <w:tcW w:w="180" w:type="dxa"/>
            <w:vAlign w:val="bottom"/>
            <w:gridSpan w:val="2"/>
          </w:tcPr>
          <w:p>
            <w:pPr>
              <w:jc w:val="right"/>
              <w:spacing w:after="0" w:line="175" w:lineRule="exact"/>
              <w:rPr>
                <w:sz w:val="20"/>
                <w:szCs w:val="20"/>
                <w:color w:val="auto"/>
              </w:rPr>
            </w:pPr>
            <w:r>
              <w:rPr>
                <w:rFonts w:ascii="Arial" w:cs="Arial" w:eastAsia="Arial" w:hAnsi="Arial"/>
                <w:sz w:val="16"/>
                <w:szCs w:val="16"/>
                <w:color w:val="0000FF"/>
                <w:w w:val="89"/>
              </w:rPr>
              <w:t>45</w:t>
            </w:r>
          </w:p>
        </w:tc>
        <w:tc>
          <w:tcPr>
            <w:tcW w:w="20" w:type="dxa"/>
            <w:vAlign w:val="bottom"/>
          </w:tcPr>
          <w:p>
            <w:pPr>
              <w:spacing w:after="0"/>
              <w:rPr>
                <w:sz w:val="15"/>
                <w:szCs w:val="15"/>
                <w:color w:val="auto"/>
              </w:rPr>
            </w:pPr>
          </w:p>
        </w:tc>
      </w:tr>
      <w:tr>
        <w:trPr>
          <w:trHeight w:val="20"/>
        </w:trPr>
        <w:tc>
          <w:tcPr>
            <w:tcW w:w="100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00" w:type="dxa"/>
            <w:vAlign w:val="bottom"/>
            <w:shd w:val="clear" w:color="auto" w:fill="F5F5F5"/>
          </w:tcPr>
          <w:p>
            <w:pPr>
              <w:spacing w:after="0"/>
              <w:rPr>
                <w:sz w:val="15"/>
                <w:szCs w:val="15"/>
                <w:color w:val="auto"/>
              </w:rPr>
            </w:pPr>
          </w:p>
        </w:tc>
        <w:tc>
          <w:tcPr>
            <w:tcW w:w="10020" w:type="dxa"/>
            <w:vAlign w:val="bottom"/>
            <w:gridSpan w:val="35"/>
            <w:shd w:val="clear" w:color="auto" w:fill="F5F5F5"/>
          </w:tcPr>
          <w:p>
            <w:pPr>
              <w:spacing w:after="0" w:line="175" w:lineRule="exact"/>
              <w:rPr>
                <w:sz w:val="20"/>
                <w:szCs w:val="20"/>
                <w:color w:val="auto"/>
              </w:rPr>
            </w:pPr>
            <w:r>
              <w:rPr>
                <w:rFonts w:ascii="Arial" w:cs="Arial" w:eastAsia="Arial" w:hAnsi="Arial"/>
                <w:sz w:val="16"/>
                <w:szCs w:val="16"/>
                <w:color w:val="0000FF"/>
              </w:rPr>
              <w:t>Consolidated Balance Sheets</w:t>
            </w:r>
          </w:p>
        </w:tc>
        <w:tc>
          <w:tcPr>
            <w:tcW w:w="180" w:type="dxa"/>
            <w:vAlign w:val="bottom"/>
            <w:gridSpan w:val="2"/>
            <w:shd w:val="clear" w:color="auto" w:fill="F5F5F5"/>
          </w:tcPr>
          <w:p>
            <w:pPr>
              <w:jc w:val="right"/>
              <w:spacing w:after="0" w:line="175" w:lineRule="exact"/>
              <w:rPr>
                <w:sz w:val="20"/>
                <w:szCs w:val="20"/>
                <w:color w:val="auto"/>
              </w:rPr>
            </w:pPr>
            <w:r>
              <w:rPr>
                <w:rFonts w:ascii="Arial" w:cs="Arial" w:eastAsia="Arial" w:hAnsi="Arial"/>
                <w:sz w:val="16"/>
                <w:szCs w:val="16"/>
                <w:color w:val="0000FF"/>
                <w:w w:val="89"/>
              </w:rPr>
              <w:t>46</w:t>
            </w:r>
          </w:p>
        </w:tc>
        <w:tc>
          <w:tcPr>
            <w:tcW w:w="20" w:type="dxa"/>
            <w:vAlign w:val="bottom"/>
            <w:shd w:val="clear" w:color="auto" w:fill="F5F5F5"/>
          </w:tcPr>
          <w:p>
            <w:pPr>
              <w:spacing w:after="0"/>
              <w:rPr>
                <w:sz w:val="15"/>
                <w:szCs w:val="15"/>
                <w:color w:val="auto"/>
              </w:rPr>
            </w:pPr>
          </w:p>
        </w:tc>
      </w:tr>
      <w:tr>
        <w:trPr>
          <w:trHeight w:val="21"/>
        </w:trPr>
        <w:tc>
          <w:tcPr>
            <w:tcW w:w="1000" w:type="dxa"/>
            <w:vAlign w:val="bottom"/>
            <w:tcBorders>
              <w:top w:val="single" w:sz="8" w:color="F5F5F5"/>
            </w:tcBorders>
            <w:shd w:val="clear" w:color="auto" w:fill="F5F5F5"/>
          </w:tcPr>
          <w:p>
            <w:pPr>
              <w:spacing w:after="0" w:line="20" w:lineRule="exact"/>
              <w:rPr>
                <w:sz w:val="1"/>
                <w:szCs w:val="1"/>
                <w:color w:val="auto"/>
              </w:rPr>
            </w:pPr>
          </w:p>
        </w:tc>
        <w:tc>
          <w:tcPr>
            <w:tcW w:w="660" w:type="dxa"/>
            <w:vAlign w:val="bottom"/>
            <w:tcBorders>
              <w:top w:val="single" w:sz="8" w:color="0000FF"/>
            </w:tcBorders>
            <w:shd w:val="clear" w:color="auto" w:fill="F5F5F5"/>
          </w:tcPr>
          <w:p>
            <w:pPr>
              <w:spacing w:after="0" w:line="20" w:lineRule="exact"/>
              <w:rPr>
                <w:sz w:val="1"/>
                <w:szCs w:val="1"/>
                <w:color w:val="auto"/>
              </w:rPr>
            </w:pPr>
          </w:p>
        </w:tc>
        <w:tc>
          <w:tcPr>
            <w:tcW w:w="80" w:type="dxa"/>
            <w:vAlign w:val="bottom"/>
            <w:tcBorders>
              <w:top w:val="single" w:sz="8" w:color="0000FF"/>
            </w:tcBorders>
            <w:shd w:val="clear" w:color="auto" w:fill="F5F5F5"/>
          </w:tcPr>
          <w:p>
            <w:pPr>
              <w:spacing w:after="0" w:line="20" w:lineRule="exact"/>
              <w:rPr>
                <w:sz w:val="1"/>
                <w:szCs w:val="1"/>
                <w:color w:val="auto"/>
              </w:rPr>
            </w:pPr>
          </w:p>
        </w:tc>
        <w:tc>
          <w:tcPr>
            <w:tcW w:w="40" w:type="dxa"/>
            <w:vAlign w:val="bottom"/>
            <w:tcBorders>
              <w:top w:val="single" w:sz="8" w:color="0000FF"/>
            </w:tcBorders>
            <w:shd w:val="clear" w:color="auto" w:fill="F5F5F5"/>
          </w:tcPr>
          <w:p>
            <w:pPr>
              <w:spacing w:after="0" w:line="20" w:lineRule="exact"/>
              <w:rPr>
                <w:sz w:val="1"/>
                <w:szCs w:val="1"/>
                <w:color w:val="auto"/>
              </w:rPr>
            </w:pPr>
          </w:p>
        </w:tc>
        <w:tc>
          <w:tcPr>
            <w:tcW w:w="120" w:type="dxa"/>
            <w:vAlign w:val="bottom"/>
            <w:tcBorders>
              <w:top w:val="single" w:sz="8" w:color="0000FF"/>
            </w:tcBorders>
            <w:shd w:val="clear" w:color="auto" w:fill="F5F5F5"/>
          </w:tcPr>
          <w:p>
            <w:pPr>
              <w:spacing w:after="0" w:line="20" w:lineRule="exact"/>
              <w:rPr>
                <w:sz w:val="1"/>
                <w:szCs w:val="1"/>
                <w:color w:val="auto"/>
              </w:rPr>
            </w:pPr>
          </w:p>
        </w:tc>
        <w:tc>
          <w:tcPr>
            <w:tcW w:w="80" w:type="dxa"/>
            <w:vAlign w:val="bottom"/>
            <w:tcBorders>
              <w:top w:val="single" w:sz="8" w:color="0000FF"/>
            </w:tcBorders>
            <w:shd w:val="clear" w:color="auto" w:fill="F5F5F5"/>
          </w:tcPr>
          <w:p>
            <w:pPr>
              <w:spacing w:after="0" w:line="20" w:lineRule="exact"/>
              <w:rPr>
                <w:sz w:val="1"/>
                <w:szCs w:val="1"/>
                <w:color w:val="auto"/>
              </w:rPr>
            </w:pPr>
          </w:p>
        </w:tc>
        <w:tc>
          <w:tcPr>
            <w:tcW w:w="200" w:type="dxa"/>
            <w:vAlign w:val="bottom"/>
            <w:tcBorders>
              <w:top w:val="single" w:sz="8" w:color="0000FF"/>
            </w:tcBorders>
            <w:shd w:val="clear" w:color="auto" w:fill="F5F5F5"/>
          </w:tcPr>
          <w:p>
            <w:pPr>
              <w:spacing w:after="0" w:line="20" w:lineRule="exact"/>
              <w:rPr>
                <w:sz w:val="1"/>
                <w:szCs w:val="1"/>
                <w:color w:val="auto"/>
              </w:rPr>
            </w:pPr>
          </w:p>
        </w:tc>
        <w:tc>
          <w:tcPr>
            <w:tcW w:w="80" w:type="dxa"/>
            <w:vAlign w:val="bottom"/>
            <w:tcBorders>
              <w:top w:val="single" w:sz="8" w:color="0000FF"/>
            </w:tcBorders>
            <w:shd w:val="clear" w:color="auto" w:fill="F5F5F5"/>
          </w:tcPr>
          <w:p>
            <w:pPr>
              <w:spacing w:after="0" w:line="20" w:lineRule="exact"/>
              <w:rPr>
                <w:sz w:val="1"/>
                <w:szCs w:val="1"/>
                <w:color w:val="auto"/>
              </w:rPr>
            </w:pPr>
          </w:p>
        </w:tc>
        <w:tc>
          <w:tcPr>
            <w:tcW w:w="80" w:type="dxa"/>
            <w:vAlign w:val="bottom"/>
            <w:tcBorders>
              <w:top w:val="single" w:sz="8" w:color="0000FF"/>
            </w:tcBorders>
            <w:shd w:val="clear" w:color="auto" w:fill="F5F5F5"/>
          </w:tcPr>
          <w:p>
            <w:pPr>
              <w:spacing w:after="0" w:line="20" w:lineRule="exact"/>
              <w:rPr>
                <w:sz w:val="1"/>
                <w:szCs w:val="1"/>
                <w:color w:val="auto"/>
              </w:rPr>
            </w:pPr>
          </w:p>
        </w:tc>
        <w:tc>
          <w:tcPr>
            <w:tcW w:w="160" w:type="dxa"/>
            <w:vAlign w:val="bottom"/>
            <w:tcBorders>
              <w:top w:val="single" w:sz="8" w:color="0000FF"/>
            </w:tcBorders>
            <w:shd w:val="clear" w:color="auto" w:fill="F5F5F5"/>
          </w:tcPr>
          <w:p>
            <w:pPr>
              <w:spacing w:after="0" w:line="20" w:lineRule="exact"/>
              <w:rPr>
                <w:sz w:val="1"/>
                <w:szCs w:val="1"/>
                <w:color w:val="auto"/>
              </w:rPr>
            </w:pPr>
          </w:p>
        </w:tc>
        <w:tc>
          <w:tcPr>
            <w:tcW w:w="240" w:type="dxa"/>
            <w:vAlign w:val="bottom"/>
            <w:tcBorders>
              <w:top w:val="single" w:sz="8" w:color="0000FF"/>
            </w:tcBorders>
            <w:shd w:val="clear" w:color="auto" w:fill="F5F5F5"/>
          </w:tcPr>
          <w:p>
            <w:pPr>
              <w:spacing w:after="0" w:line="20" w:lineRule="exact"/>
              <w:rPr>
                <w:sz w:val="1"/>
                <w:szCs w:val="1"/>
                <w:color w:val="auto"/>
              </w:rPr>
            </w:pPr>
          </w:p>
        </w:tc>
        <w:tc>
          <w:tcPr>
            <w:tcW w:w="40" w:type="dxa"/>
            <w:vAlign w:val="bottom"/>
            <w:tcBorders>
              <w:top w:val="single" w:sz="8" w:color="0000FF"/>
            </w:tcBorders>
            <w:shd w:val="clear" w:color="auto" w:fill="F5F5F5"/>
          </w:tcPr>
          <w:p>
            <w:pPr>
              <w:spacing w:after="0" w:line="20" w:lineRule="exact"/>
              <w:rPr>
                <w:sz w:val="1"/>
                <w:szCs w:val="1"/>
                <w:color w:val="auto"/>
              </w:rPr>
            </w:pPr>
          </w:p>
        </w:tc>
        <w:tc>
          <w:tcPr>
            <w:tcW w:w="240" w:type="dxa"/>
            <w:vAlign w:val="bottom"/>
            <w:tcBorders>
              <w:top w:val="single" w:sz="8" w:color="0000FF"/>
            </w:tcBorders>
            <w:shd w:val="clear" w:color="auto" w:fill="F5F5F5"/>
          </w:tcPr>
          <w:p>
            <w:pPr>
              <w:spacing w:after="0" w:line="20" w:lineRule="exact"/>
              <w:rPr>
                <w:sz w:val="1"/>
                <w:szCs w:val="1"/>
                <w:color w:val="auto"/>
              </w:rPr>
            </w:pPr>
          </w:p>
        </w:tc>
        <w:tc>
          <w:tcPr>
            <w:tcW w:w="100" w:type="dxa"/>
            <w:vAlign w:val="bottom"/>
            <w:tcBorders>
              <w:top w:val="single" w:sz="8" w:color="0000FF"/>
            </w:tcBorders>
            <w:shd w:val="clear" w:color="auto" w:fill="F5F5F5"/>
          </w:tcPr>
          <w:p>
            <w:pPr>
              <w:spacing w:after="0" w:line="20" w:lineRule="exact"/>
              <w:rPr>
                <w:sz w:val="1"/>
                <w:szCs w:val="1"/>
                <w:color w:val="auto"/>
              </w:rPr>
            </w:pPr>
          </w:p>
        </w:tc>
        <w:tc>
          <w:tcPr>
            <w:tcW w:w="74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6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180" w:type="dxa"/>
            <w:vAlign w:val="bottom"/>
            <w:tcBorders>
              <w:top w:val="single" w:sz="8" w:color="F5F5F5"/>
            </w:tcBorders>
            <w:shd w:val="clear" w:color="auto" w:fill="F5F5F5"/>
          </w:tcPr>
          <w:p>
            <w:pPr>
              <w:spacing w:after="0" w:line="20" w:lineRule="exact"/>
              <w:rPr>
                <w:sz w:val="1"/>
                <w:szCs w:val="1"/>
                <w:color w:val="auto"/>
              </w:rPr>
            </w:pPr>
          </w:p>
        </w:tc>
        <w:tc>
          <w:tcPr>
            <w:tcW w:w="160" w:type="dxa"/>
            <w:vAlign w:val="bottom"/>
            <w:tcBorders>
              <w:top w:val="single" w:sz="8" w:color="F5F5F5"/>
            </w:tcBorders>
            <w:shd w:val="clear" w:color="auto" w:fill="F5F5F5"/>
          </w:tcPr>
          <w:p>
            <w:pPr>
              <w:spacing w:after="0" w:line="20" w:lineRule="exact"/>
              <w:rPr>
                <w:sz w:val="1"/>
                <w:szCs w:val="1"/>
                <w:color w:val="auto"/>
              </w:rPr>
            </w:pPr>
          </w:p>
        </w:tc>
        <w:tc>
          <w:tcPr>
            <w:tcW w:w="320" w:type="dxa"/>
            <w:vAlign w:val="bottom"/>
            <w:tcBorders>
              <w:top w:val="single" w:sz="8" w:color="F5F5F5"/>
            </w:tcBorders>
            <w:shd w:val="clear" w:color="auto" w:fill="F5F5F5"/>
          </w:tcPr>
          <w:p>
            <w:pPr>
              <w:spacing w:after="0" w:line="20" w:lineRule="exact"/>
              <w:rPr>
                <w:sz w:val="1"/>
                <w:szCs w:val="1"/>
                <w:color w:val="auto"/>
              </w:rPr>
            </w:pPr>
          </w:p>
        </w:tc>
        <w:tc>
          <w:tcPr>
            <w:tcW w:w="220" w:type="dxa"/>
            <w:vAlign w:val="bottom"/>
            <w:tcBorders>
              <w:top w:val="single" w:sz="8" w:color="F5F5F5"/>
            </w:tcBorders>
            <w:shd w:val="clear" w:color="auto" w:fill="F5F5F5"/>
          </w:tcPr>
          <w:p>
            <w:pPr>
              <w:spacing w:after="0" w:line="20" w:lineRule="exact"/>
              <w:rPr>
                <w:sz w:val="1"/>
                <w:szCs w:val="1"/>
                <w:color w:val="auto"/>
              </w:rPr>
            </w:pPr>
          </w:p>
        </w:tc>
        <w:tc>
          <w:tcPr>
            <w:tcW w:w="200" w:type="dxa"/>
            <w:vAlign w:val="bottom"/>
            <w:tcBorders>
              <w:top w:val="single" w:sz="8" w:color="F5F5F5"/>
            </w:tcBorders>
            <w:shd w:val="clear" w:color="auto" w:fill="F5F5F5"/>
          </w:tcPr>
          <w:p>
            <w:pPr>
              <w:spacing w:after="0" w:line="20" w:lineRule="exact"/>
              <w:rPr>
                <w:sz w:val="1"/>
                <w:szCs w:val="1"/>
                <w:color w:val="auto"/>
              </w:rPr>
            </w:pPr>
          </w:p>
        </w:tc>
        <w:tc>
          <w:tcPr>
            <w:tcW w:w="6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40" w:type="dxa"/>
            <w:vAlign w:val="bottom"/>
            <w:tcBorders>
              <w:top w:val="single" w:sz="8" w:color="F5F5F5"/>
            </w:tcBorders>
            <w:shd w:val="clear" w:color="auto" w:fill="F5F5F5"/>
          </w:tcPr>
          <w:p>
            <w:pPr>
              <w:spacing w:after="0" w:line="20" w:lineRule="exact"/>
              <w:rPr>
                <w:sz w:val="1"/>
                <w:szCs w:val="1"/>
                <w:color w:val="auto"/>
              </w:rPr>
            </w:pPr>
          </w:p>
        </w:tc>
        <w:tc>
          <w:tcPr>
            <w:tcW w:w="500" w:type="dxa"/>
            <w:vAlign w:val="bottom"/>
            <w:tcBorders>
              <w:top w:val="single" w:sz="8" w:color="F5F5F5"/>
            </w:tcBorders>
            <w:shd w:val="clear" w:color="auto" w:fill="F5F5F5"/>
          </w:tcPr>
          <w:p>
            <w:pPr>
              <w:spacing w:after="0" w:line="20" w:lineRule="exact"/>
              <w:rPr>
                <w:sz w:val="1"/>
                <w:szCs w:val="1"/>
                <w:color w:val="auto"/>
              </w:rPr>
            </w:pPr>
          </w:p>
        </w:tc>
        <w:tc>
          <w:tcPr>
            <w:tcW w:w="4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480" w:type="dxa"/>
            <w:vAlign w:val="bottom"/>
            <w:tcBorders>
              <w:top w:val="single" w:sz="8" w:color="F5F5F5"/>
            </w:tcBorders>
            <w:shd w:val="clear" w:color="auto" w:fill="F5F5F5"/>
          </w:tcPr>
          <w:p>
            <w:pPr>
              <w:spacing w:after="0" w:line="20" w:lineRule="exact"/>
              <w:rPr>
                <w:sz w:val="1"/>
                <w:szCs w:val="1"/>
                <w:color w:val="auto"/>
              </w:rPr>
            </w:pPr>
          </w:p>
        </w:tc>
        <w:tc>
          <w:tcPr>
            <w:tcW w:w="60" w:type="dxa"/>
            <w:vAlign w:val="bottom"/>
            <w:tcBorders>
              <w:top w:val="single" w:sz="8" w:color="F5F5F5"/>
            </w:tcBorders>
            <w:shd w:val="clear" w:color="auto" w:fill="F5F5F5"/>
          </w:tcPr>
          <w:p>
            <w:pPr>
              <w:spacing w:after="0" w:line="20" w:lineRule="exact"/>
              <w:rPr>
                <w:sz w:val="1"/>
                <w:szCs w:val="1"/>
                <w:color w:val="auto"/>
              </w:rPr>
            </w:pPr>
          </w:p>
        </w:tc>
        <w:tc>
          <w:tcPr>
            <w:tcW w:w="920" w:type="dxa"/>
            <w:vAlign w:val="bottom"/>
            <w:tcBorders>
              <w:top w:val="single" w:sz="8" w:color="F5F5F5"/>
            </w:tcBorders>
            <w:shd w:val="clear" w:color="auto" w:fill="F5F5F5"/>
          </w:tcPr>
          <w:p>
            <w:pPr>
              <w:spacing w:after="0" w:line="20" w:lineRule="exact"/>
              <w:rPr>
                <w:sz w:val="1"/>
                <w:szCs w:val="1"/>
                <w:color w:val="auto"/>
              </w:rPr>
            </w:pPr>
          </w:p>
        </w:tc>
        <w:tc>
          <w:tcPr>
            <w:tcW w:w="40" w:type="dxa"/>
            <w:vAlign w:val="bottom"/>
            <w:tcBorders>
              <w:top w:val="single" w:sz="8" w:color="F5F5F5"/>
            </w:tcBorders>
            <w:shd w:val="clear" w:color="auto" w:fill="F5F5F5"/>
          </w:tcPr>
          <w:p>
            <w:pPr>
              <w:spacing w:after="0" w:line="20" w:lineRule="exact"/>
              <w:rPr>
                <w:sz w:val="1"/>
                <w:szCs w:val="1"/>
                <w:color w:val="auto"/>
              </w:rPr>
            </w:pPr>
          </w:p>
        </w:tc>
        <w:tc>
          <w:tcPr>
            <w:tcW w:w="800" w:type="dxa"/>
            <w:vAlign w:val="bottom"/>
            <w:tcBorders>
              <w:top w:val="single" w:sz="8" w:color="F5F5F5"/>
            </w:tcBorders>
            <w:shd w:val="clear" w:color="auto" w:fill="F5F5F5"/>
          </w:tcPr>
          <w:p>
            <w:pPr>
              <w:spacing w:after="0" w:line="20" w:lineRule="exact"/>
              <w:rPr>
                <w:sz w:val="1"/>
                <w:szCs w:val="1"/>
                <w:color w:val="auto"/>
              </w:rPr>
            </w:pPr>
          </w:p>
        </w:tc>
        <w:tc>
          <w:tcPr>
            <w:tcW w:w="760" w:type="dxa"/>
            <w:vAlign w:val="bottom"/>
            <w:tcBorders>
              <w:top w:val="single" w:sz="8" w:color="F5F5F5"/>
            </w:tcBorders>
            <w:shd w:val="clear" w:color="auto" w:fill="F5F5F5"/>
          </w:tcPr>
          <w:p>
            <w:pPr>
              <w:spacing w:after="0" w:line="20" w:lineRule="exact"/>
              <w:rPr>
                <w:sz w:val="1"/>
                <w:szCs w:val="1"/>
                <w:color w:val="auto"/>
              </w:rPr>
            </w:pPr>
          </w:p>
        </w:tc>
        <w:tc>
          <w:tcPr>
            <w:tcW w:w="2040" w:type="dxa"/>
            <w:vAlign w:val="bottom"/>
            <w:tcBorders>
              <w:top w:val="single" w:sz="8" w:color="F5F5F5"/>
            </w:tcBorders>
            <w:shd w:val="clear" w:color="auto" w:fill="F5F5F5"/>
          </w:tcPr>
          <w:p>
            <w:pPr>
              <w:spacing w:after="0" w:line="20" w:lineRule="exact"/>
              <w:rPr>
                <w:sz w:val="1"/>
                <w:szCs w:val="1"/>
                <w:color w:val="auto"/>
              </w:rPr>
            </w:pPr>
          </w:p>
        </w:tc>
        <w:tc>
          <w:tcPr>
            <w:tcW w:w="80" w:type="dxa"/>
            <w:vAlign w:val="bottom"/>
            <w:tcBorders>
              <w:top w:val="single" w:sz="8" w:color="0000FF"/>
            </w:tcBorders>
            <w:shd w:val="clear" w:color="auto" w:fill="F5F5F5"/>
          </w:tcPr>
          <w:p>
            <w:pPr>
              <w:spacing w:after="0" w:line="20" w:lineRule="exact"/>
              <w:rPr>
                <w:sz w:val="1"/>
                <w:szCs w:val="1"/>
                <w:color w:val="auto"/>
              </w:rPr>
            </w:pPr>
          </w:p>
        </w:tc>
        <w:tc>
          <w:tcPr>
            <w:tcW w:w="100" w:type="dxa"/>
            <w:vAlign w:val="bottom"/>
            <w:tcBorders>
              <w:top w:val="single" w:sz="8" w:color="0000FF"/>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r>
      <w:tr>
        <w:trPr>
          <w:trHeight w:val="175"/>
        </w:trPr>
        <w:tc>
          <w:tcPr>
            <w:tcW w:w="1000" w:type="dxa"/>
            <w:vAlign w:val="bottom"/>
          </w:tcPr>
          <w:p>
            <w:pPr>
              <w:spacing w:after="0"/>
              <w:rPr>
                <w:sz w:val="15"/>
                <w:szCs w:val="15"/>
                <w:color w:val="auto"/>
              </w:rPr>
            </w:pPr>
          </w:p>
        </w:tc>
        <w:tc>
          <w:tcPr>
            <w:tcW w:w="10020" w:type="dxa"/>
            <w:vAlign w:val="bottom"/>
            <w:gridSpan w:val="35"/>
          </w:tcPr>
          <w:p>
            <w:pPr>
              <w:spacing w:after="0" w:line="175" w:lineRule="exact"/>
              <w:rPr>
                <w:sz w:val="20"/>
                <w:szCs w:val="20"/>
                <w:color w:val="auto"/>
              </w:rPr>
            </w:pPr>
            <w:r>
              <w:rPr>
                <w:rFonts w:ascii="Arial" w:cs="Arial" w:eastAsia="Arial" w:hAnsi="Arial"/>
                <w:sz w:val="16"/>
                <w:szCs w:val="16"/>
                <w:color w:val="0000FF"/>
              </w:rPr>
              <w:t>Consolidated Statements of Stockholders’ Equity</w:t>
            </w:r>
          </w:p>
        </w:tc>
        <w:tc>
          <w:tcPr>
            <w:tcW w:w="180" w:type="dxa"/>
            <w:vAlign w:val="bottom"/>
            <w:gridSpan w:val="2"/>
          </w:tcPr>
          <w:p>
            <w:pPr>
              <w:jc w:val="right"/>
              <w:spacing w:after="0" w:line="175" w:lineRule="exact"/>
              <w:rPr>
                <w:sz w:val="20"/>
                <w:szCs w:val="20"/>
                <w:color w:val="auto"/>
              </w:rPr>
            </w:pPr>
            <w:r>
              <w:rPr>
                <w:rFonts w:ascii="Arial" w:cs="Arial" w:eastAsia="Arial" w:hAnsi="Arial"/>
                <w:sz w:val="16"/>
                <w:szCs w:val="16"/>
                <w:color w:val="0000FF"/>
                <w:w w:val="89"/>
              </w:rPr>
              <w:t>47</w:t>
            </w:r>
          </w:p>
        </w:tc>
        <w:tc>
          <w:tcPr>
            <w:tcW w:w="20" w:type="dxa"/>
            <w:vAlign w:val="bottom"/>
          </w:tcPr>
          <w:p>
            <w:pPr>
              <w:spacing w:after="0"/>
              <w:rPr>
                <w:sz w:val="15"/>
                <w:szCs w:val="15"/>
                <w:color w:val="auto"/>
              </w:rPr>
            </w:pPr>
          </w:p>
        </w:tc>
      </w:tr>
      <w:tr>
        <w:trPr>
          <w:trHeight w:val="21"/>
        </w:trPr>
        <w:tc>
          <w:tcPr>
            <w:tcW w:w="100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Borders>
              <w:bottom w:val="single" w:sz="8" w:color="F5F5F5"/>
            </w:tcBorders>
            <w:shd w:val="clear" w:color="auto" w:fill="F5F5F5"/>
          </w:tcPr>
          <w:p>
            <w:pPr>
              <w:spacing w:after="0"/>
              <w:rPr>
                <w:sz w:val="17"/>
                <w:szCs w:val="17"/>
                <w:color w:val="auto"/>
              </w:rPr>
            </w:pPr>
          </w:p>
        </w:tc>
        <w:tc>
          <w:tcPr>
            <w:tcW w:w="2880" w:type="dxa"/>
            <w:vAlign w:val="bottom"/>
            <w:tcBorders>
              <w:bottom w:val="single" w:sz="8" w:color="0000FF"/>
            </w:tcBorders>
            <w:gridSpan w:val="15"/>
            <w:shd w:val="clear" w:color="auto" w:fill="F5F5F5"/>
          </w:tcPr>
          <w:p>
            <w:pPr>
              <w:spacing w:after="0" w:line="175" w:lineRule="exact"/>
              <w:rPr>
                <w:sz w:val="20"/>
                <w:szCs w:val="20"/>
                <w:color w:val="auto"/>
              </w:rPr>
            </w:pPr>
            <w:r>
              <w:rPr>
                <w:rFonts w:ascii="Arial" w:cs="Arial" w:eastAsia="Arial" w:hAnsi="Arial"/>
                <w:sz w:val="16"/>
                <w:szCs w:val="16"/>
                <w:color w:val="0000FF"/>
              </w:rPr>
              <w:t>Consolidated Statements of Cash Flows</w:t>
            </w:r>
          </w:p>
        </w:tc>
        <w:tc>
          <w:tcPr>
            <w:tcW w:w="7140" w:type="dxa"/>
            <w:vAlign w:val="bottom"/>
            <w:tcBorders>
              <w:bottom w:val="single" w:sz="8" w:color="F5F5F5"/>
            </w:tcBorders>
            <w:gridSpan w:val="20"/>
            <w:shd w:val="clear" w:color="auto" w:fill="F5F5F5"/>
          </w:tcPr>
          <w:p>
            <w:pPr>
              <w:spacing w:after="0"/>
              <w:rPr>
                <w:sz w:val="17"/>
                <w:szCs w:val="17"/>
                <w:color w:val="auto"/>
              </w:rPr>
            </w:pPr>
          </w:p>
        </w:tc>
        <w:tc>
          <w:tcPr>
            <w:tcW w:w="180" w:type="dxa"/>
            <w:vAlign w:val="bottom"/>
            <w:tcBorders>
              <w:bottom w:val="single" w:sz="8" w:color="0000FF"/>
            </w:tcBorders>
            <w:gridSpan w:val="2"/>
            <w:shd w:val="clear" w:color="auto" w:fill="F5F5F5"/>
          </w:tcPr>
          <w:p>
            <w:pPr>
              <w:jc w:val="right"/>
              <w:spacing w:after="0" w:line="175" w:lineRule="exact"/>
              <w:rPr>
                <w:sz w:val="20"/>
                <w:szCs w:val="20"/>
                <w:color w:val="auto"/>
              </w:rPr>
            </w:pPr>
            <w:r>
              <w:rPr>
                <w:rFonts w:ascii="Arial" w:cs="Arial" w:eastAsia="Arial" w:hAnsi="Arial"/>
                <w:sz w:val="16"/>
                <w:szCs w:val="16"/>
                <w:color w:val="0000FF"/>
                <w:w w:val="89"/>
              </w:rPr>
              <w:t>48</w:t>
            </w:r>
          </w:p>
        </w:tc>
        <w:tc>
          <w:tcPr>
            <w:tcW w:w="20" w:type="dxa"/>
            <w:vAlign w:val="bottom"/>
            <w:tcBorders>
              <w:bottom w:val="single" w:sz="8" w:color="F5F5F5"/>
            </w:tcBorders>
            <w:shd w:val="clear" w:color="auto" w:fill="F5F5F5"/>
          </w:tcPr>
          <w:p>
            <w:pPr>
              <w:spacing w:after="0"/>
              <w:rPr>
                <w:sz w:val="17"/>
                <w:szCs w:val="17"/>
                <w:color w:val="auto"/>
              </w:rPr>
            </w:pPr>
          </w:p>
        </w:tc>
      </w:tr>
      <w:tr>
        <w:trPr>
          <w:trHeight w:val="175"/>
        </w:trPr>
        <w:tc>
          <w:tcPr>
            <w:tcW w:w="1000" w:type="dxa"/>
            <w:vAlign w:val="bottom"/>
          </w:tcPr>
          <w:p>
            <w:pPr>
              <w:spacing w:after="0"/>
              <w:rPr>
                <w:sz w:val="15"/>
                <w:szCs w:val="15"/>
                <w:color w:val="auto"/>
              </w:rPr>
            </w:pPr>
          </w:p>
        </w:tc>
        <w:tc>
          <w:tcPr>
            <w:tcW w:w="10020" w:type="dxa"/>
            <w:vAlign w:val="bottom"/>
            <w:gridSpan w:val="35"/>
          </w:tcPr>
          <w:p>
            <w:pPr>
              <w:spacing w:after="0" w:line="175" w:lineRule="exact"/>
              <w:rPr>
                <w:sz w:val="20"/>
                <w:szCs w:val="20"/>
                <w:color w:val="auto"/>
              </w:rPr>
            </w:pPr>
            <w:r>
              <w:rPr>
                <w:rFonts w:ascii="Arial" w:cs="Arial" w:eastAsia="Arial" w:hAnsi="Arial"/>
                <w:sz w:val="16"/>
                <w:szCs w:val="16"/>
                <w:color w:val="0000FF"/>
              </w:rPr>
              <w:t>Index for Notes to Consolidated Financial Statements</w:t>
            </w:r>
          </w:p>
        </w:tc>
        <w:tc>
          <w:tcPr>
            <w:tcW w:w="180" w:type="dxa"/>
            <w:vAlign w:val="bottom"/>
            <w:gridSpan w:val="2"/>
          </w:tcPr>
          <w:p>
            <w:pPr>
              <w:jc w:val="right"/>
              <w:spacing w:after="0" w:line="175" w:lineRule="exact"/>
              <w:rPr>
                <w:sz w:val="20"/>
                <w:szCs w:val="20"/>
                <w:color w:val="auto"/>
              </w:rPr>
            </w:pPr>
            <w:r>
              <w:rPr>
                <w:rFonts w:ascii="Arial" w:cs="Arial" w:eastAsia="Arial" w:hAnsi="Arial"/>
                <w:sz w:val="16"/>
                <w:szCs w:val="16"/>
                <w:color w:val="0000FF"/>
                <w:w w:val="89"/>
              </w:rPr>
              <w:t>49</w:t>
            </w:r>
          </w:p>
        </w:tc>
        <w:tc>
          <w:tcPr>
            <w:tcW w:w="20" w:type="dxa"/>
            <w:vAlign w:val="bottom"/>
          </w:tcPr>
          <w:p>
            <w:pPr>
              <w:spacing w:after="0"/>
              <w:rPr>
                <w:sz w:val="15"/>
                <w:szCs w:val="15"/>
                <w:color w:val="auto"/>
              </w:rPr>
            </w:pPr>
          </w:p>
        </w:tc>
      </w:tr>
      <w:tr>
        <w:trPr>
          <w:trHeight w:val="21"/>
        </w:trPr>
        <w:tc>
          <w:tcPr>
            <w:tcW w:w="100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00" w:type="dxa"/>
            <w:vAlign w:val="bottom"/>
            <w:shd w:val="clear" w:color="auto" w:fill="F5F5F5"/>
          </w:tcPr>
          <w:p>
            <w:pPr>
              <w:spacing w:after="0"/>
              <w:rPr>
                <w:sz w:val="15"/>
                <w:szCs w:val="15"/>
                <w:color w:val="auto"/>
              </w:rPr>
            </w:pPr>
          </w:p>
        </w:tc>
        <w:tc>
          <w:tcPr>
            <w:tcW w:w="10020" w:type="dxa"/>
            <w:vAlign w:val="bottom"/>
            <w:gridSpan w:val="35"/>
            <w:shd w:val="clear" w:color="auto" w:fill="F5F5F5"/>
          </w:tcPr>
          <w:p>
            <w:pPr>
              <w:spacing w:after="0" w:line="175" w:lineRule="exact"/>
              <w:rPr>
                <w:sz w:val="20"/>
                <w:szCs w:val="20"/>
                <w:color w:val="auto"/>
              </w:rPr>
            </w:pPr>
            <w:r>
              <w:rPr>
                <w:rFonts w:ascii="Arial" w:cs="Arial" w:eastAsia="Arial" w:hAnsi="Arial"/>
                <w:sz w:val="16"/>
                <w:szCs w:val="16"/>
                <w:color w:val="0000FF"/>
              </w:rPr>
              <w:t>Notes to Consolidated Financial Statements</w:t>
            </w:r>
          </w:p>
        </w:tc>
        <w:tc>
          <w:tcPr>
            <w:tcW w:w="180" w:type="dxa"/>
            <w:vAlign w:val="bottom"/>
            <w:gridSpan w:val="2"/>
            <w:shd w:val="clear" w:color="auto" w:fill="F5F5F5"/>
          </w:tcPr>
          <w:p>
            <w:pPr>
              <w:jc w:val="right"/>
              <w:spacing w:after="0" w:line="175" w:lineRule="exact"/>
              <w:rPr>
                <w:sz w:val="20"/>
                <w:szCs w:val="20"/>
                <w:color w:val="auto"/>
              </w:rPr>
            </w:pPr>
            <w:r>
              <w:rPr>
                <w:rFonts w:ascii="Arial" w:cs="Arial" w:eastAsia="Arial" w:hAnsi="Arial"/>
                <w:sz w:val="16"/>
                <w:szCs w:val="16"/>
                <w:color w:val="0000FF"/>
                <w:w w:val="89"/>
              </w:rPr>
              <w:t>50</w:t>
            </w:r>
          </w:p>
        </w:tc>
        <w:tc>
          <w:tcPr>
            <w:tcW w:w="20" w:type="dxa"/>
            <w:vAlign w:val="bottom"/>
            <w:shd w:val="clear" w:color="auto" w:fill="F5F5F5"/>
          </w:tcPr>
          <w:p>
            <w:pPr>
              <w:spacing w:after="0"/>
              <w:rPr>
                <w:sz w:val="15"/>
                <w:szCs w:val="15"/>
                <w:color w:val="auto"/>
              </w:rPr>
            </w:pPr>
          </w:p>
        </w:tc>
      </w:tr>
      <w:tr>
        <w:trPr>
          <w:trHeight w:val="20"/>
        </w:trPr>
        <w:tc>
          <w:tcPr>
            <w:tcW w:w="1000" w:type="dxa"/>
            <w:vAlign w:val="bottom"/>
            <w:tcBorders>
              <w:top w:val="single" w:sz="8" w:color="F5F5F5"/>
            </w:tcBorders>
            <w:shd w:val="clear" w:color="auto" w:fill="F5F5F5"/>
          </w:tcPr>
          <w:p>
            <w:pPr>
              <w:spacing w:after="0" w:line="20" w:lineRule="exact"/>
              <w:rPr>
                <w:sz w:val="1"/>
                <w:szCs w:val="1"/>
                <w:color w:val="auto"/>
              </w:rPr>
            </w:pPr>
          </w:p>
        </w:tc>
        <w:tc>
          <w:tcPr>
            <w:tcW w:w="660" w:type="dxa"/>
            <w:vAlign w:val="bottom"/>
            <w:tcBorders>
              <w:top w:val="single" w:sz="8" w:color="0000FF"/>
            </w:tcBorders>
            <w:shd w:val="clear" w:color="auto" w:fill="F5F5F5"/>
          </w:tcPr>
          <w:p>
            <w:pPr>
              <w:spacing w:after="0" w:line="20" w:lineRule="exact"/>
              <w:rPr>
                <w:sz w:val="1"/>
                <w:szCs w:val="1"/>
                <w:color w:val="auto"/>
              </w:rPr>
            </w:pPr>
          </w:p>
        </w:tc>
        <w:tc>
          <w:tcPr>
            <w:tcW w:w="80" w:type="dxa"/>
            <w:vAlign w:val="bottom"/>
            <w:tcBorders>
              <w:top w:val="single" w:sz="8" w:color="0000FF"/>
            </w:tcBorders>
            <w:shd w:val="clear" w:color="auto" w:fill="F5F5F5"/>
          </w:tcPr>
          <w:p>
            <w:pPr>
              <w:spacing w:after="0" w:line="20" w:lineRule="exact"/>
              <w:rPr>
                <w:sz w:val="1"/>
                <w:szCs w:val="1"/>
                <w:color w:val="auto"/>
              </w:rPr>
            </w:pPr>
          </w:p>
        </w:tc>
        <w:tc>
          <w:tcPr>
            <w:tcW w:w="40" w:type="dxa"/>
            <w:vAlign w:val="bottom"/>
            <w:tcBorders>
              <w:top w:val="single" w:sz="8" w:color="0000FF"/>
            </w:tcBorders>
            <w:shd w:val="clear" w:color="auto" w:fill="F5F5F5"/>
          </w:tcPr>
          <w:p>
            <w:pPr>
              <w:spacing w:after="0" w:line="20" w:lineRule="exact"/>
              <w:rPr>
                <w:sz w:val="1"/>
                <w:szCs w:val="1"/>
                <w:color w:val="auto"/>
              </w:rPr>
            </w:pPr>
          </w:p>
        </w:tc>
        <w:tc>
          <w:tcPr>
            <w:tcW w:w="120" w:type="dxa"/>
            <w:vAlign w:val="bottom"/>
            <w:tcBorders>
              <w:top w:val="single" w:sz="8" w:color="0000FF"/>
            </w:tcBorders>
            <w:shd w:val="clear" w:color="auto" w:fill="F5F5F5"/>
          </w:tcPr>
          <w:p>
            <w:pPr>
              <w:spacing w:after="0" w:line="20" w:lineRule="exact"/>
              <w:rPr>
                <w:sz w:val="1"/>
                <w:szCs w:val="1"/>
                <w:color w:val="auto"/>
              </w:rPr>
            </w:pPr>
          </w:p>
        </w:tc>
        <w:tc>
          <w:tcPr>
            <w:tcW w:w="80" w:type="dxa"/>
            <w:vAlign w:val="bottom"/>
            <w:tcBorders>
              <w:top w:val="single" w:sz="8" w:color="0000FF"/>
            </w:tcBorders>
            <w:shd w:val="clear" w:color="auto" w:fill="F5F5F5"/>
          </w:tcPr>
          <w:p>
            <w:pPr>
              <w:spacing w:after="0" w:line="20" w:lineRule="exact"/>
              <w:rPr>
                <w:sz w:val="1"/>
                <w:szCs w:val="1"/>
                <w:color w:val="auto"/>
              </w:rPr>
            </w:pPr>
          </w:p>
        </w:tc>
        <w:tc>
          <w:tcPr>
            <w:tcW w:w="200" w:type="dxa"/>
            <w:vAlign w:val="bottom"/>
            <w:tcBorders>
              <w:top w:val="single" w:sz="8" w:color="0000FF"/>
            </w:tcBorders>
            <w:shd w:val="clear" w:color="auto" w:fill="F5F5F5"/>
          </w:tcPr>
          <w:p>
            <w:pPr>
              <w:spacing w:after="0" w:line="20" w:lineRule="exact"/>
              <w:rPr>
                <w:sz w:val="1"/>
                <w:szCs w:val="1"/>
                <w:color w:val="auto"/>
              </w:rPr>
            </w:pPr>
          </w:p>
        </w:tc>
        <w:tc>
          <w:tcPr>
            <w:tcW w:w="80" w:type="dxa"/>
            <w:vAlign w:val="bottom"/>
            <w:tcBorders>
              <w:top w:val="single" w:sz="8" w:color="0000FF"/>
            </w:tcBorders>
            <w:shd w:val="clear" w:color="auto" w:fill="F5F5F5"/>
          </w:tcPr>
          <w:p>
            <w:pPr>
              <w:spacing w:after="0" w:line="20" w:lineRule="exact"/>
              <w:rPr>
                <w:sz w:val="1"/>
                <w:szCs w:val="1"/>
                <w:color w:val="auto"/>
              </w:rPr>
            </w:pPr>
          </w:p>
        </w:tc>
        <w:tc>
          <w:tcPr>
            <w:tcW w:w="80" w:type="dxa"/>
            <w:vAlign w:val="bottom"/>
            <w:tcBorders>
              <w:top w:val="single" w:sz="8" w:color="0000FF"/>
            </w:tcBorders>
            <w:shd w:val="clear" w:color="auto" w:fill="F5F5F5"/>
          </w:tcPr>
          <w:p>
            <w:pPr>
              <w:spacing w:after="0" w:line="20" w:lineRule="exact"/>
              <w:rPr>
                <w:sz w:val="1"/>
                <w:szCs w:val="1"/>
                <w:color w:val="auto"/>
              </w:rPr>
            </w:pPr>
          </w:p>
        </w:tc>
        <w:tc>
          <w:tcPr>
            <w:tcW w:w="160" w:type="dxa"/>
            <w:vAlign w:val="bottom"/>
            <w:tcBorders>
              <w:top w:val="single" w:sz="8" w:color="0000FF"/>
            </w:tcBorders>
            <w:shd w:val="clear" w:color="auto" w:fill="F5F5F5"/>
          </w:tcPr>
          <w:p>
            <w:pPr>
              <w:spacing w:after="0" w:line="20" w:lineRule="exact"/>
              <w:rPr>
                <w:sz w:val="1"/>
                <w:szCs w:val="1"/>
                <w:color w:val="auto"/>
              </w:rPr>
            </w:pPr>
          </w:p>
        </w:tc>
        <w:tc>
          <w:tcPr>
            <w:tcW w:w="240" w:type="dxa"/>
            <w:vAlign w:val="bottom"/>
            <w:tcBorders>
              <w:top w:val="single" w:sz="8" w:color="0000FF"/>
            </w:tcBorders>
            <w:shd w:val="clear" w:color="auto" w:fill="F5F5F5"/>
          </w:tcPr>
          <w:p>
            <w:pPr>
              <w:spacing w:after="0" w:line="20" w:lineRule="exact"/>
              <w:rPr>
                <w:sz w:val="1"/>
                <w:szCs w:val="1"/>
                <w:color w:val="auto"/>
              </w:rPr>
            </w:pPr>
          </w:p>
        </w:tc>
        <w:tc>
          <w:tcPr>
            <w:tcW w:w="40" w:type="dxa"/>
            <w:vAlign w:val="bottom"/>
            <w:tcBorders>
              <w:top w:val="single" w:sz="8" w:color="0000FF"/>
            </w:tcBorders>
            <w:shd w:val="clear" w:color="auto" w:fill="F5F5F5"/>
          </w:tcPr>
          <w:p>
            <w:pPr>
              <w:spacing w:after="0" w:line="20" w:lineRule="exact"/>
              <w:rPr>
                <w:sz w:val="1"/>
                <w:szCs w:val="1"/>
                <w:color w:val="auto"/>
              </w:rPr>
            </w:pPr>
          </w:p>
        </w:tc>
        <w:tc>
          <w:tcPr>
            <w:tcW w:w="240" w:type="dxa"/>
            <w:vAlign w:val="bottom"/>
            <w:tcBorders>
              <w:top w:val="single" w:sz="8" w:color="0000FF"/>
            </w:tcBorders>
            <w:shd w:val="clear" w:color="auto" w:fill="F5F5F5"/>
          </w:tcPr>
          <w:p>
            <w:pPr>
              <w:spacing w:after="0" w:line="20" w:lineRule="exact"/>
              <w:rPr>
                <w:sz w:val="1"/>
                <w:szCs w:val="1"/>
                <w:color w:val="auto"/>
              </w:rPr>
            </w:pPr>
          </w:p>
        </w:tc>
        <w:tc>
          <w:tcPr>
            <w:tcW w:w="100" w:type="dxa"/>
            <w:vAlign w:val="bottom"/>
            <w:tcBorders>
              <w:top w:val="single" w:sz="8" w:color="0000FF"/>
            </w:tcBorders>
            <w:shd w:val="clear" w:color="auto" w:fill="F5F5F5"/>
          </w:tcPr>
          <w:p>
            <w:pPr>
              <w:spacing w:after="0" w:line="20" w:lineRule="exact"/>
              <w:rPr>
                <w:sz w:val="1"/>
                <w:szCs w:val="1"/>
                <w:color w:val="auto"/>
              </w:rPr>
            </w:pPr>
          </w:p>
        </w:tc>
        <w:tc>
          <w:tcPr>
            <w:tcW w:w="740" w:type="dxa"/>
            <w:vAlign w:val="bottom"/>
            <w:tcBorders>
              <w:top w:val="single" w:sz="8" w:color="0000FF"/>
            </w:tcBorders>
            <w:shd w:val="clear" w:color="auto" w:fill="F5F5F5"/>
          </w:tcPr>
          <w:p>
            <w:pPr>
              <w:spacing w:after="0" w:line="20" w:lineRule="exact"/>
              <w:rPr>
                <w:sz w:val="1"/>
                <w:szCs w:val="1"/>
                <w:color w:val="auto"/>
              </w:rPr>
            </w:pPr>
          </w:p>
        </w:tc>
        <w:tc>
          <w:tcPr>
            <w:tcW w:w="20" w:type="dxa"/>
            <w:vAlign w:val="bottom"/>
            <w:tcBorders>
              <w:top w:val="single" w:sz="8" w:color="0000FF"/>
            </w:tcBorders>
            <w:shd w:val="clear" w:color="auto" w:fill="F5F5F5"/>
          </w:tcPr>
          <w:p>
            <w:pPr>
              <w:spacing w:after="0" w:line="20" w:lineRule="exact"/>
              <w:rPr>
                <w:sz w:val="1"/>
                <w:szCs w:val="1"/>
                <w:color w:val="auto"/>
              </w:rPr>
            </w:pPr>
          </w:p>
        </w:tc>
        <w:tc>
          <w:tcPr>
            <w:tcW w:w="260" w:type="dxa"/>
            <w:vAlign w:val="bottom"/>
            <w:tcBorders>
              <w:top w:val="single" w:sz="8" w:color="0000FF"/>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180" w:type="dxa"/>
            <w:vAlign w:val="bottom"/>
            <w:tcBorders>
              <w:top w:val="single" w:sz="8" w:color="F5F5F5"/>
            </w:tcBorders>
            <w:shd w:val="clear" w:color="auto" w:fill="F5F5F5"/>
          </w:tcPr>
          <w:p>
            <w:pPr>
              <w:spacing w:after="0" w:line="20" w:lineRule="exact"/>
              <w:rPr>
                <w:sz w:val="1"/>
                <w:szCs w:val="1"/>
                <w:color w:val="auto"/>
              </w:rPr>
            </w:pPr>
          </w:p>
        </w:tc>
        <w:tc>
          <w:tcPr>
            <w:tcW w:w="160" w:type="dxa"/>
            <w:vAlign w:val="bottom"/>
            <w:tcBorders>
              <w:top w:val="single" w:sz="8" w:color="F5F5F5"/>
            </w:tcBorders>
            <w:shd w:val="clear" w:color="auto" w:fill="F5F5F5"/>
          </w:tcPr>
          <w:p>
            <w:pPr>
              <w:spacing w:after="0" w:line="20" w:lineRule="exact"/>
              <w:rPr>
                <w:sz w:val="1"/>
                <w:szCs w:val="1"/>
                <w:color w:val="auto"/>
              </w:rPr>
            </w:pPr>
          </w:p>
        </w:tc>
        <w:tc>
          <w:tcPr>
            <w:tcW w:w="320" w:type="dxa"/>
            <w:vAlign w:val="bottom"/>
            <w:tcBorders>
              <w:top w:val="single" w:sz="8" w:color="F5F5F5"/>
            </w:tcBorders>
            <w:shd w:val="clear" w:color="auto" w:fill="F5F5F5"/>
          </w:tcPr>
          <w:p>
            <w:pPr>
              <w:spacing w:after="0" w:line="20" w:lineRule="exact"/>
              <w:rPr>
                <w:sz w:val="1"/>
                <w:szCs w:val="1"/>
                <w:color w:val="auto"/>
              </w:rPr>
            </w:pPr>
          </w:p>
        </w:tc>
        <w:tc>
          <w:tcPr>
            <w:tcW w:w="220" w:type="dxa"/>
            <w:vAlign w:val="bottom"/>
            <w:tcBorders>
              <w:top w:val="single" w:sz="8" w:color="F5F5F5"/>
            </w:tcBorders>
            <w:shd w:val="clear" w:color="auto" w:fill="F5F5F5"/>
          </w:tcPr>
          <w:p>
            <w:pPr>
              <w:spacing w:after="0" w:line="20" w:lineRule="exact"/>
              <w:rPr>
                <w:sz w:val="1"/>
                <w:szCs w:val="1"/>
                <w:color w:val="auto"/>
              </w:rPr>
            </w:pPr>
          </w:p>
        </w:tc>
        <w:tc>
          <w:tcPr>
            <w:tcW w:w="200" w:type="dxa"/>
            <w:vAlign w:val="bottom"/>
            <w:tcBorders>
              <w:top w:val="single" w:sz="8" w:color="F5F5F5"/>
            </w:tcBorders>
            <w:shd w:val="clear" w:color="auto" w:fill="F5F5F5"/>
          </w:tcPr>
          <w:p>
            <w:pPr>
              <w:spacing w:after="0" w:line="20" w:lineRule="exact"/>
              <w:rPr>
                <w:sz w:val="1"/>
                <w:szCs w:val="1"/>
                <w:color w:val="auto"/>
              </w:rPr>
            </w:pPr>
          </w:p>
        </w:tc>
        <w:tc>
          <w:tcPr>
            <w:tcW w:w="6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40" w:type="dxa"/>
            <w:vAlign w:val="bottom"/>
            <w:tcBorders>
              <w:top w:val="single" w:sz="8" w:color="F5F5F5"/>
            </w:tcBorders>
            <w:shd w:val="clear" w:color="auto" w:fill="F5F5F5"/>
          </w:tcPr>
          <w:p>
            <w:pPr>
              <w:spacing w:after="0" w:line="20" w:lineRule="exact"/>
              <w:rPr>
                <w:sz w:val="1"/>
                <w:szCs w:val="1"/>
                <w:color w:val="auto"/>
              </w:rPr>
            </w:pPr>
          </w:p>
        </w:tc>
        <w:tc>
          <w:tcPr>
            <w:tcW w:w="500" w:type="dxa"/>
            <w:vAlign w:val="bottom"/>
            <w:tcBorders>
              <w:top w:val="single" w:sz="8" w:color="F5F5F5"/>
            </w:tcBorders>
            <w:shd w:val="clear" w:color="auto" w:fill="F5F5F5"/>
          </w:tcPr>
          <w:p>
            <w:pPr>
              <w:spacing w:after="0" w:line="20" w:lineRule="exact"/>
              <w:rPr>
                <w:sz w:val="1"/>
                <w:szCs w:val="1"/>
                <w:color w:val="auto"/>
              </w:rPr>
            </w:pPr>
          </w:p>
        </w:tc>
        <w:tc>
          <w:tcPr>
            <w:tcW w:w="4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480" w:type="dxa"/>
            <w:vAlign w:val="bottom"/>
            <w:tcBorders>
              <w:top w:val="single" w:sz="8" w:color="F5F5F5"/>
            </w:tcBorders>
            <w:shd w:val="clear" w:color="auto" w:fill="F5F5F5"/>
          </w:tcPr>
          <w:p>
            <w:pPr>
              <w:spacing w:after="0" w:line="20" w:lineRule="exact"/>
              <w:rPr>
                <w:sz w:val="1"/>
                <w:szCs w:val="1"/>
                <w:color w:val="auto"/>
              </w:rPr>
            </w:pPr>
          </w:p>
        </w:tc>
        <w:tc>
          <w:tcPr>
            <w:tcW w:w="60" w:type="dxa"/>
            <w:vAlign w:val="bottom"/>
            <w:tcBorders>
              <w:top w:val="single" w:sz="8" w:color="F5F5F5"/>
            </w:tcBorders>
            <w:shd w:val="clear" w:color="auto" w:fill="F5F5F5"/>
          </w:tcPr>
          <w:p>
            <w:pPr>
              <w:spacing w:after="0" w:line="20" w:lineRule="exact"/>
              <w:rPr>
                <w:sz w:val="1"/>
                <w:szCs w:val="1"/>
                <w:color w:val="auto"/>
              </w:rPr>
            </w:pPr>
          </w:p>
        </w:tc>
        <w:tc>
          <w:tcPr>
            <w:tcW w:w="920" w:type="dxa"/>
            <w:vAlign w:val="bottom"/>
            <w:tcBorders>
              <w:top w:val="single" w:sz="8" w:color="F5F5F5"/>
            </w:tcBorders>
            <w:shd w:val="clear" w:color="auto" w:fill="F5F5F5"/>
          </w:tcPr>
          <w:p>
            <w:pPr>
              <w:spacing w:after="0" w:line="20" w:lineRule="exact"/>
              <w:rPr>
                <w:sz w:val="1"/>
                <w:szCs w:val="1"/>
                <w:color w:val="auto"/>
              </w:rPr>
            </w:pPr>
          </w:p>
        </w:tc>
        <w:tc>
          <w:tcPr>
            <w:tcW w:w="40" w:type="dxa"/>
            <w:vAlign w:val="bottom"/>
            <w:tcBorders>
              <w:top w:val="single" w:sz="8" w:color="F5F5F5"/>
            </w:tcBorders>
            <w:shd w:val="clear" w:color="auto" w:fill="F5F5F5"/>
          </w:tcPr>
          <w:p>
            <w:pPr>
              <w:spacing w:after="0" w:line="20" w:lineRule="exact"/>
              <w:rPr>
                <w:sz w:val="1"/>
                <w:szCs w:val="1"/>
                <w:color w:val="auto"/>
              </w:rPr>
            </w:pPr>
          </w:p>
        </w:tc>
        <w:tc>
          <w:tcPr>
            <w:tcW w:w="800" w:type="dxa"/>
            <w:vAlign w:val="bottom"/>
            <w:tcBorders>
              <w:top w:val="single" w:sz="8" w:color="F5F5F5"/>
            </w:tcBorders>
            <w:shd w:val="clear" w:color="auto" w:fill="F5F5F5"/>
          </w:tcPr>
          <w:p>
            <w:pPr>
              <w:spacing w:after="0" w:line="20" w:lineRule="exact"/>
              <w:rPr>
                <w:sz w:val="1"/>
                <w:szCs w:val="1"/>
                <w:color w:val="auto"/>
              </w:rPr>
            </w:pPr>
          </w:p>
        </w:tc>
        <w:tc>
          <w:tcPr>
            <w:tcW w:w="760" w:type="dxa"/>
            <w:vAlign w:val="bottom"/>
            <w:tcBorders>
              <w:top w:val="single" w:sz="8" w:color="F5F5F5"/>
            </w:tcBorders>
            <w:shd w:val="clear" w:color="auto" w:fill="F5F5F5"/>
          </w:tcPr>
          <w:p>
            <w:pPr>
              <w:spacing w:after="0" w:line="20" w:lineRule="exact"/>
              <w:rPr>
                <w:sz w:val="1"/>
                <w:szCs w:val="1"/>
                <w:color w:val="auto"/>
              </w:rPr>
            </w:pPr>
          </w:p>
        </w:tc>
        <w:tc>
          <w:tcPr>
            <w:tcW w:w="2040" w:type="dxa"/>
            <w:vAlign w:val="bottom"/>
            <w:tcBorders>
              <w:top w:val="single" w:sz="8" w:color="F5F5F5"/>
            </w:tcBorders>
            <w:shd w:val="clear" w:color="auto" w:fill="F5F5F5"/>
          </w:tcPr>
          <w:p>
            <w:pPr>
              <w:spacing w:after="0" w:line="20" w:lineRule="exact"/>
              <w:rPr>
                <w:sz w:val="1"/>
                <w:szCs w:val="1"/>
                <w:color w:val="auto"/>
              </w:rPr>
            </w:pPr>
          </w:p>
        </w:tc>
        <w:tc>
          <w:tcPr>
            <w:tcW w:w="80" w:type="dxa"/>
            <w:vAlign w:val="bottom"/>
            <w:tcBorders>
              <w:top w:val="single" w:sz="8" w:color="0000FF"/>
            </w:tcBorders>
            <w:shd w:val="clear" w:color="auto" w:fill="F5F5F5"/>
          </w:tcPr>
          <w:p>
            <w:pPr>
              <w:spacing w:after="0" w:line="20" w:lineRule="exact"/>
              <w:rPr>
                <w:sz w:val="1"/>
                <w:szCs w:val="1"/>
                <w:color w:val="auto"/>
              </w:rPr>
            </w:pPr>
          </w:p>
        </w:tc>
        <w:tc>
          <w:tcPr>
            <w:tcW w:w="100" w:type="dxa"/>
            <w:vAlign w:val="bottom"/>
            <w:tcBorders>
              <w:top w:val="single" w:sz="8" w:color="0000FF"/>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r>
      <w:tr>
        <w:trPr>
          <w:trHeight w:val="175"/>
        </w:trPr>
        <w:tc>
          <w:tcPr>
            <w:tcW w:w="1000" w:type="dxa"/>
            <w:vAlign w:val="bottom"/>
          </w:tcPr>
          <w:p>
            <w:pPr>
              <w:ind w:left="20"/>
              <w:spacing w:after="0" w:line="175" w:lineRule="exact"/>
              <w:rPr>
                <w:sz w:val="20"/>
                <w:szCs w:val="20"/>
                <w:color w:val="auto"/>
              </w:rPr>
            </w:pPr>
            <w:r>
              <w:rPr>
                <w:rFonts w:ascii="Arial" w:cs="Arial" w:eastAsia="Arial" w:hAnsi="Arial"/>
                <w:sz w:val="16"/>
                <w:szCs w:val="16"/>
                <w:color w:val="auto"/>
              </w:rPr>
              <w:t>Item 9.</w:t>
            </w:r>
          </w:p>
        </w:tc>
        <w:tc>
          <w:tcPr>
            <w:tcW w:w="10020" w:type="dxa"/>
            <w:vAlign w:val="bottom"/>
            <w:gridSpan w:val="35"/>
          </w:tcPr>
          <w:p>
            <w:pPr>
              <w:spacing w:after="0" w:line="175" w:lineRule="exact"/>
              <w:rPr>
                <w:sz w:val="20"/>
                <w:szCs w:val="20"/>
                <w:color w:val="auto"/>
              </w:rPr>
            </w:pPr>
            <w:r>
              <w:rPr>
                <w:rFonts w:ascii="Arial" w:cs="Arial" w:eastAsia="Arial" w:hAnsi="Arial"/>
                <w:sz w:val="16"/>
                <w:szCs w:val="16"/>
                <w:color w:val="0000FF"/>
              </w:rPr>
              <w:t>Changes in and Disagreements with Accountants on Accounting and Financial Disclosure</w:t>
            </w:r>
          </w:p>
        </w:tc>
        <w:tc>
          <w:tcPr>
            <w:tcW w:w="180" w:type="dxa"/>
            <w:vAlign w:val="bottom"/>
            <w:gridSpan w:val="2"/>
          </w:tcPr>
          <w:p>
            <w:pPr>
              <w:jc w:val="right"/>
              <w:spacing w:after="0" w:line="175" w:lineRule="exact"/>
              <w:rPr>
                <w:sz w:val="20"/>
                <w:szCs w:val="20"/>
                <w:color w:val="auto"/>
              </w:rPr>
            </w:pPr>
            <w:r>
              <w:rPr>
                <w:rFonts w:ascii="Arial" w:cs="Arial" w:eastAsia="Arial" w:hAnsi="Arial"/>
                <w:sz w:val="16"/>
                <w:szCs w:val="16"/>
                <w:color w:val="0000FF"/>
                <w:w w:val="89"/>
              </w:rPr>
              <w:t>82</w:t>
            </w:r>
          </w:p>
        </w:tc>
        <w:tc>
          <w:tcPr>
            <w:tcW w:w="20" w:type="dxa"/>
            <w:vAlign w:val="bottom"/>
          </w:tcPr>
          <w:p>
            <w:pPr>
              <w:spacing w:after="0"/>
              <w:rPr>
                <w:sz w:val="15"/>
                <w:szCs w:val="15"/>
                <w:color w:val="auto"/>
              </w:rPr>
            </w:pPr>
          </w:p>
        </w:tc>
      </w:tr>
      <w:tr>
        <w:trPr>
          <w:trHeight w:val="21"/>
        </w:trPr>
        <w:tc>
          <w:tcPr>
            <w:tcW w:w="100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shd w:val="clear" w:color="auto" w:fill="F5F5F5"/>
          </w:tcPr>
          <w:p>
            <w:pPr>
              <w:ind w:left="20"/>
              <w:spacing w:after="0" w:line="175" w:lineRule="exact"/>
              <w:rPr>
                <w:sz w:val="20"/>
                <w:szCs w:val="20"/>
                <w:color w:val="auto"/>
              </w:rPr>
            </w:pPr>
            <w:r>
              <w:rPr>
                <w:rFonts w:ascii="Arial" w:cs="Arial" w:eastAsia="Arial" w:hAnsi="Arial"/>
                <w:sz w:val="16"/>
                <w:szCs w:val="16"/>
                <w:color w:val="auto"/>
              </w:rPr>
              <w:t>Item 9A.</w:t>
            </w:r>
          </w:p>
        </w:tc>
        <w:tc>
          <w:tcPr>
            <w:tcW w:w="10020" w:type="dxa"/>
            <w:vAlign w:val="bottom"/>
            <w:gridSpan w:val="35"/>
            <w:shd w:val="clear" w:color="auto" w:fill="F5F5F5"/>
          </w:tcPr>
          <w:p>
            <w:pPr>
              <w:spacing w:after="0" w:line="175" w:lineRule="exact"/>
              <w:rPr>
                <w:sz w:val="20"/>
                <w:szCs w:val="20"/>
                <w:color w:val="auto"/>
              </w:rPr>
            </w:pPr>
            <w:r>
              <w:rPr>
                <w:rFonts w:ascii="Arial" w:cs="Arial" w:eastAsia="Arial" w:hAnsi="Arial"/>
                <w:sz w:val="16"/>
                <w:szCs w:val="16"/>
                <w:color w:val="0000FF"/>
              </w:rPr>
              <w:t>Controls and Procedures</w:t>
            </w:r>
          </w:p>
        </w:tc>
        <w:tc>
          <w:tcPr>
            <w:tcW w:w="180" w:type="dxa"/>
            <w:vAlign w:val="bottom"/>
            <w:gridSpan w:val="2"/>
            <w:shd w:val="clear" w:color="auto" w:fill="F5F5F5"/>
          </w:tcPr>
          <w:p>
            <w:pPr>
              <w:jc w:val="right"/>
              <w:spacing w:after="0" w:line="175" w:lineRule="exact"/>
              <w:rPr>
                <w:sz w:val="20"/>
                <w:szCs w:val="20"/>
                <w:color w:val="auto"/>
              </w:rPr>
            </w:pPr>
            <w:r>
              <w:rPr>
                <w:rFonts w:ascii="Arial" w:cs="Arial" w:eastAsia="Arial" w:hAnsi="Arial"/>
                <w:sz w:val="16"/>
                <w:szCs w:val="16"/>
                <w:color w:val="0000FF"/>
                <w:w w:val="89"/>
              </w:rPr>
              <w:t>82</w:t>
            </w:r>
          </w:p>
        </w:tc>
        <w:tc>
          <w:tcPr>
            <w:tcW w:w="20" w:type="dxa"/>
            <w:vAlign w:val="bottom"/>
            <w:shd w:val="clear" w:color="auto" w:fill="F5F5F5"/>
          </w:tcPr>
          <w:p>
            <w:pPr>
              <w:spacing w:after="0"/>
              <w:rPr>
                <w:sz w:val="17"/>
                <w:szCs w:val="17"/>
                <w:color w:val="auto"/>
              </w:rPr>
            </w:pPr>
          </w:p>
        </w:tc>
      </w:tr>
      <w:tr>
        <w:trPr>
          <w:trHeight w:val="175"/>
        </w:trPr>
        <w:tc>
          <w:tcPr>
            <w:tcW w:w="1000" w:type="dxa"/>
            <w:vAlign w:val="bottom"/>
            <w:tcBorders>
              <w:top w:val="single" w:sz="8" w:color="F5F5F5"/>
            </w:tcBorders>
          </w:tcPr>
          <w:p>
            <w:pPr>
              <w:ind w:left="20"/>
              <w:spacing w:after="0" w:line="175" w:lineRule="exact"/>
              <w:rPr>
                <w:sz w:val="20"/>
                <w:szCs w:val="20"/>
                <w:color w:val="auto"/>
              </w:rPr>
            </w:pPr>
            <w:r>
              <w:rPr>
                <w:rFonts w:ascii="Arial" w:cs="Arial" w:eastAsia="Arial" w:hAnsi="Arial"/>
                <w:sz w:val="16"/>
                <w:szCs w:val="16"/>
                <w:color w:val="auto"/>
              </w:rPr>
              <w:t>Item 9B.</w:t>
            </w:r>
          </w:p>
        </w:tc>
        <w:tc>
          <w:tcPr>
            <w:tcW w:w="1780" w:type="dxa"/>
            <w:vAlign w:val="bottom"/>
            <w:tcBorders>
              <w:top w:val="single" w:sz="8" w:color="0000FF"/>
            </w:tcBorders>
            <w:gridSpan w:val="11"/>
          </w:tcPr>
          <w:p>
            <w:pPr>
              <w:spacing w:after="0" w:line="175" w:lineRule="exact"/>
              <w:rPr>
                <w:sz w:val="20"/>
                <w:szCs w:val="20"/>
                <w:color w:val="auto"/>
              </w:rPr>
            </w:pPr>
            <w:r>
              <w:rPr>
                <w:rFonts w:ascii="Arial" w:cs="Arial" w:eastAsia="Arial" w:hAnsi="Arial"/>
                <w:sz w:val="16"/>
                <w:szCs w:val="16"/>
                <w:color w:val="0000FF"/>
              </w:rPr>
              <w:t>Other Information</w:t>
            </w:r>
          </w:p>
        </w:tc>
        <w:tc>
          <w:tcPr>
            <w:tcW w:w="8240" w:type="dxa"/>
            <w:vAlign w:val="bottom"/>
            <w:tcBorders>
              <w:top w:val="single" w:sz="8" w:color="F5F5F5"/>
            </w:tcBorders>
            <w:gridSpan w:val="24"/>
          </w:tcPr>
          <w:p>
            <w:pPr>
              <w:spacing w:after="0"/>
              <w:rPr>
                <w:sz w:val="15"/>
                <w:szCs w:val="15"/>
                <w:color w:val="auto"/>
              </w:rPr>
            </w:pPr>
          </w:p>
        </w:tc>
        <w:tc>
          <w:tcPr>
            <w:tcW w:w="180" w:type="dxa"/>
            <w:vAlign w:val="bottom"/>
            <w:tcBorders>
              <w:top w:val="single" w:sz="8" w:color="0000FF"/>
            </w:tcBorders>
            <w:gridSpan w:val="2"/>
          </w:tcPr>
          <w:p>
            <w:pPr>
              <w:jc w:val="right"/>
              <w:spacing w:after="0" w:line="175" w:lineRule="exact"/>
              <w:rPr>
                <w:sz w:val="20"/>
                <w:szCs w:val="20"/>
                <w:color w:val="auto"/>
              </w:rPr>
            </w:pPr>
            <w:r>
              <w:rPr>
                <w:rFonts w:ascii="Arial" w:cs="Arial" w:eastAsia="Arial" w:hAnsi="Arial"/>
                <w:sz w:val="16"/>
                <w:szCs w:val="16"/>
                <w:color w:val="0000FF"/>
                <w:w w:val="89"/>
              </w:rPr>
              <w:t>83</w:t>
            </w:r>
          </w:p>
        </w:tc>
        <w:tc>
          <w:tcPr>
            <w:tcW w:w="20" w:type="dxa"/>
            <w:vAlign w:val="bottom"/>
            <w:tcBorders>
              <w:top w:val="single" w:sz="8" w:color="F5F5F5"/>
            </w:tcBorders>
          </w:tcPr>
          <w:p>
            <w:pPr>
              <w:spacing w:after="0"/>
              <w:rPr>
                <w:sz w:val="15"/>
                <w:szCs w:val="15"/>
                <w:color w:val="auto"/>
              </w:rPr>
            </w:pPr>
          </w:p>
        </w:tc>
      </w:tr>
      <w:tr>
        <w:trPr>
          <w:trHeight w:val="21"/>
        </w:trPr>
        <w:tc>
          <w:tcPr>
            <w:tcW w:w="100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Borders>
              <w:bottom w:val="single" w:sz="8" w:color="F5F5F5"/>
            </w:tcBorders>
            <w:shd w:val="clear" w:color="auto" w:fill="F5F5F5"/>
          </w:tcPr>
          <w:p>
            <w:pPr>
              <w:ind w:left="20"/>
              <w:spacing w:after="0" w:line="175" w:lineRule="exact"/>
              <w:rPr>
                <w:sz w:val="20"/>
                <w:szCs w:val="20"/>
                <w:color w:val="auto"/>
              </w:rPr>
            </w:pPr>
            <w:r>
              <w:rPr>
                <w:rFonts w:ascii="Arial" w:cs="Arial" w:eastAsia="Arial" w:hAnsi="Arial"/>
                <w:sz w:val="16"/>
                <w:szCs w:val="16"/>
                <w:color w:val="auto"/>
              </w:rPr>
              <w:t>Item 9C.</w:t>
            </w:r>
          </w:p>
        </w:tc>
        <w:tc>
          <w:tcPr>
            <w:tcW w:w="4860" w:type="dxa"/>
            <w:vAlign w:val="bottom"/>
            <w:tcBorders>
              <w:bottom w:val="single" w:sz="8" w:color="0000FF"/>
            </w:tcBorders>
            <w:gridSpan w:val="26"/>
            <w:shd w:val="clear" w:color="auto" w:fill="F5F5F5"/>
          </w:tcPr>
          <w:p>
            <w:pPr>
              <w:spacing w:after="0" w:line="175" w:lineRule="exact"/>
              <w:rPr>
                <w:sz w:val="20"/>
                <w:szCs w:val="20"/>
                <w:color w:val="auto"/>
              </w:rPr>
            </w:pPr>
            <w:r>
              <w:rPr>
                <w:rFonts w:ascii="Arial" w:cs="Arial" w:eastAsia="Arial" w:hAnsi="Arial"/>
                <w:sz w:val="16"/>
                <w:szCs w:val="16"/>
                <w:color w:val="0000FF"/>
              </w:rPr>
              <w:t>Disclosure Regarding Foreign Jurisdictions that Prevent Inspections</w:t>
            </w:r>
          </w:p>
        </w:tc>
        <w:tc>
          <w:tcPr>
            <w:tcW w:w="5160" w:type="dxa"/>
            <w:vAlign w:val="bottom"/>
            <w:tcBorders>
              <w:bottom w:val="single" w:sz="8" w:color="F5F5F5"/>
            </w:tcBorders>
            <w:gridSpan w:val="9"/>
            <w:shd w:val="clear" w:color="auto" w:fill="F5F5F5"/>
          </w:tcPr>
          <w:p>
            <w:pPr>
              <w:spacing w:after="0"/>
              <w:rPr>
                <w:sz w:val="17"/>
                <w:szCs w:val="17"/>
                <w:color w:val="auto"/>
              </w:rPr>
            </w:pPr>
          </w:p>
        </w:tc>
        <w:tc>
          <w:tcPr>
            <w:tcW w:w="180" w:type="dxa"/>
            <w:vAlign w:val="bottom"/>
            <w:tcBorders>
              <w:bottom w:val="single" w:sz="8" w:color="0000FF"/>
            </w:tcBorders>
            <w:gridSpan w:val="2"/>
            <w:shd w:val="clear" w:color="auto" w:fill="F5F5F5"/>
          </w:tcPr>
          <w:p>
            <w:pPr>
              <w:jc w:val="right"/>
              <w:spacing w:after="0" w:line="175" w:lineRule="exact"/>
              <w:rPr>
                <w:sz w:val="20"/>
                <w:szCs w:val="20"/>
                <w:color w:val="auto"/>
              </w:rPr>
            </w:pPr>
            <w:r>
              <w:rPr>
                <w:rFonts w:ascii="Arial" w:cs="Arial" w:eastAsia="Arial" w:hAnsi="Arial"/>
                <w:sz w:val="16"/>
                <w:szCs w:val="16"/>
                <w:color w:val="0000FF"/>
                <w:w w:val="89"/>
              </w:rPr>
              <w:t>83</w:t>
            </w:r>
          </w:p>
        </w:tc>
        <w:tc>
          <w:tcPr>
            <w:tcW w:w="20" w:type="dxa"/>
            <w:vAlign w:val="bottom"/>
            <w:tcBorders>
              <w:bottom w:val="single" w:sz="8" w:color="F5F5F5"/>
            </w:tcBorders>
            <w:shd w:val="clear" w:color="auto" w:fill="F5F5F5"/>
          </w:tcPr>
          <w:p>
            <w:pPr>
              <w:spacing w:after="0"/>
              <w:rPr>
                <w:sz w:val="17"/>
                <w:szCs w:val="17"/>
                <w:color w:val="auto"/>
              </w:rPr>
            </w:pPr>
          </w:p>
        </w:tc>
      </w:tr>
      <w:tr>
        <w:trPr>
          <w:trHeight w:val="175"/>
        </w:trPr>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720" w:type="dxa"/>
            <w:vAlign w:val="bottom"/>
            <w:gridSpan w:val="12"/>
          </w:tcPr>
          <w:p>
            <w:pPr>
              <w:jc w:val="center"/>
              <w:ind w:right="5100"/>
              <w:spacing w:after="0" w:line="175" w:lineRule="exact"/>
              <w:rPr>
                <w:sz w:val="20"/>
                <w:szCs w:val="20"/>
                <w:color w:val="auto"/>
              </w:rPr>
            </w:pPr>
            <w:r>
              <w:rPr>
                <w:rFonts w:ascii="Arial" w:cs="Arial" w:eastAsia="Arial" w:hAnsi="Arial"/>
                <w:sz w:val="16"/>
                <w:szCs w:val="16"/>
                <w:b w:val="1"/>
                <w:bCs w:val="1"/>
                <w:color w:val="0000FF"/>
              </w:rPr>
              <w:t>PART III</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shd w:val="clear" w:color="auto" w:fill="F5F5F5"/>
          </w:tcPr>
          <w:p>
            <w:pPr>
              <w:ind w:left="20"/>
              <w:spacing w:after="0" w:line="175" w:lineRule="exact"/>
              <w:rPr>
                <w:sz w:val="20"/>
                <w:szCs w:val="20"/>
                <w:color w:val="auto"/>
              </w:rPr>
            </w:pPr>
            <w:r>
              <w:rPr>
                <w:rFonts w:ascii="Arial" w:cs="Arial" w:eastAsia="Arial" w:hAnsi="Arial"/>
                <w:sz w:val="16"/>
                <w:szCs w:val="16"/>
                <w:color w:val="auto"/>
              </w:rPr>
              <w:t>Item 10.</w:t>
            </w:r>
          </w:p>
        </w:tc>
        <w:tc>
          <w:tcPr>
            <w:tcW w:w="10020" w:type="dxa"/>
            <w:vAlign w:val="bottom"/>
            <w:gridSpan w:val="35"/>
            <w:shd w:val="clear" w:color="auto" w:fill="F5F5F5"/>
          </w:tcPr>
          <w:p>
            <w:pPr>
              <w:spacing w:after="0" w:line="175" w:lineRule="exact"/>
              <w:rPr>
                <w:sz w:val="20"/>
                <w:szCs w:val="20"/>
                <w:color w:val="auto"/>
              </w:rPr>
            </w:pPr>
            <w:r>
              <w:rPr>
                <w:rFonts w:ascii="Arial" w:cs="Arial" w:eastAsia="Arial" w:hAnsi="Arial"/>
                <w:sz w:val="16"/>
                <w:szCs w:val="16"/>
                <w:color w:val="0000FF"/>
              </w:rPr>
              <w:t>Directors, Executive Officers and Corporate Governance</w:t>
            </w:r>
          </w:p>
        </w:tc>
        <w:tc>
          <w:tcPr>
            <w:tcW w:w="180" w:type="dxa"/>
            <w:vAlign w:val="bottom"/>
            <w:gridSpan w:val="2"/>
            <w:shd w:val="clear" w:color="auto" w:fill="F5F5F5"/>
          </w:tcPr>
          <w:p>
            <w:pPr>
              <w:jc w:val="right"/>
              <w:spacing w:after="0" w:line="175" w:lineRule="exact"/>
              <w:rPr>
                <w:sz w:val="20"/>
                <w:szCs w:val="20"/>
                <w:color w:val="auto"/>
              </w:rPr>
            </w:pPr>
            <w:r>
              <w:rPr>
                <w:rFonts w:ascii="Arial" w:cs="Arial" w:eastAsia="Arial" w:hAnsi="Arial"/>
                <w:sz w:val="16"/>
                <w:szCs w:val="16"/>
                <w:color w:val="0000FF"/>
                <w:w w:val="89"/>
              </w:rPr>
              <w:t>84</w:t>
            </w:r>
          </w:p>
        </w:tc>
        <w:tc>
          <w:tcPr>
            <w:tcW w:w="20" w:type="dxa"/>
            <w:vAlign w:val="bottom"/>
            <w:shd w:val="clear" w:color="auto" w:fill="F5F5F5"/>
          </w:tcPr>
          <w:p>
            <w:pPr>
              <w:spacing w:after="0"/>
              <w:rPr>
                <w:sz w:val="17"/>
                <w:szCs w:val="17"/>
                <w:color w:val="auto"/>
              </w:rPr>
            </w:pPr>
          </w:p>
        </w:tc>
      </w:tr>
      <w:tr>
        <w:trPr>
          <w:trHeight w:val="175"/>
        </w:trPr>
        <w:tc>
          <w:tcPr>
            <w:tcW w:w="1000" w:type="dxa"/>
            <w:vAlign w:val="bottom"/>
            <w:tcBorders>
              <w:top w:val="single" w:sz="8" w:color="F5F5F5"/>
            </w:tcBorders>
          </w:tcPr>
          <w:p>
            <w:pPr>
              <w:ind w:left="20"/>
              <w:spacing w:after="0" w:line="175" w:lineRule="exact"/>
              <w:rPr>
                <w:sz w:val="20"/>
                <w:szCs w:val="20"/>
                <w:color w:val="auto"/>
              </w:rPr>
            </w:pPr>
            <w:r>
              <w:rPr>
                <w:rFonts w:ascii="Arial" w:cs="Arial" w:eastAsia="Arial" w:hAnsi="Arial"/>
                <w:sz w:val="16"/>
                <w:szCs w:val="16"/>
                <w:color w:val="auto"/>
              </w:rPr>
              <w:t>Item 11.</w:t>
            </w:r>
          </w:p>
        </w:tc>
        <w:tc>
          <w:tcPr>
            <w:tcW w:w="4040" w:type="dxa"/>
            <w:vAlign w:val="bottom"/>
            <w:tcBorders>
              <w:top w:val="single" w:sz="8" w:color="0000FF"/>
            </w:tcBorders>
            <w:gridSpan w:val="21"/>
          </w:tcPr>
          <w:p>
            <w:pPr>
              <w:spacing w:after="0" w:line="175" w:lineRule="exact"/>
              <w:rPr>
                <w:sz w:val="20"/>
                <w:szCs w:val="20"/>
                <w:color w:val="auto"/>
              </w:rPr>
            </w:pPr>
            <w:r>
              <w:rPr>
                <w:rFonts w:ascii="Arial" w:cs="Arial" w:eastAsia="Arial" w:hAnsi="Arial"/>
                <w:sz w:val="16"/>
                <w:szCs w:val="16"/>
                <w:color w:val="0000FF"/>
              </w:rPr>
              <w:t>Executive Compensation</w:t>
            </w:r>
          </w:p>
        </w:tc>
        <w:tc>
          <w:tcPr>
            <w:tcW w:w="5980" w:type="dxa"/>
            <w:vAlign w:val="bottom"/>
            <w:tcBorders>
              <w:top w:val="single" w:sz="8" w:color="F5F5F5"/>
            </w:tcBorders>
            <w:gridSpan w:val="14"/>
          </w:tcPr>
          <w:p>
            <w:pPr>
              <w:spacing w:after="0"/>
              <w:rPr>
                <w:sz w:val="15"/>
                <w:szCs w:val="15"/>
                <w:color w:val="auto"/>
              </w:rPr>
            </w:pPr>
          </w:p>
        </w:tc>
        <w:tc>
          <w:tcPr>
            <w:tcW w:w="180" w:type="dxa"/>
            <w:vAlign w:val="bottom"/>
            <w:tcBorders>
              <w:top w:val="single" w:sz="8" w:color="0000FF"/>
            </w:tcBorders>
            <w:gridSpan w:val="2"/>
          </w:tcPr>
          <w:p>
            <w:pPr>
              <w:jc w:val="right"/>
              <w:spacing w:after="0" w:line="175" w:lineRule="exact"/>
              <w:rPr>
                <w:sz w:val="20"/>
                <w:szCs w:val="20"/>
                <w:color w:val="auto"/>
              </w:rPr>
            </w:pPr>
            <w:r>
              <w:rPr>
                <w:rFonts w:ascii="Arial" w:cs="Arial" w:eastAsia="Arial" w:hAnsi="Arial"/>
                <w:sz w:val="16"/>
                <w:szCs w:val="16"/>
                <w:color w:val="0000FF"/>
                <w:w w:val="89"/>
              </w:rPr>
              <w:t>85</w:t>
            </w:r>
          </w:p>
        </w:tc>
        <w:tc>
          <w:tcPr>
            <w:tcW w:w="20" w:type="dxa"/>
            <w:vAlign w:val="bottom"/>
            <w:tcBorders>
              <w:top w:val="single" w:sz="8" w:color="F5F5F5"/>
            </w:tcBorders>
          </w:tcPr>
          <w:p>
            <w:pPr>
              <w:spacing w:after="0"/>
              <w:rPr>
                <w:sz w:val="15"/>
                <w:szCs w:val="15"/>
                <w:color w:val="auto"/>
              </w:rPr>
            </w:pPr>
          </w:p>
        </w:tc>
      </w:tr>
      <w:tr>
        <w:trPr>
          <w:trHeight w:val="20"/>
        </w:trPr>
        <w:tc>
          <w:tcPr>
            <w:tcW w:w="100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Borders>
              <w:bottom w:val="single" w:sz="8" w:color="F5F5F5"/>
            </w:tcBorders>
            <w:shd w:val="clear" w:color="auto" w:fill="F5F5F5"/>
          </w:tcPr>
          <w:p>
            <w:pPr>
              <w:ind w:left="20"/>
              <w:spacing w:after="0" w:line="175" w:lineRule="exact"/>
              <w:rPr>
                <w:sz w:val="20"/>
                <w:szCs w:val="20"/>
                <w:color w:val="auto"/>
              </w:rPr>
            </w:pPr>
            <w:r>
              <w:rPr>
                <w:rFonts w:ascii="Arial" w:cs="Arial" w:eastAsia="Arial" w:hAnsi="Arial"/>
                <w:sz w:val="16"/>
                <w:szCs w:val="16"/>
                <w:color w:val="auto"/>
              </w:rPr>
              <w:t>Item 12.</w:t>
            </w:r>
          </w:p>
        </w:tc>
        <w:tc>
          <w:tcPr>
            <w:tcW w:w="7220" w:type="dxa"/>
            <w:vAlign w:val="bottom"/>
            <w:tcBorders>
              <w:bottom w:val="single" w:sz="8" w:color="0000FF"/>
            </w:tcBorders>
            <w:gridSpan w:val="33"/>
            <w:shd w:val="clear" w:color="auto" w:fill="F5F5F5"/>
          </w:tcPr>
          <w:p>
            <w:pPr>
              <w:spacing w:after="0" w:line="175" w:lineRule="exact"/>
              <w:rPr>
                <w:sz w:val="20"/>
                <w:szCs w:val="20"/>
                <w:color w:val="auto"/>
              </w:rPr>
            </w:pPr>
            <w:r>
              <w:rPr>
                <w:rFonts w:ascii="Arial" w:cs="Arial" w:eastAsia="Arial" w:hAnsi="Arial"/>
                <w:sz w:val="16"/>
                <w:szCs w:val="16"/>
                <w:color w:val="0000FF"/>
              </w:rPr>
              <w:t>Security Ownership of Certain Beneficial Owners and Management and Related Stockholder Matters</w:t>
            </w:r>
          </w:p>
        </w:tc>
        <w:tc>
          <w:tcPr>
            <w:tcW w:w="2800" w:type="dxa"/>
            <w:vAlign w:val="bottom"/>
            <w:tcBorders>
              <w:bottom w:val="single" w:sz="8" w:color="F5F5F5"/>
            </w:tcBorders>
            <w:gridSpan w:val="2"/>
            <w:shd w:val="clear" w:color="auto" w:fill="F5F5F5"/>
          </w:tcPr>
          <w:p>
            <w:pPr>
              <w:spacing w:after="0"/>
              <w:rPr>
                <w:sz w:val="17"/>
                <w:szCs w:val="17"/>
                <w:color w:val="auto"/>
              </w:rPr>
            </w:pPr>
          </w:p>
        </w:tc>
        <w:tc>
          <w:tcPr>
            <w:tcW w:w="180" w:type="dxa"/>
            <w:vAlign w:val="bottom"/>
            <w:tcBorders>
              <w:bottom w:val="single" w:sz="8" w:color="0000FF"/>
            </w:tcBorders>
            <w:gridSpan w:val="2"/>
            <w:shd w:val="clear" w:color="auto" w:fill="F5F5F5"/>
          </w:tcPr>
          <w:p>
            <w:pPr>
              <w:jc w:val="right"/>
              <w:spacing w:after="0" w:line="175" w:lineRule="exact"/>
              <w:rPr>
                <w:sz w:val="20"/>
                <w:szCs w:val="20"/>
                <w:color w:val="auto"/>
              </w:rPr>
            </w:pPr>
            <w:r>
              <w:rPr>
                <w:rFonts w:ascii="Arial" w:cs="Arial" w:eastAsia="Arial" w:hAnsi="Arial"/>
                <w:sz w:val="16"/>
                <w:szCs w:val="16"/>
                <w:color w:val="0000FF"/>
                <w:w w:val="89"/>
              </w:rPr>
              <w:t>85</w:t>
            </w:r>
          </w:p>
        </w:tc>
        <w:tc>
          <w:tcPr>
            <w:tcW w:w="20" w:type="dxa"/>
            <w:vAlign w:val="bottom"/>
            <w:tcBorders>
              <w:bottom w:val="single" w:sz="8" w:color="F5F5F5"/>
            </w:tcBorders>
            <w:shd w:val="clear" w:color="auto" w:fill="F5F5F5"/>
          </w:tcPr>
          <w:p>
            <w:pPr>
              <w:spacing w:after="0"/>
              <w:rPr>
                <w:sz w:val="17"/>
                <w:szCs w:val="17"/>
                <w:color w:val="auto"/>
              </w:rPr>
            </w:pPr>
          </w:p>
        </w:tc>
      </w:tr>
      <w:tr>
        <w:trPr>
          <w:trHeight w:val="176"/>
        </w:trPr>
        <w:tc>
          <w:tcPr>
            <w:tcW w:w="1000" w:type="dxa"/>
            <w:vAlign w:val="bottom"/>
          </w:tcPr>
          <w:p>
            <w:pPr>
              <w:ind w:left="20"/>
              <w:spacing w:after="0" w:line="175" w:lineRule="exact"/>
              <w:rPr>
                <w:sz w:val="20"/>
                <w:szCs w:val="20"/>
                <w:color w:val="auto"/>
              </w:rPr>
            </w:pPr>
            <w:r>
              <w:rPr>
                <w:rFonts w:ascii="Arial" w:cs="Arial" w:eastAsia="Arial" w:hAnsi="Arial"/>
                <w:sz w:val="16"/>
                <w:szCs w:val="16"/>
                <w:color w:val="auto"/>
              </w:rPr>
              <w:t>Item 13.</w:t>
            </w:r>
          </w:p>
        </w:tc>
        <w:tc>
          <w:tcPr>
            <w:tcW w:w="10020" w:type="dxa"/>
            <w:vAlign w:val="bottom"/>
            <w:gridSpan w:val="35"/>
          </w:tcPr>
          <w:p>
            <w:pPr>
              <w:spacing w:after="0" w:line="175" w:lineRule="exact"/>
              <w:rPr>
                <w:sz w:val="20"/>
                <w:szCs w:val="20"/>
                <w:color w:val="auto"/>
              </w:rPr>
            </w:pPr>
            <w:r>
              <w:rPr>
                <w:rFonts w:ascii="Arial" w:cs="Arial" w:eastAsia="Arial" w:hAnsi="Arial"/>
                <w:sz w:val="16"/>
                <w:szCs w:val="16"/>
                <w:color w:val="0000FF"/>
              </w:rPr>
              <w:t>Certain Relationships and Related Transactions, and Director Independence</w:t>
            </w:r>
          </w:p>
        </w:tc>
        <w:tc>
          <w:tcPr>
            <w:tcW w:w="180" w:type="dxa"/>
            <w:vAlign w:val="bottom"/>
            <w:gridSpan w:val="2"/>
          </w:tcPr>
          <w:p>
            <w:pPr>
              <w:jc w:val="right"/>
              <w:spacing w:after="0" w:line="175" w:lineRule="exact"/>
              <w:rPr>
                <w:sz w:val="20"/>
                <w:szCs w:val="20"/>
                <w:color w:val="auto"/>
              </w:rPr>
            </w:pPr>
            <w:r>
              <w:rPr>
                <w:rFonts w:ascii="Arial" w:cs="Arial" w:eastAsia="Arial" w:hAnsi="Arial"/>
                <w:sz w:val="16"/>
                <w:szCs w:val="16"/>
                <w:color w:val="0000FF"/>
                <w:w w:val="89"/>
              </w:rPr>
              <w:t>85</w:t>
            </w:r>
          </w:p>
        </w:tc>
        <w:tc>
          <w:tcPr>
            <w:tcW w:w="20" w:type="dxa"/>
            <w:vAlign w:val="bottom"/>
          </w:tcPr>
          <w:p>
            <w:pPr>
              <w:spacing w:after="0"/>
              <w:rPr>
                <w:sz w:val="15"/>
                <w:szCs w:val="15"/>
                <w:color w:val="auto"/>
              </w:rPr>
            </w:pPr>
          </w:p>
        </w:tc>
      </w:tr>
      <w:tr>
        <w:trPr>
          <w:trHeight w:val="20"/>
        </w:trPr>
        <w:tc>
          <w:tcPr>
            <w:tcW w:w="100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shd w:val="clear" w:color="auto" w:fill="F5F5F5"/>
          </w:tcPr>
          <w:p>
            <w:pPr>
              <w:ind w:left="20"/>
              <w:spacing w:after="0" w:line="175" w:lineRule="exact"/>
              <w:rPr>
                <w:sz w:val="20"/>
                <w:szCs w:val="20"/>
                <w:color w:val="auto"/>
              </w:rPr>
            </w:pPr>
            <w:r>
              <w:rPr>
                <w:rFonts w:ascii="Arial" w:cs="Arial" w:eastAsia="Arial" w:hAnsi="Arial"/>
                <w:sz w:val="16"/>
                <w:szCs w:val="16"/>
                <w:color w:val="auto"/>
              </w:rPr>
              <w:t>Item 14.</w:t>
            </w:r>
          </w:p>
        </w:tc>
        <w:tc>
          <w:tcPr>
            <w:tcW w:w="10020" w:type="dxa"/>
            <w:vAlign w:val="bottom"/>
            <w:gridSpan w:val="35"/>
            <w:shd w:val="clear" w:color="auto" w:fill="F5F5F5"/>
          </w:tcPr>
          <w:p>
            <w:pPr>
              <w:spacing w:after="0" w:line="175" w:lineRule="exact"/>
              <w:rPr>
                <w:sz w:val="20"/>
                <w:szCs w:val="20"/>
                <w:color w:val="auto"/>
              </w:rPr>
            </w:pPr>
            <w:r>
              <w:rPr>
                <w:rFonts w:ascii="Arial" w:cs="Arial" w:eastAsia="Arial" w:hAnsi="Arial"/>
                <w:sz w:val="16"/>
                <w:szCs w:val="16"/>
                <w:color w:val="0000FF"/>
              </w:rPr>
              <w:t>Principal Accountant Fees and Services</w:t>
            </w:r>
          </w:p>
        </w:tc>
        <w:tc>
          <w:tcPr>
            <w:tcW w:w="180" w:type="dxa"/>
            <w:vAlign w:val="bottom"/>
            <w:gridSpan w:val="2"/>
            <w:shd w:val="clear" w:color="auto" w:fill="F5F5F5"/>
          </w:tcPr>
          <w:p>
            <w:pPr>
              <w:jc w:val="right"/>
              <w:spacing w:after="0" w:line="175" w:lineRule="exact"/>
              <w:rPr>
                <w:sz w:val="20"/>
                <w:szCs w:val="20"/>
                <w:color w:val="auto"/>
              </w:rPr>
            </w:pPr>
            <w:r>
              <w:rPr>
                <w:rFonts w:ascii="Arial" w:cs="Arial" w:eastAsia="Arial" w:hAnsi="Arial"/>
                <w:sz w:val="16"/>
                <w:szCs w:val="16"/>
                <w:color w:val="0000FF"/>
                <w:w w:val="89"/>
              </w:rPr>
              <w:t>85</w:t>
            </w:r>
          </w:p>
        </w:tc>
        <w:tc>
          <w:tcPr>
            <w:tcW w:w="20" w:type="dxa"/>
            <w:vAlign w:val="bottom"/>
            <w:shd w:val="clear" w:color="auto" w:fill="F5F5F5"/>
          </w:tcPr>
          <w:p>
            <w:pPr>
              <w:spacing w:after="0"/>
              <w:rPr>
                <w:sz w:val="17"/>
                <w:szCs w:val="17"/>
                <w:color w:val="auto"/>
              </w:rPr>
            </w:pPr>
          </w:p>
        </w:tc>
      </w:tr>
      <w:tr>
        <w:trPr>
          <w:trHeight w:val="175"/>
        </w:trPr>
        <w:tc>
          <w:tcPr>
            <w:tcW w:w="1000" w:type="dxa"/>
            <w:vAlign w:val="bottom"/>
            <w:tcBorders>
              <w:top w:val="single" w:sz="8" w:color="F5F5F5"/>
            </w:tcBorders>
          </w:tcPr>
          <w:p>
            <w:pPr>
              <w:spacing w:after="0"/>
              <w:rPr>
                <w:sz w:val="15"/>
                <w:szCs w:val="15"/>
                <w:color w:val="auto"/>
              </w:rPr>
            </w:pPr>
          </w:p>
        </w:tc>
        <w:tc>
          <w:tcPr>
            <w:tcW w:w="6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740" w:type="dxa"/>
            <w:vAlign w:val="bottom"/>
            <w:tcBorders>
              <w:top w:val="single" w:sz="8" w:color="0000FF"/>
            </w:tcBorders>
          </w:tcPr>
          <w:p>
            <w:pPr>
              <w:spacing w:after="0"/>
              <w:rPr>
                <w:sz w:val="15"/>
                <w:szCs w:val="15"/>
                <w:color w:val="auto"/>
              </w:rPr>
            </w:pPr>
          </w:p>
        </w:tc>
        <w:tc>
          <w:tcPr>
            <w:tcW w:w="20" w:type="dxa"/>
            <w:vAlign w:val="bottom"/>
            <w:tcBorders>
              <w:top w:val="single" w:sz="8" w:color="F5F5F5"/>
            </w:tcBorders>
          </w:tcPr>
          <w:p>
            <w:pPr>
              <w:spacing w:after="0"/>
              <w:rPr>
                <w:sz w:val="15"/>
                <w:szCs w:val="15"/>
                <w:color w:val="auto"/>
              </w:rPr>
            </w:pPr>
          </w:p>
        </w:tc>
        <w:tc>
          <w:tcPr>
            <w:tcW w:w="260" w:type="dxa"/>
            <w:vAlign w:val="bottom"/>
            <w:tcBorders>
              <w:top w:val="single" w:sz="8" w:color="F5F5F5"/>
            </w:tcBorders>
          </w:tcPr>
          <w:p>
            <w:pPr>
              <w:spacing w:after="0"/>
              <w:rPr>
                <w:sz w:val="15"/>
                <w:szCs w:val="15"/>
                <w:color w:val="auto"/>
              </w:rPr>
            </w:pPr>
          </w:p>
        </w:tc>
        <w:tc>
          <w:tcPr>
            <w:tcW w:w="20" w:type="dxa"/>
            <w:vAlign w:val="bottom"/>
            <w:tcBorders>
              <w:top w:val="single" w:sz="8" w:color="F5F5F5"/>
            </w:tcBorders>
          </w:tcPr>
          <w:p>
            <w:pPr>
              <w:spacing w:after="0"/>
              <w:rPr>
                <w:sz w:val="15"/>
                <w:szCs w:val="15"/>
                <w:color w:val="auto"/>
              </w:rPr>
            </w:pPr>
          </w:p>
        </w:tc>
        <w:tc>
          <w:tcPr>
            <w:tcW w:w="180" w:type="dxa"/>
            <w:vAlign w:val="bottom"/>
            <w:tcBorders>
              <w:top w:val="single" w:sz="8" w:color="F5F5F5"/>
            </w:tcBorders>
          </w:tcPr>
          <w:p>
            <w:pPr>
              <w:spacing w:after="0"/>
              <w:rPr>
                <w:sz w:val="15"/>
                <w:szCs w:val="15"/>
                <w:color w:val="auto"/>
              </w:rPr>
            </w:pPr>
          </w:p>
        </w:tc>
        <w:tc>
          <w:tcPr>
            <w:tcW w:w="160" w:type="dxa"/>
            <w:vAlign w:val="bottom"/>
            <w:tcBorders>
              <w:top w:val="single" w:sz="8" w:color="F5F5F5"/>
            </w:tcBorders>
          </w:tcPr>
          <w:p>
            <w:pPr>
              <w:spacing w:after="0"/>
              <w:rPr>
                <w:sz w:val="15"/>
                <w:szCs w:val="15"/>
                <w:color w:val="auto"/>
              </w:rPr>
            </w:pPr>
          </w:p>
        </w:tc>
        <w:tc>
          <w:tcPr>
            <w:tcW w:w="320" w:type="dxa"/>
            <w:vAlign w:val="bottom"/>
            <w:tcBorders>
              <w:top w:val="single" w:sz="8" w:color="F5F5F5"/>
            </w:tcBorders>
          </w:tcPr>
          <w:p>
            <w:pPr>
              <w:spacing w:after="0"/>
              <w:rPr>
                <w:sz w:val="15"/>
                <w:szCs w:val="15"/>
                <w:color w:val="auto"/>
              </w:rPr>
            </w:pPr>
          </w:p>
        </w:tc>
        <w:tc>
          <w:tcPr>
            <w:tcW w:w="220" w:type="dxa"/>
            <w:vAlign w:val="bottom"/>
            <w:tcBorders>
              <w:top w:val="single" w:sz="8" w:color="F5F5F5"/>
            </w:tcBorders>
          </w:tcPr>
          <w:p>
            <w:pPr>
              <w:spacing w:after="0"/>
              <w:rPr>
                <w:sz w:val="15"/>
                <w:szCs w:val="15"/>
                <w:color w:val="auto"/>
              </w:rPr>
            </w:pPr>
          </w:p>
        </w:tc>
        <w:tc>
          <w:tcPr>
            <w:tcW w:w="200" w:type="dxa"/>
            <w:vAlign w:val="bottom"/>
            <w:tcBorders>
              <w:top w:val="single" w:sz="8" w:color="F5F5F5"/>
            </w:tcBorders>
          </w:tcPr>
          <w:p>
            <w:pPr>
              <w:spacing w:after="0"/>
              <w:rPr>
                <w:sz w:val="15"/>
                <w:szCs w:val="15"/>
                <w:color w:val="auto"/>
              </w:rPr>
            </w:pPr>
          </w:p>
        </w:tc>
        <w:tc>
          <w:tcPr>
            <w:tcW w:w="5780" w:type="dxa"/>
            <w:vAlign w:val="bottom"/>
            <w:tcBorders>
              <w:top w:val="single" w:sz="8" w:color="F5F5F5"/>
            </w:tcBorders>
            <w:gridSpan w:val="13"/>
          </w:tcPr>
          <w:p>
            <w:pPr>
              <w:jc w:val="center"/>
              <w:ind w:right="5040"/>
              <w:spacing w:after="0" w:line="175" w:lineRule="exact"/>
              <w:rPr>
                <w:sz w:val="20"/>
                <w:szCs w:val="20"/>
                <w:color w:val="auto"/>
              </w:rPr>
            </w:pPr>
            <w:r>
              <w:rPr>
                <w:rFonts w:ascii="Arial" w:cs="Arial" w:eastAsia="Arial" w:hAnsi="Arial"/>
                <w:sz w:val="16"/>
                <w:szCs w:val="16"/>
                <w:b w:val="1"/>
                <w:bCs w:val="1"/>
                <w:color w:val="0000FF"/>
                <w:w w:val="98"/>
              </w:rPr>
              <w:t>PART IV</w:t>
            </w:r>
          </w:p>
        </w:tc>
        <w:tc>
          <w:tcPr>
            <w:tcW w:w="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F5F5F5"/>
            </w:tcBorders>
          </w:tcPr>
          <w:p>
            <w:pPr>
              <w:spacing w:after="0"/>
              <w:rPr>
                <w:sz w:val="15"/>
                <w:szCs w:val="15"/>
                <w:color w:val="auto"/>
              </w:rPr>
            </w:pPr>
          </w:p>
        </w:tc>
      </w:tr>
      <w:tr>
        <w:trPr>
          <w:trHeight w:val="20"/>
        </w:trPr>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Borders>
              <w:bottom w:val="single" w:sz="8" w:color="F5F5F5"/>
            </w:tcBorders>
            <w:shd w:val="clear" w:color="auto" w:fill="F5F5F5"/>
          </w:tcPr>
          <w:p>
            <w:pPr>
              <w:ind w:left="20"/>
              <w:spacing w:after="0" w:line="175" w:lineRule="exact"/>
              <w:rPr>
                <w:sz w:val="20"/>
                <w:szCs w:val="20"/>
                <w:color w:val="auto"/>
              </w:rPr>
            </w:pPr>
            <w:r>
              <w:rPr>
                <w:rFonts w:ascii="Arial" w:cs="Arial" w:eastAsia="Arial" w:hAnsi="Arial"/>
                <w:sz w:val="16"/>
                <w:szCs w:val="16"/>
                <w:color w:val="auto"/>
              </w:rPr>
              <w:t>Item 15.</w:t>
            </w:r>
          </w:p>
        </w:tc>
        <w:tc>
          <w:tcPr>
            <w:tcW w:w="3160" w:type="dxa"/>
            <w:vAlign w:val="bottom"/>
            <w:tcBorders>
              <w:bottom w:val="single" w:sz="8" w:color="0000FF"/>
            </w:tcBorders>
            <w:gridSpan w:val="17"/>
            <w:shd w:val="clear" w:color="auto" w:fill="F5F5F5"/>
          </w:tcPr>
          <w:p>
            <w:pPr>
              <w:spacing w:after="0" w:line="175" w:lineRule="exact"/>
              <w:rPr>
                <w:sz w:val="20"/>
                <w:szCs w:val="20"/>
                <w:color w:val="auto"/>
              </w:rPr>
            </w:pPr>
            <w:r>
              <w:rPr>
                <w:rFonts w:ascii="Arial" w:cs="Arial" w:eastAsia="Arial" w:hAnsi="Arial"/>
                <w:sz w:val="16"/>
                <w:szCs w:val="16"/>
                <w:color w:val="0000FF"/>
              </w:rPr>
              <w:t>Exhibits and Financial Statement Schedules</w:t>
            </w:r>
          </w:p>
        </w:tc>
        <w:tc>
          <w:tcPr>
            <w:tcW w:w="6860" w:type="dxa"/>
            <w:vAlign w:val="bottom"/>
            <w:tcBorders>
              <w:bottom w:val="single" w:sz="8" w:color="F5F5F5"/>
            </w:tcBorders>
            <w:gridSpan w:val="18"/>
            <w:shd w:val="clear" w:color="auto" w:fill="F5F5F5"/>
          </w:tcPr>
          <w:p>
            <w:pPr>
              <w:spacing w:after="0"/>
              <w:rPr>
                <w:sz w:val="17"/>
                <w:szCs w:val="17"/>
                <w:color w:val="auto"/>
              </w:rPr>
            </w:pPr>
          </w:p>
        </w:tc>
        <w:tc>
          <w:tcPr>
            <w:tcW w:w="180" w:type="dxa"/>
            <w:vAlign w:val="bottom"/>
            <w:tcBorders>
              <w:bottom w:val="single" w:sz="8" w:color="0000FF"/>
            </w:tcBorders>
            <w:gridSpan w:val="2"/>
            <w:shd w:val="clear" w:color="auto" w:fill="F5F5F5"/>
          </w:tcPr>
          <w:p>
            <w:pPr>
              <w:jc w:val="right"/>
              <w:spacing w:after="0" w:line="175" w:lineRule="exact"/>
              <w:rPr>
                <w:sz w:val="20"/>
                <w:szCs w:val="20"/>
                <w:color w:val="auto"/>
              </w:rPr>
            </w:pPr>
            <w:r>
              <w:rPr>
                <w:rFonts w:ascii="Arial" w:cs="Arial" w:eastAsia="Arial" w:hAnsi="Arial"/>
                <w:sz w:val="16"/>
                <w:szCs w:val="16"/>
                <w:color w:val="0000FF"/>
                <w:w w:val="89"/>
              </w:rPr>
              <w:t>86</w:t>
            </w:r>
          </w:p>
        </w:tc>
        <w:tc>
          <w:tcPr>
            <w:tcW w:w="20" w:type="dxa"/>
            <w:vAlign w:val="bottom"/>
            <w:tcBorders>
              <w:bottom w:val="single" w:sz="8" w:color="F5F5F5"/>
            </w:tcBorders>
            <w:shd w:val="clear" w:color="auto" w:fill="F5F5F5"/>
          </w:tcPr>
          <w:p>
            <w:pPr>
              <w:spacing w:after="0"/>
              <w:rPr>
                <w:sz w:val="17"/>
                <w:szCs w:val="17"/>
                <w:color w:val="auto"/>
              </w:rPr>
            </w:pPr>
          </w:p>
        </w:tc>
      </w:tr>
      <w:tr>
        <w:trPr>
          <w:trHeight w:val="175"/>
        </w:trPr>
        <w:tc>
          <w:tcPr>
            <w:tcW w:w="1000" w:type="dxa"/>
            <w:vAlign w:val="bottom"/>
          </w:tcPr>
          <w:p>
            <w:pPr>
              <w:ind w:left="20"/>
              <w:spacing w:after="0" w:line="175" w:lineRule="exact"/>
              <w:rPr>
                <w:sz w:val="20"/>
                <w:szCs w:val="20"/>
                <w:color w:val="auto"/>
              </w:rPr>
            </w:pPr>
            <w:r>
              <w:rPr>
                <w:rFonts w:ascii="Arial" w:cs="Arial" w:eastAsia="Arial" w:hAnsi="Arial"/>
                <w:sz w:val="16"/>
                <w:szCs w:val="16"/>
                <w:color w:val="auto"/>
              </w:rPr>
              <w:t>Item 16.</w:t>
            </w:r>
          </w:p>
        </w:tc>
        <w:tc>
          <w:tcPr>
            <w:tcW w:w="10020" w:type="dxa"/>
            <w:vAlign w:val="bottom"/>
            <w:gridSpan w:val="35"/>
          </w:tcPr>
          <w:p>
            <w:pPr>
              <w:spacing w:after="0" w:line="175" w:lineRule="exact"/>
              <w:rPr>
                <w:sz w:val="20"/>
                <w:szCs w:val="20"/>
                <w:color w:val="auto"/>
              </w:rPr>
            </w:pPr>
            <w:r>
              <w:rPr>
                <w:rFonts w:ascii="Arial" w:cs="Arial" w:eastAsia="Arial" w:hAnsi="Arial"/>
                <w:sz w:val="16"/>
                <w:szCs w:val="16"/>
                <w:color w:val="0000FF"/>
              </w:rPr>
              <w:t>Form 10-K Summary</w:t>
            </w:r>
          </w:p>
        </w:tc>
        <w:tc>
          <w:tcPr>
            <w:tcW w:w="180" w:type="dxa"/>
            <w:vAlign w:val="bottom"/>
            <w:gridSpan w:val="2"/>
          </w:tcPr>
          <w:p>
            <w:pPr>
              <w:jc w:val="right"/>
              <w:spacing w:after="0" w:line="175" w:lineRule="exact"/>
              <w:rPr>
                <w:sz w:val="20"/>
                <w:szCs w:val="20"/>
                <w:color w:val="auto"/>
              </w:rPr>
            </w:pPr>
            <w:r>
              <w:rPr>
                <w:rFonts w:ascii="Arial" w:cs="Arial" w:eastAsia="Arial" w:hAnsi="Arial"/>
                <w:sz w:val="16"/>
                <w:szCs w:val="16"/>
                <w:color w:val="0000FF"/>
                <w:w w:val="89"/>
              </w:rPr>
              <w:t>86</w:t>
            </w:r>
          </w:p>
        </w:tc>
        <w:tc>
          <w:tcPr>
            <w:tcW w:w="20" w:type="dxa"/>
            <w:vAlign w:val="bottom"/>
          </w:tcPr>
          <w:p>
            <w:pPr>
              <w:spacing w:after="0"/>
              <w:rPr>
                <w:sz w:val="15"/>
                <w:szCs w:val="15"/>
                <w:color w:val="auto"/>
              </w:rPr>
            </w:pPr>
          </w:p>
        </w:tc>
      </w:tr>
      <w:tr>
        <w:trPr>
          <w:trHeight w:val="20"/>
        </w:trPr>
        <w:tc>
          <w:tcPr>
            <w:tcW w:w="100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shd w:val="clear" w:color="auto" w:fill="F5F5F5"/>
          </w:tcPr>
          <w:p>
            <w:pPr>
              <w:spacing w:after="0"/>
              <w:rPr>
                <w:sz w:val="17"/>
                <w:szCs w:val="17"/>
                <w:color w:val="auto"/>
              </w:rPr>
            </w:pPr>
          </w:p>
        </w:tc>
        <w:tc>
          <w:tcPr>
            <w:tcW w:w="10020" w:type="dxa"/>
            <w:vAlign w:val="bottom"/>
            <w:gridSpan w:val="35"/>
            <w:shd w:val="clear" w:color="auto" w:fill="F5F5F5"/>
          </w:tcPr>
          <w:p>
            <w:pPr>
              <w:spacing w:after="0" w:line="175" w:lineRule="exact"/>
              <w:rPr>
                <w:sz w:val="20"/>
                <w:szCs w:val="20"/>
                <w:color w:val="auto"/>
              </w:rPr>
            </w:pPr>
            <w:r>
              <w:rPr>
                <w:rFonts w:ascii="Arial" w:cs="Arial" w:eastAsia="Arial" w:hAnsi="Arial"/>
                <w:sz w:val="16"/>
                <w:szCs w:val="16"/>
                <w:color w:val="0000FF"/>
              </w:rPr>
              <w:t>Index to Exhibits</w:t>
            </w:r>
          </w:p>
        </w:tc>
        <w:tc>
          <w:tcPr>
            <w:tcW w:w="180" w:type="dxa"/>
            <w:vAlign w:val="bottom"/>
            <w:gridSpan w:val="2"/>
            <w:shd w:val="clear" w:color="auto" w:fill="F5F5F5"/>
          </w:tcPr>
          <w:p>
            <w:pPr>
              <w:jc w:val="right"/>
              <w:spacing w:after="0" w:line="175" w:lineRule="exact"/>
              <w:rPr>
                <w:sz w:val="20"/>
                <w:szCs w:val="20"/>
                <w:color w:val="auto"/>
              </w:rPr>
            </w:pPr>
            <w:r>
              <w:rPr>
                <w:rFonts w:ascii="Arial" w:cs="Arial" w:eastAsia="Arial" w:hAnsi="Arial"/>
                <w:sz w:val="16"/>
                <w:szCs w:val="16"/>
                <w:color w:val="0000FF"/>
                <w:w w:val="89"/>
              </w:rPr>
              <w:t>87</w:t>
            </w:r>
          </w:p>
        </w:tc>
        <w:tc>
          <w:tcPr>
            <w:tcW w:w="20" w:type="dxa"/>
            <w:vAlign w:val="bottom"/>
            <w:shd w:val="clear" w:color="auto" w:fill="F5F5F5"/>
          </w:tcPr>
          <w:p>
            <w:pPr>
              <w:spacing w:after="0"/>
              <w:rPr>
                <w:sz w:val="17"/>
                <w:szCs w:val="17"/>
                <w:color w:val="auto"/>
              </w:rPr>
            </w:pPr>
          </w:p>
        </w:tc>
      </w:tr>
      <w:tr>
        <w:trPr>
          <w:trHeight w:val="175"/>
        </w:trPr>
        <w:tc>
          <w:tcPr>
            <w:tcW w:w="1000" w:type="dxa"/>
            <w:vAlign w:val="bottom"/>
            <w:tcBorders>
              <w:top w:val="single" w:sz="8" w:color="F5F5F5"/>
            </w:tcBorders>
          </w:tcPr>
          <w:p>
            <w:pPr>
              <w:spacing w:after="0"/>
              <w:rPr>
                <w:sz w:val="15"/>
                <w:szCs w:val="15"/>
                <w:color w:val="auto"/>
              </w:rPr>
            </w:pPr>
          </w:p>
        </w:tc>
        <w:tc>
          <w:tcPr>
            <w:tcW w:w="780" w:type="dxa"/>
            <w:vAlign w:val="bottom"/>
            <w:tcBorders>
              <w:top w:val="single" w:sz="8" w:color="0000FF"/>
              <w:bottom w:val="single" w:sz="8" w:color="0000FF"/>
            </w:tcBorders>
            <w:gridSpan w:val="3"/>
          </w:tcPr>
          <w:p>
            <w:pPr>
              <w:spacing w:after="0" w:line="175" w:lineRule="exact"/>
              <w:rPr>
                <w:sz w:val="20"/>
                <w:szCs w:val="20"/>
                <w:color w:val="auto"/>
              </w:rPr>
            </w:pPr>
            <w:r>
              <w:rPr>
                <w:rFonts w:ascii="Arial" w:cs="Arial" w:eastAsia="Arial" w:hAnsi="Arial"/>
                <w:sz w:val="16"/>
                <w:szCs w:val="16"/>
                <w:color w:val="0000FF"/>
                <w:w w:val="99"/>
              </w:rPr>
              <w:t>Signatures</w:t>
            </w:r>
          </w:p>
        </w:tc>
        <w:tc>
          <w:tcPr>
            <w:tcW w:w="400" w:type="dxa"/>
            <w:vAlign w:val="bottom"/>
            <w:tcBorders>
              <w:top w:val="single" w:sz="8" w:color="0000FF"/>
            </w:tcBorders>
            <w:gridSpan w:val="3"/>
          </w:tcPr>
          <w:p>
            <w:pPr>
              <w:spacing w:after="0"/>
              <w:rPr>
                <w:sz w:val="15"/>
                <w:szCs w:val="15"/>
                <w:color w:val="auto"/>
              </w:rPr>
            </w:pPr>
          </w:p>
        </w:tc>
        <w:tc>
          <w:tcPr>
            <w:tcW w:w="8840" w:type="dxa"/>
            <w:vAlign w:val="bottom"/>
            <w:tcBorders>
              <w:top w:val="single" w:sz="8" w:color="F5F5F5"/>
            </w:tcBorders>
            <w:gridSpan w:val="29"/>
          </w:tcPr>
          <w:p>
            <w:pPr>
              <w:spacing w:after="0"/>
              <w:rPr>
                <w:sz w:val="15"/>
                <w:szCs w:val="15"/>
                <w:color w:val="auto"/>
              </w:rPr>
            </w:pPr>
          </w:p>
        </w:tc>
        <w:tc>
          <w:tcPr>
            <w:tcW w:w="180" w:type="dxa"/>
            <w:vAlign w:val="bottom"/>
            <w:tcBorders>
              <w:top w:val="single" w:sz="8" w:color="0000FF"/>
              <w:bottom w:val="single" w:sz="8" w:color="0000FF"/>
            </w:tcBorders>
            <w:gridSpan w:val="2"/>
          </w:tcPr>
          <w:p>
            <w:pPr>
              <w:jc w:val="right"/>
              <w:spacing w:after="0" w:line="175" w:lineRule="exact"/>
              <w:rPr>
                <w:sz w:val="20"/>
                <w:szCs w:val="20"/>
                <w:color w:val="auto"/>
              </w:rPr>
            </w:pPr>
            <w:r>
              <w:rPr>
                <w:rFonts w:ascii="Arial" w:cs="Arial" w:eastAsia="Arial" w:hAnsi="Arial"/>
                <w:sz w:val="16"/>
                <w:szCs w:val="16"/>
                <w:color w:val="0000FF"/>
                <w:w w:val="89"/>
              </w:rPr>
              <w:t>90</w:t>
            </w:r>
          </w:p>
        </w:tc>
        <w:tc>
          <w:tcPr>
            <w:tcW w:w="20" w:type="dxa"/>
            <w:vAlign w:val="bottom"/>
            <w:tcBorders>
              <w:top w:val="single" w:sz="8" w:color="F5F5F5"/>
            </w:tcBorders>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720"/>
        <w:spacing w:after="0"/>
        <w:tabs>
          <w:tab w:leader="none" w:pos="556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2</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 w:name="page3"/>
    <w:bookmarkEnd w:id="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b w:val="1"/>
          <w:bCs w:val="1"/>
          <w:color w:val="AC7E65"/>
        </w:rPr>
        <w:t>SPECIAL NOTE REGARDING FORWARD-LOOKING STATEMENTS</w:t>
      </w:r>
    </w:p>
    <w:p>
      <w:pPr>
        <w:spacing w:after="0" w:line="24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Certain statements in this Annual Report on Form 10-K may constitute forward-looking statements (as such term is defined in the Private Securities Litigation Reform Act of 1995) that involve risks and uncertainties and are subject to change based on various important factors, many of which may be beyond our control. Words such as “estimate,” “project,” “plan,” “believe,” “expect,” “anticipate,” “intend,” “should,” “are confident,” “will,” “could,” “outlook,” or the negative versions of those words or other comparable words and similar expressions may identify forward-looking statements. Future economic and industry trends that could potentially impact revenue and profitability are difficult to predict. Therefore, there can be no assurance that the forward-looking statements included in this Annual Report on Form 10-K will prove to be accurate. Factors that could cause results to differ from those expressed in the forward-looking statements include, but are not limited to, the risks described or referenced in “</w:t>
      </w:r>
      <w:r>
        <w:rPr>
          <w:rFonts w:ascii="Arial" w:cs="Arial" w:eastAsia="Arial" w:hAnsi="Arial"/>
          <w:sz w:val="16"/>
          <w:szCs w:val="16"/>
          <w:i w:val="1"/>
          <w:iCs w:val="1"/>
          <w:color w:val="0000FF"/>
        </w:rPr>
        <w:t>ITEM 1A. RISK FACTORS</w:t>
      </w:r>
      <w:r>
        <w:rPr>
          <w:rFonts w:ascii="Arial" w:cs="Arial" w:eastAsia="Arial" w:hAnsi="Arial"/>
          <w:sz w:val="16"/>
          <w:szCs w:val="16"/>
          <w:color w:val="auto"/>
        </w:rPr>
        <w:t>,” of this Annual Report on Form 10-K and otherwise in our reports and filings with the SEC, as well as the following:</w:t>
      </w:r>
    </w:p>
    <w:p>
      <w:pPr>
        <w:spacing w:after="0" w:line="248" w:lineRule="exact"/>
        <w:rPr>
          <w:sz w:val="20"/>
          <w:szCs w:val="20"/>
          <w:color w:val="auto"/>
        </w:rPr>
      </w:pPr>
    </w:p>
    <w:p>
      <w:pPr>
        <w:ind w:left="660" w:right="240" w:hanging="328"/>
        <w:spacing w:after="0" w:line="221"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6"/>
          <w:szCs w:val="16"/>
          <w:color w:val="auto"/>
        </w:rPr>
        <w:t>risks related to changes in global economic and financial conditions, including inflation, and the resulting impact on consumer spending generally and on our operating results, financial condition, and expense management, and our ability to adequately mitigate the impact;</w:t>
      </w:r>
    </w:p>
    <w:p>
      <w:pPr>
        <w:spacing w:after="0" w:line="29" w:lineRule="exact"/>
        <w:rPr>
          <w:rFonts w:ascii="Arial" w:cs="Arial" w:eastAsia="Arial" w:hAnsi="Arial"/>
          <w:sz w:val="22"/>
          <w:szCs w:val="22"/>
          <w:color w:val="auto"/>
        </w:rPr>
      </w:pPr>
    </w:p>
    <w:p>
      <w:pPr>
        <w:ind w:left="660" w:right="440" w:hanging="328"/>
        <w:spacing w:after="0" w:line="221"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6"/>
          <w:szCs w:val="16"/>
          <w:color w:val="auto"/>
        </w:rPr>
        <w:t>risks related to global operations, including changes in the economic or political conditions where we sell or source our products or changes in import tariffs or trade restrictions;</w:t>
      </w:r>
    </w:p>
    <w:p>
      <w:pPr>
        <w:spacing w:after="0" w:line="16" w:lineRule="exact"/>
        <w:rPr>
          <w:rFonts w:ascii="Arial" w:cs="Arial" w:eastAsia="Arial" w:hAnsi="Arial"/>
          <w:sz w:val="22"/>
          <w:szCs w:val="22"/>
          <w:color w:val="auto"/>
        </w:rPr>
      </w:pPr>
    </w:p>
    <w:p>
      <w:pPr>
        <w:ind w:left="660" w:right="180" w:hanging="328"/>
        <w:spacing w:after="0" w:line="221"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6"/>
          <w:szCs w:val="16"/>
          <w:color w:val="auto"/>
        </w:rPr>
        <w:t>risks related to the geopolitical landscape and ongoing armed conflicts, and the impact of such conflicts on international trade, supplier delivery or increased freight costs, acts of terrorism, mass casualty events, social unrest, civil disturbance or disobedience;</w:t>
      </w:r>
    </w:p>
    <w:p>
      <w:pPr>
        <w:spacing w:after="0" w:line="4"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6"/>
          <w:szCs w:val="16"/>
          <w:color w:val="auto"/>
        </w:rPr>
        <w:t>risks related to natural disasters and other unforeseen catastrophic events;</w:t>
      </w:r>
    </w:p>
    <w:p>
      <w:pPr>
        <w:spacing w:after="0" w:line="41" w:lineRule="exact"/>
        <w:rPr>
          <w:rFonts w:ascii="Arial" w:cs="Arial" w:eastAsia="Arial" w:hAnsi="Arial"/>
          <w:sz w:val="22"/>
          <w:szCs w:val="22"/>
          <w:color w:val="auto"/>
        </w:rPr>
      </w:pPr>
    </w:p>
    <w:p>
      <w:pPr>
        <w:ind w:left="660" w:hanging="328"/>
        <w:spacing w:after="0" w:line="236"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6"/>
          <w:szCs w:val="16"/>
          <w:color w:val="auto"/>
        </w:rPr>
        <w:t>risks related to our failure to engage our customers, anticipate customer demand, expectations, and changing fashion trends, and manage our inventory and product delivery;</w:t>
      </w:r>
    </w:p>
    <w:p>
      <w:pPr>
        <w:ind w:left="660" w:hanging="328"/>
        <w:spacing w:after="0" w:line="230"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6"/>
          <w:szCs w:val="16"/>
          <w:color w:val="auto"/>
        </w:rPr>
        <w:t>risks related to our ability to successfully invest in and execute on our customer, digital and omnichannel initiatives;</w:t>
      </w:r>
    </w:p>
    <w:p>
      <w:pPr>
        <w:spacing w:after="0" w:line="16" w:lineRule="exact"/>
        <w:rPr>
          <w:rFonts w:ascii="Arial" w:cs="Arial" w:eastAsia="Arial" w:hAnsi="Arial"/>
          <w:sz w:val="22"/>
          <w:szCs w:val="22"/>
          <w:color w:val="auto"/>
        </w:rPr>
      </w:pPr>
    </w:p>
    <w:p>
      <w:pPr>
        <w:ind w:left="660" w:hanging="328"/>
        <w:spacing w:after="0" w:line="228"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6"/>
          <w:szCs w:val="16"/>
          <w:color w:val="auto"/>
        </w:rPr>
        <w:t>risks related to the effects of seasonal fluctuations on our sales and our performance during the back-to-school and holiday selling seasons;</w:t>
      </w:r>
    </w:p>
    <w:p>
      <w:pPr>
        <w:spacing w:after="0" w:line="16" w:lineRule="exact"/>
        <w:rPr>
          <w:rFonts w:ascii="Arial" w:cs="Arial" w:eastAsia="Arial" w:hAnsi="Arial"/>
          <w:sz w:val="22"/>
          <w:szCs w:val="22"/>
          <w:color w:val="auto"/>
        </w:rPr>
      </w:pPr>
    </w:p>
    <w:p>
      <w:pPr>
        <w:ind w:left="660" w:hanging="328"/>
        <w:spacing w:after="0" w:line="228"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6"/>
          <w:szCs w:val="16"/>
          <w:color w:val="auto"/>
        </w:rPr>
        <w:t>risks related to fluctuations in foreign currency exchange rates;</w:t>
      </w:r>
    </w:p>
    <w:p>
      <w:pPr>
        <w:spacing w:after="0" w:line="55" w:lineRule="exact"/>
        <w:rPr>
          <w:rFonts w:ascii="Arial" w:cs="Arial" w:eastAsia="Arial" w:hAnsi="Arial"/>
          <w:sz w:val="22"/>
          <w:szCs w:val="22"/>
          <w:color w:val="auto"/>
        </w:rPr>
      </w:pPr>
    </w:p>
    <w:p>
      <w:pPr>
        <w:ind w:left="660" w:hanging="328"/>
        <w:spacing w:after="0" w:line="229"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6"/>
          <w:szCs w:val="16"/>
          <w:color w:val="auto"/>
        </w:rPr>
        <w:t>risks related to fluctuations in our tax obligations and effective tax rate, including as a result of earnings and losses generated from our international operations;</w:t>
      </w:r>
    </w:p>
    <w:p>
      <w:pPr>
        <w:ind w:left="660" w:hanging="328"/>
        <w:spacing w:after="0" w:line="230"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6"/>
          <w:szCs w:val="16"/>
          <w:color w:val="auto"/>
        </w:rPr>
        <w:t>risks related to our ability to execute on, and maintain the success of, our strategic and growth initiatives;</w:t>
      </w:r>
    </w:p>
    <w:p>
      <w:pPr>
        <w:spacing w:after="0" w:line="16" w:lineRule="exact"/>
        <w:rPr>
          <w:rFonts w:ascii="Arial" w:cs="Arial" w:eastAsia="Arial" w:hAnsi="Arial"/>
          <w:sz w:val="22"/>
          <w:szCs w:val="22"/>
          <w:color w:val="auto"/>
        </w:rPr>
      </w:pPr>
    </w:p>
    <w:p>
      <w:pPr>
        <w:ind w:left="660" w:hanging="328"/>
        <w:spacing w:after="0" w:line="228"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6"/>
          <w:szCs w:val="16"/>
          <w:color w:val="auto"/>
        </w:rPr>
        <w:t>risks and uncertainty related to adverse public health developments;</w:t>
      </w:r>
    </w:p>
    <w:p>
      <w:pPr>
        <w:spacing w:after="0" w:line="16" w:lineRule="exact"/>
        <w:rPr>
          <w:rFonts w:ascii="Arial" w:cs="Arial" w:eastAsia="Arial" w:hAnsi="Arial"/>
          <w:sz w:val="22"/>
          <w:szCs w:val="22"/>
          <w:color w:val="auto"/>
        </w:rPr>
      </w:pPr>
    </w:p>
    <w:p>
      <w:pPr>
        <w:ind w:left="660" w:hanging="328"/>
        <w:spacing w:after="0" w:line="228"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6"/>
          <w:szCs w:val="16"/>
          <w:color w:val="auto"/>
        </w:rPr>
        <w:t>risks related to cybersecurity threats and privacy or data security breaches;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6"/>
          <w:szCs w:val="16"/>
          <w:color w:val="auto"/>
        </w:rPr>
        <w:t>risks related to the potential loss or disruption of our information systems;</w:t>
      </w:r>
    </w:p>
    <w:p>
      <w:pPr>
        <w:spacing w:after="0" w:line="15" w:lineRule="exact"/>
        <w:rPr>
          <w:rFonts w:ascii="Arial" w:cs="Arial" w:eastAsia="Arial" w:hAnsi="Arial"/>
          <w:sz w:val="22"/>
          <w:szCs w:val="22"/>
          <w:color w:val="auto"/>
        </w:rPr>
      </w:pPr>
    </w:p>
    <w:p>
      <w:pPr>
        <w:ind w:left="660" w:hanging="328"/>
        <w:spacing w:after="0" w:line="228"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6"/>
          <w:szCs w:val="16"/>
          <w:color w:val="auto"/>
        </w:rPr>
        <w:t>risks related to the continued validity of our trademarks and our ability to protect our intellectual property;</w:t>
      </w:r>
    </w:p>
    <w:p>
      <w:pPr>
        <w:spacing w:after="0" w:line="16" w:lineRule="exact"/>
        <w:rPr>
          <w:rFonts w:ascii="Arial" w:cs="Arial" w:eastAsia="Arial" w:hAnsi="Arial"/>
          <w:sz w:val="22"/>
          <w:szCs w:val="22"/>
          <w:color w:val="auto"/>
        </w:rPr>
      </w:pPr>
    </w:p>
    <w:p>
      <w:pPr>
        <w:ind w:left="660" w:hanging="328"/>
        <w:spacing w:after="0" w:line="228"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6"/>
          <w:szCs w:val="16"/>
          <w:color w:val="auto"/>
        </w:rPr>
        <w:t>risks associated with climate change and other corporate responsibility issues;</w:t>
      </w:r>
    </w:p>
    <w:p>
      <w:pPr>
        <w:spacing w:after="0" w:line="16" w:lineRule="exact"/>
        <w:rPr>
          <w:rFonts w:ascii="Arial" w:cs="Arial" w:eastAsia="Arial" w:hAnsi="Arial"/>
          <w:sz w:val="22"/>
          <w:szCs w:val="22"/>
          <w:color w:val="auto"/>
        </w:rPr>
      </w:pPr>
    </w:p>
    <w:p>
      <w:pPr>
        <w:ind w:left="660" w:hanging="328"/>
        <w:spacing w:after="0" w:line="228"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6"/>
          <w:szCs w:val="16"/>
          <w:color w:val="auto"/>
        </w:rPr>
        <w:t>risks related to reputational harm to the Company, its officers, and directors;</w:t>
      </w:r>
    </w:p>
    <w:p>
      <w:pPr>
        <w:spacing w:after="0" w:line="16" w:lineRule="exact"/>
        <w:rPr>
          <w:rFonts w:ascii="Arial" w:cs="Arial" w:eastAsia="Arial" w:hAnsi="Arial"/>
          <w:sz w:val="22"/>
          <w:szCs w:val="22"/>
          <w:color w:val="auto"/>
        </w:rPr>
      </w:pPr>
    </w:p>
    <w:p>
      <w:pPr>
        <w:ind w:left="660" w:hanging="328"/>
        <w:spacing w:after="0" w:line="228"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6"/>
          <w:szCs w:val="16"/>
          <w:color w:val="auto"/>
        </w:rPr>
        <w:t>risks related to actual or threatened litigation; and</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6"/>
          <w:szCs w:val="16"/>
          <w:color w:val="auto"/>
        </w:rPr>
        <w:t>uncertainties related to future legislation, regulatory reform, policy changes, or interpretive guidance on existing laws and regulations.</w:t>
      </w:r>
    </w:p>
    <w:p>
      <w:pPr>
        <w:spacing w:after="0" w:line="23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light of the significant uncertainties in the forward-looking statements included herein, the inclusion of such information should not be regarded as a representation by the Company, or any other person, that the objectives of the Company will be achieved. The forward-looking statements included herein are based on information presently available to the management of the Company. Except as may be required by applicable law, the Company assumes no obligation to publicly update or revise its forward-looking statements, including any financial targets and estimates, whether as a result of new information, future events, or otherwise. As used herein, “Abercrombie &amp; Fitch Co.,” “A&amp;F,” the “Company,” “we,” “us,” “our,” and similar terms include Abercrombie &amp; Fitch Co. and its subsidiaries, unless the context indicates otherwise.</w:t>
      </w:r>
    </w:p>
    <w:p>
      <w:pPr>
        <w:spacing w:after="0" w:line="200" w:lineRule="exact"/>
        <w:rPr>
          <w:sz w:val="20"/>
          <w:szCs w:val="20"/>
          <w:color w:val="auto"/>
        </w:rPr>
      </w:pPr>
    </w:p>
    <w:p>
      <w:pPr>
        <w:spacing w:after="0" w:line="238" w:lineRule="exact"/>
        <w:rPr>
          <w:sz w:val="20"/>
          <w:szCs w:val="20"/>
          <w:color w:val="auto"/>
        </w:rPr>
      </w:pPr>
    </w:p>
    <w:p>
      <w:pPr>
        <w:ind w:left="720"/>
        <w:spacing w:after="0"/>
        <w:tabs>
          <w:tab w:leader="none" w:pos="556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3</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32"/>
          <w:szCs w:val="32"/>
          <w:b w:val="1"/>
          <w:bCs w:val="1"/>
          <w:color w:val="AC7E65"/>
        </w:rPr>
        <w:t>PART I</w:t>
      </w:r>
    </w:p>
    <w:p>
      <w:pPr>
        <w:spacing w:after="0" w:line="211" w:lineRule="exact"/>
        <w:rPr>
          <w:sz w:val="20"/>
          <w:szCs w:val="20"/>
          <w:color w:val="auto"/>
        </w:rPr>
      </w:pPr>
    </w:p>
    <w:p>
      <w:pPr>
        <w:spacing w:after="0"/>
        <w:tabs>
          <w:tab w:leader="none" w:pos="1180" w:val="left"/>
        </w:tabs>
        <w:rPr>
          <w:sz w:val="20"/>
          <w:szCs w:val="20"/>
          <w:color w:val="auto"/>
        </w:rPr>
      </w:pPr>
      <w:r>
        <w:rPr>
          <w:rFonts w:ascii="Arial" w:cs="Arial" w:eastAsia="Arial" w:hAnsi="Arial"/>
          <w:sz w:val="29"/>
          <w:szCs w:val="29"/>
          <w:u w:val="single" w:color="auto"/>
          <w:color w:val="AC7E65"/>
        </w:rPr>
        <w:t>Item 1.</w:t>
        <w:tab/>
        <w:t>Business</w:t>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AC7E65"/>
        </w:rPr>
        <w:t>GENERAL</w:t>
      </w:r>
    </w:p>
    <w:p>
      <w:pPr>
        <w:spacing w:after="0" w:line="24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Abercrombie &amp; Fitch Co. (“A&amp;F”), a company incorporated in Delaware in 1996, through its subsidiaries (collectively, A&amp;F and its subsidiaries are referred to as the “Company”), is a global, digitally-led, omnichannel retailer. The Company offers a broad assortment of apparel, personal care products and accessories for men, women and kids, which are sold primarily through its Company-owned stores and digital channels, as well as through various third-party arrangements.</w:t>
      </w:r>
    </w:p>
    <w:p>
      <w:pPr>
        <w:spacing w:after="0" w:line="2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Company manages its business on a geographic basis, consisting of three reportable segments: Americas; Europe, the Middle East and Africa (“EMEA”); and Asia-Pacific (“APAC”). Corporate functions and other income and expenses are evaluated on a consolidated basis and are not allocated to the Company’s segments, and therefore are included as a reconciling item between segment and total operating income (loss).</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Company’s brand families include Abercrombie brands and Hollister brands. These brands share a commitment to offering unique products of enduring quality and exceptional comfort that allow customers around the world to express their own individuality and style.</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Company’s fiscal year ends on the Saturday closest to January 31. This typically results in a fifty-two-week year, but occasionally gives rise to an additional week, resulting in a fifty-three-week year, as was the case in Fiscal 2023. Fiscal years are designated in the Consolidated Financial Statements and Notes thereto, as well as the remainder of this Annual Report on Form 10-K, by the calendar year in which the fiscal year commenced. All references herein to the Company’s fiscal years are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Fiscal year</w:t>
            </w:r>
          </w:p>
        </w:tc>
        <w:tc>
          <w:tcPr>
            <w:tcW w:w="100" w:type="dxa"/>
            <w:vAlign w:val="bottom"/>
            <w:tcBorders>
              <w:bottom w:val="single" w:sz="8" w:color="F5F5F5"/>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Year ended / ending</w:t>
            </w:r>
          </w:p>
        </w:tc>
        <w:tc>
          <w:tcPr>
            <w:tcW w:w="120" w:type="dxa"/>
            <w:vAlign w:val="bottom"/>
            <w:tcBorders>
              <w:bottom w:val="single" w:sz="8" w:color="F5F5F5"/>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Number of weeks</w:t>
            </w:r>
          </w:p>
        </w:tc>
      </w:tr>
      <w:tr>
        <w:trPr>
          <w:trHeight w:val="200"/>
        </w:trPr>
        <w:tc>
          <w:tcPr>
            <w:tcW w:w="7620" w:type="dxa"/>
            <w:vAlign w:val="bottom"/>
            <w:gridSpan w:val="2"/>
            <w:shd w:val="clear" w:color="auto" w:fill="F5F5F5"/>
          </w:tcPr>
          <w:p>
            <w:pPr>
              <w:ind w:left="20"/>
              <w:spacing w:after="0"/>
              <w:rPr>
                <w:sz w:val="20"/>
                <w:szCs w:val="20"/>
                <w:color w:val="auto"/>
              </w:rPr>
            </w:pPr>
            <w:r>
              <w:rPr>
                <w:rFonts w:ascii="Arial" w:cs="Arial" w:eastAsia="Arial" w:hAnsi="Arial"/>
                <w:sz w:val="14"/>
                <w:szCs w:val="14"/>
                <w:color w:val="auto"/>
              </w:rPr>
              <w:t>Fiscal 2022</w:t>
            </w:r>
          </w:p>
        </w:tc>
        <w:tc>
          <w:tcPr>
            <w:tcW w:w="1840" w:type="dxa"/>
            <w:vAlign w:val="bottom"/>
            <w:gridSpan w:val="2"/>
            <w:shd w:val="clear" w:color="auto" w:fill="F5F5F5"/>
          </w:tcPr>
          <w:p>
            <w:pPr>
              <w:jc w:val="center"/>
              <w:ind w:right="100"/>
              <w:spacing w:after="0"/>
              <w:rPr>
                <w:sz w:val="20"/>
                <w:szCs w:val="20"/>
                <w:color w:val="auto"/>
              </w:rPr>
            </w:pPr>
            <w:r>
              <w:rPr>
                <w:rFonts w:ascii="Arial" w:cs="Arial" w:eastAsia="Arial" w:hAnsi="Arial"/>
                <w:sz w:val="14"/>
                <w:szCs w:val="14"/>
                <w:color w:val="auto"/>
              </w:rPr>
              <w:t>January 28, 2023</w:t>
            </w:r>
          </w:p>
        </w:tc>
        <w:tc>
          <w:tcPr>
            <w:tcW w:w="1720" w:type="dxa"/>
            <w:vAlign w:val="bottom"/>
            <w:shd w:val="clear" w:color="auto" w:fill="F5F5F5"/>
          </w:tcPr>
          <w:p>
            <w:pPr>
              <w:jc w:val="center"/>
              <w:spacing w:after="0"/>
              <w:rPr>
                <w:sz w:val="20"/>
                <w:szCs w:val="20"/>
                <w:color w:val="auto"/>
              </w:rPr>
            </w:pPr>
            <w:r>
              <w:rPr>
                <w:rFonts w:ascii="Arial" w:cs="Arial" w:eastAsia="Arial" w:hAnsi="Arial"/>
                <w:sz w:val="14"/>
                <w:szCs w:val="14"/>
                <w:color w:val="auto"/>
              </w:rPr>
              <w:t>52</w:t>
            </w:r>
          </w:p>
        </w:tc>
      </w:tr>
      <w:tr>
        <w:trPr>
          <w:trHeight w:val="198"/>
        </w:trPr>
        <w:tc>
          <w:tcPr>
            <w:tcW w:w="7620" w:type="dxa"/>
            <w:vAlign w:val="bottom"/>
            <w:gridSpan w:val="2"/>
          </w:tcPr>
          <w:p>
            <w:pPr>
              <w:ind w:left="20"/>
              <w:spacing w:after="0"/>
              <w:rPr>
                <w:sz w:val="20"/>
                <w:szCs w:val="20"/>
                <w:color w:val="auto"/>
              </w:rPr>
            </w:pPr>
            <w:r>
              <w:rPr>
                <w:rFonts w:ascii="Arial" w:cs="Arial" w:eastAsia="Arial" w:hAnsi="Arial"/>
                <w:sz w:val="14"/>
                <w:szCs w:val="14"/>
                <w:color w:val="auto"/>
              </w:rPr>
              <w:t>Fiscal 2023</w:t>
            </w:r>
          </w:p>
        </w:tc>
        <w:tc>
          <w:tcPr>
            <w:tcW w:w="1840" w:type="dxa"/>
            <w:vAlign w:val="bottom"/>
            <w:gridSpan w:val="2"/>
          </w:tcPr>
          <w:p>
            <w:pPr>
              <w:jc w:val="center"/>
              <w:ind w:right="100"/>
              <w:spacing w:after="0"/>
              <w:rPr>
                <w:sz w:val="20"/>
                <w:szCs w:val="20"/>
                <w:color w:val="auto"/>
              </w:rPr>
            </w:pPr>
            <w:r>
              <w:rPr>
                <w:rFonts w:ascii="Arial" w:cs="Arial" w:eastAsia="Arial" w:hAnsi="Arial"/>
                <w:sz w:val="14"/>
                <w:szCs w:val="14"/>
                <w:color w:val="auto"/>
              </w:rPr>
              <w:t>February 3, 2024</w:t>
            </w:r>
          </w:p>
        </w:tc>
        <w:tc>
          <w:tcPr>
            <w:tcW w:w="1720" w:type="dxa"/>
            <w:vAlign w:val="bottom"/>
          </w:tcPr>
          <w:p>
            <w:pPr>
              <w:jc w:val="center"/>
              <w:spacing w:after="0"/>
              <w:rPr>
                <w:sz w:val="20"/>
                <w:szCs w:val="20"/>
                <w:color w:val="auto"/>
              </w:rPr>
            </w:pPr>
            <w:r>
              <w:rPr>
                <w:rFonts w:ascii="Arial" w:cs="Arial" w:eastAsia="Arial" w:hAnsi="Arial"/>
                <w:sz w:val="14"/>
                <w:szCs w:val="14"/>
                <w:color w:val="auto"/>
              </w:rPr>
              <w:t>53</w:t>
            </w:r>
          </w:p>
        </w:tc>
      </w:tr>
      <w:tr>
        <w:trPr>
          <w:trHeight w:val="207"/>
        </w:trPr>
        <w:tc>
          <w:tcPr>
            <w:tcW w:w="7620" w:type="dxa"/>
            <w:vAlign w:val="bottom"/>
            <w:gridSpan w:val="2"/>
            <w:shd w:val="clear" w:color="auto" w:fill="F5F5F5"/>
          </w:tcPr>
          <w:p>
            <w:pPr>
              <w:ind w:left="20"/>
              <w:spacing w:after="0"/>
              <w:rPr>
                <w:sz w:val="20"/>
                <w:szCs w:val="20"/>
                <w:color w:val="auto"/>
              </w:rPr>
            </w:pPr>
            <w:r>
              <w:rPr>
                <w:rFonts w:ascii="Arial" w:cs="Arial" w:eastAsia="Arial" w:hAnsi="Arial"/>
                <w:sz w:val="14"/>
                <w:szCs w:val="14"/>
                <w:color w:val="auto"/>
              </w:rPr>
              <w:t>Fiscal 2024</w:t>
            </w:r>
          </w:p>
        </w:tc>
        <w:tc>
          <w:tcPr>
            <w:tcW w:w="1840" w:type="dxa"/>
            <w:vAlign w:val="bottom"/>
            <w:gridSpan w:val="2"/>
            <w:shd w:val="clear" w:color="auto" w:fill="F5F5F5"/>
          </w:tcPr>
          <w:p>
            <w:pPr>
              <w:jc w:val="center"/>
              <w:ind w:right="100"/>
              <w:spacing w:after="0"/>
              <w:rPr>
                <w:sz w:val="20"/>
                <w:szCs w:val="20"/>
                <w:color w:val="auto"/>
              </w:rPr>
            </w:pPr>
            <w:r>
              <w:rPr>
                <w:rFonts w:ascii="Arial" w:cs="Arial" w:eastAsia="Arial" w:hAnsi="Arial"/>
                <w:sz w:val="14"/>
                <w:szCs w:val="14"/>
                <w:color w:val="auto"/>
              </w:rPr>
              <w:t>February 1, 2025</w:t>
            </w:r>
          </w:p>
        </w:tc>
        <w:tc>
          <w:tcPr>
            <w:tcW w:w="1720" w:type="dxa"/>
            <w:vAlign w:val="bottom"/>
            <w:shd w:val="clear" w:color="auto" w:fill="F5F5F5"/>
          </w:tcPr>
          <w:p>
            <w:pPr>
              <w:jc w:val="center"/>
              <w:spacing w:after="0"/>
              <w:rPr>
                <w:sz w:val="20"/>
                <w:szCs w:val="20"/>
                <w:color w:val="auto"/>
              </w:rPr>
            </w:pPr>
            <w:r>
              <w:rPr>
                <w:rFonts w:ascii="Arial" w:cs="Arial" w:eastAsia="Arial" w:hAnsi="Arial"/>
                <w:sz w:val="14"/>
                <w:szCs w:val="14"/>
                <w:color w:val="auto"/>
              </w:rPr>
              <w:t>52</w:t>
            </w:r>
          </w:p>
        </w:tc>
      </w:tr>
      <w:tr>
        <w:trPr>
          <w:trHeight w:val="195"/>
        </w:trPr>
        <w:tc>
          <w:tcPr>
            <w:tcW w:w="7620" w:type="dxa"/>
            <w:vAlign w:val="bottom"/>
            <w:gridSpan w:val="2"/>
          </w:tcPr>
          <w:p>
            <w:pPr>
              <w:ind w:left="20"/>
              <w:spacing w:after="0"/>
              <w:rPr>
                <w:sz w:val="20"/>
                <w:szCs w:val="20"/>
                <w:color w:val="auto"/>
              </w:rPr>
            </w:pPr>
            <w:r>
              <w:rPr>
                <w:rFonts w:ascii="Arial" w:cs="Arial" w:eastAsia="Arial" w:hAnsi="Arial"/>
                <w:sz w:val="14"/>
                <w:szCs w:val="14"/>
                <w:color w:val="auto"/>
              </w:rPr>
              <w:t>Fiscal 2025</w:t>
            </w:r>
          </w:p>
        </w:tc>
        <w:tc>
          <w:tcPr>
            <w:tcW w:w="1840" w:type="dxa"/>
            <w:vAlign w:val="bottom"/>
            <w:gridSpan w:val="2"/>
          </w:tcPr>
          <w:p>
            <w:pPr>
              <w:jc w:val="center"/>
              <w:ind w:right="100"/>
              <w:spacing w:after="0"/>
              <w:rPr>
                <w:sz w:val="20"/>
                <w:szCs w:val="20"/>
                <w:color w:val="auto"/>
              </w:rPr>
            </w:pPr>
            <w:r>
              <w:rPr>
                <w:rFonts w:ascii="Arial" w:cs="Arial" w:eastAsia="Arial" w:hAnsi="Arial"/>
                <w:sz w:val="14"/>
                <w:szCs w:val="14"/>
                <w:color w:val="auto"/>
              </w:rPr>
              <w:t>January 31, 2026</w:t>
            </w:r>
          </w:p>
        </w:tc>
        <w:tc>
          <w:tcPr>
            <w:tcW w:w="1720" w:type="dxa"/>
            <w:vAlign w:val="bottom"/>
          </w:tcPr>
          <w:p>
            <w:pPr>
              <w:jc w:val="center"/>
              <w:spacing w:after="0"/>
              <w:rPr>
                <w:sz w:val="20"/>
                <w:szCs w:val="20"/>
                <w:color w:val="auto"/>
              </w:rPr>
            </w:pPr>
            <w:r>
              <w:rPr>
                <w:rFonts w:ascii="Arial" w:cs="Arial" w:eastAsia="Arial" w:hAnsi="Arial"/>
                <w:sz w:val="14"/>
                <w:szCs w:val="14"/>
                <w:color w:val="auto"/>
              </w:rPr>
              <w:t>52</w:t>
            </w:r>
          </w:p>
        </w:tc>
      </w:tr>
    </w:tbl>
    <w:p>
      <w:pPr>
        <w:spacing w:after="0" w:line="31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 xml:space="preserve">For additional information about the Company’s business, see </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0000FF"/>
        </w:rPr>
        <w:t>ITEM 7. MANAGEMENT’S DISCUSSION AND ANALYSIS OF FINANCIAL CONDITION AND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0000FF"/>
        </w:rPr>
        <w:t>RESULTS OF OPERATIONS</w:t>
      </w:r>
      <w:r>
        <w:rPr>
          <w:rFonts w:ascii="Arial" w:cs="Arial" w:eastAsia="Arial" w:hAnsi="Arial"/>
          <w:sz w:val="16"/>
          <w:szCs w:val="16"/>
          <w:i w:val="1"/>
          <w:iCs w:val="1"/>
          <w:color w:val="000000"/>
        </w:rPr>
        <w:t>,</w:t>
      </w:r>
      <w:r>
        <w:rPr>
          <w:rFonts w:ascii="Arial" w:cs="Arial" w:eastAsia="Arial" w:hAnsi="Arial"/>
          <w:sz w:val="16"/>
          <w:szCs w:val="16"/>
          <w:color w:val="000000"/>
        </w:rPr>
        <w:t>” as well as “</w:t>
      </w:r>
      <w:r>
        <w:rPr>
          <w:rFonts w:ascii="Arial" w:cs="Arial" w:eastAsia="Arial" w:hAnsi="Arial"/>
          <w:sz w:val="16"/>
          <w:szCs w:val="16"/>
          <w:i w:val="1"/>
          <w:iCs w:val="1"/>
          <w:u w:val="single" w:color="auto"/>
          <w:color w:val="0000FF"/>
        </w:rPr>
        <w:t>ITEM 8. FINANCIAL STATEMENTS AND SUPPLEMENTARY DATA</w:t>
      </w:r>
      <w:r>
        <w:rPr>
          <w:rFonts w:ascii="Arial" w:cs="Arial" w:eastAsia="Arial" w:hAnsi="Arial"/>
          <w:sz w:val="16"/>
          <w:szCs w:val="16"/>
          <w:color w:val="000000"/>
        </w:rPr>
        <w:t>,” of this Annual Report on Form 10-K.</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C7E65"/>
        </w:rPr>
        <w:t>SEGMENT AND BRAND INFORMATION</w:t>
      </w:r>
    </w:p>
    <w:p>
      <w:pPr>
        <w:spacing w:after="0" w:line="247"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The Company determines its segments after taking into consideration a variety of factors, including its organizational structure and the basis that it uses to allocate resources and assess performance. The Company manages its business on a geographic basis, consisting of three reportable segments: Americas; Europe, the Middle East and Africa (EMEA); and Asia-Pacific (APAC).</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 Company’s segments are as follows: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Region</w:t>
            </w:r>
          </w:p>
        </w:tc>
        <w:tc>
          <w:tcPr>
            <w:tcW w:w="120" w:type="dxa"/>
            <w:vAlign w:val="bottom"/>
            <w:tcBorders>
              <w:bottom w:val="single" w:sz="8" w:color="F5F5F5"/>
            </w:tcBorders>
          </w:tcPr>
          <w:p>
            <w:pPr>
              <w:spacing w:after="0"/>
              <w:rPr>
                <w:sz w:val="16"/>
                <w:szCs w:val="16"/>
                <w:color w:val="auto"/>
              </w:rPr>
            </w:pPr>
          </w:p>
        </w:tc>
        <w:tc>
          <w:tcPr>
            <w:tcW w:w="9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Description</w:t>
            </w:r>
          </w:p>
        </w:tc>
      </w:tr>
      <w:tr>
        <w:trPr>
          <w:trHeight w:val="200"/>
        </w:trPr>
        <w:tc>
          <w:tcPr>
            <w:tcW w:w="2080" w:type="dxa"/>
            <w:vAlign w:val="bottom"/>
            <w:gridSpan w:val="2"/>
            <w:shd w:val="clear" w:color="auto" w:fill="F5F5F5"/>
          </w:tcPr>
          <w:p>
            <w:pPr>
              <w:ind w:left="20"/>
              <w:spacing w:after="0"/>
              <w:rPr>
                <w:sz w:val="20"/>
                <w:szCs w:val="20"/>
                <w:color w:val="auto"/>
              </w:rPr>
            </w:pPr>
            <w:r>
              <w:rPr>
                <w:rFonts w:ascii="Arial" w:cs="Arial" w:eastAsia="Arial" w:hAnsi="Arial"/>
                <w:sz w:val="14"/>
                <w:szCs w:val="14"/>
                <w:color w:val="auto"/>
              </w:rPr>
              <w:t>Americas</w:t>
            </w:r>
          </w:p>
        </w:tc>
        <w:tc>
          <w:tcPr>
            <w:tcW w:w="9120" w:type="dxa"/>
            <w:vAlign w:val="bottom"/>
            <w:shd w:val="clear" w:color="auto" w:fill="F5F5F5"/>
          </w:tcPr>
          <w:p>
            <w:pPr>
              <w:ind w:left="20"/>
              <w:spacing w:after="0"/>
              <w:rPr>
                <w:sz w:val="20"/>
                <w:szCs w:val="20"/>
                <w:color w:val="auto"/>
              </w:rPr>
            </w:pPr>
            <w:r>
              <w:rPr>
                <w:rFonts w:ascii="Arial" w:cs="Arial" w:eastAsia="Arial" w:hAnsi="Arial"/>
                <w:sz w:val="14"/>
                <w:szCs w:val="14"/>
                <w:color w:val="auto"/>
              </w:rPr>
              <w:t>The Americas segment includes operations in North America and South America</w:t>
            </w:r>
          </w:p>
        </w:tc>
      </w:tr>
      <w:tr>
        <w:trPr>
          <w:trHeight w:val="198"/>
        </w:trPr>
        <w:tc>
          <w:tcPr>
            <w:tcW w:w="2080" w:type="dxa"/>
            <w:vAlign w:val="bottom"/>
            <w:gridSpan w:val="2"/>
          </w:tcPr>
          <w:p>
            <w:pPr>
              <w:ind w:left="20"/>
              <w:spacing w:after="0"/>
              <w:rPr>
                <w:sz w:val="20"/>
                <w:szCs w:val="20"/>
                <w:color w:val="auto"/>
              </w:rPr>
            </w:pPr>
            <w:r>
              <w:rPr>
                <w:rFonts w:ascii="Arial" w:cs="Arial" w:eastAsia="Arial" w:hAnsi="Arial"/>
                <w:sz w:val="14"/>
                <w:szCs w:val="14"/>
                <w:color w:val="auto"/>
              </w:rPr>
              <w:t>EMEA</w:t>
            </w:r>
          </w:p>
        </w:tc>
        <w:tc>
          <w:tcPr>
            <w:tcW w:w="9120" w:type="dxa"/>
            <w:vAlign w:val="bottom"/>
          </w:tcPr>
          <w:p>
            <w:pPr>
              <w:ind w:left="20"/>
              <w:spacing w:after="0"/>
              <w:rPr>
                <w:sz w:val="20"/>
                <w:szCs w:val="20"/>
                <w:color w:val="auto"/>
              </w:rPr>
            </w:pPr>
            <w:r>
              <w:rPr>
                <w:rFonts w:ascii="Arial" w:cs="Arial" w:eastAsia="Arial" w:hAnsi="Arial"/>
                <w:sz w:val="14"/>
                <w:szCs w:val="14"/>
                <w:color w:val="auto"/>
              </w:rPr>
              <w:t>The EMEA segment includes operations in Europe, the Middle East and Africa</w:t>
            </w:r>
          </w:p>
        </w:tc>
      </w:tr>
      <w:tr>
        <w:trPr>
          <w:trHeight w:val="207"/>
        </w:trPr>
        <w:tc>
          <w:tcPr>
            <w:tcW w:w="2080" w:type="dxa"/>
            <w:vAlign w:val="bottom"/>
            <w:gridSpan w:val="2"/>
            <w:shd w:val="clear" w:color="auto" w:fill="F5F5F5"/>
          </w:tcPr>
          <w:p>
            <w:pPr>
              <w:ind w:left="20"/>
              <w:spacing w:after="0"/>
              <w:rPr>
                <w:sz w:val="20"/>
                <w:szCs w:val="20"/>
                <w:color w:val="auto"/>
              </w:rPr>
            </w:pPr>
            <w:r>
              <w:rPr>
                <w:rFonts w:ascii="Arial" w:cs="Arial" w:eastAsia="Arial" w:hAnsi="Arial"/>
                <w:sz w:val="14"/>
                <w:szCs w:val="14"/>
                <w:color w:val="auto"/>
              </w:rPr>
              <w:t>APAC</w:t>
            </w:r>
          </w:p>
        </w:tc>
        <w:tc>
          <w:tcPr>
            <w:tcW w:w="9120" w:type="dxa"/>
            <w:vAlign w:val="bottom"/>
            <w:shd w:val="clear" w:color="auto" w:fill="F5F5F5"/>
          </w:tcPr>
          <w:p>
            <w:pPr>
              <w:ind w:left="20"/>
              <w:spacing w:after="0"/>
              <w:rPr>
                <w:sz w:val="20"/>
                <w:szCs w:val="20"/>
                <w:color w:val="auto"/>
              </w:rPr>
            </w:pPr>
            <w:r>
              <w:rPr>
                <w:rFonts w:ascii="Arial" w:cs="Arial" w:eastAsia="Arial" w:hAnsi="Arial"/>
                <w:sz w:val="14"/>
                <w:szCs w:val="14"/>
                <w:color w:val="auto"/>
              </w:rPr>
              <w:t>The APAC segment includes operations in the Asia-Pacific region, including Asia and Oceania.</w:t>
            </w:r>
          </w:p>
        </w:tc>
      </w:tr>
    </w:tbl>
    <w:p>
      <w:pPr>
        <w:spacing w:after="0" w:line="32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Company’s brand families includes Abercrombie brands and Hollister brands, each sharing a commitment to offer products of enduring quality and exceptional comfort that support global customers on their journey to being and becoming who they are.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Brand family</w:t>
            </w:r>
          </w:p>
        </w:tc>
        <w:tc>
          <w:tcPr>
            <w:tcW w:w="120" w:type="dxa"/>
            <w:vAlign w:val="bottom"/>
            <w:tcBorders>
              <w:bottom w:val="single" w:sz="8" w:color="F5F5F5"/>
            </w:tcBorders>
          </w:tcPr>
          <w:p>
            <w:pPr>
              <w:spacing w:after="0"/>
              <w:rPr>
                <w:sz w:val="16"/>
                <w:szCs w:val="16"/>
                <w:color w:val="auto"/>
              </w:rPr>
            </w:pPr>
          </w:p>
        </w:tc>
        <w:tc>
          <w:tcPr>
            <w:tcW w:w="9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Description</w:t>
            </w:r>
          </w:p>
        </w:tc>
      </w:tr>
      <w:tr>
        <w:trPr>
          <w:trHeight w:val="150"/>
        </w:trPr>
        <w:tc>
          <w:tcPr>
            <w:tcW w:w="2080" w:type="dxa"/>
            <w:vAlign w:val="bottom"/>
            <w:gridSpan w:val="2"/>
            <w:shd w:val="clear" w:color="auto" w:fill="F5F5F5"/>
          </w:tcPr>
          <w:p>
            <w:pPr>
              <w:ind w:left="20"/>
              <w:spacing w:after="0" w:line="151" w:lineRule="exact"/>
              <w:rPr>
                <w:sz w:val="20"/>
                <w:szCs w:val="20"/>
                <w:color w:val="auto"/>
              </w:rPr>
            </w:pPr>
            <w:r>
              <w:rPr>
                <w:rFonts w:ascii="Arial" w:cs="Arial" w:eastAsia="Arial" w:hAnsi="Arial"/>
                <w:sz w:val="14"/>
                <w:szCs w:val="14"/>
                <w:color w:val="auto"/>
              </w:rPr>
              <w:t>Abercrombie</w:t>
            </w:r>
          </w:p>
        </w:tc>
        <w:tc>
          <w:tcPr>
            <w:tcW w:w="9120" w:type="dxa"/>
            <w:vAlign w:val="bottom"/>
            <w:shd w:val="clear" w:color="auto" w:fill="F5F5F5"/>
          </w:tcPr>
          <w:p>
            <w:pPr>
              <w:ind w:left="20"/>
              <w:spacing w:after="0" w:line="151" w:lineRule="exact"/>
              <w:rPr>
                <w:sz w:val="20"/>
                <w:szCs w:val="20"/>
                <w:color w:val="auto"/>
              </w:rPr>
            </w:pPr>
            <w:r>
              <w:rPr>
                <w:rFonts w:ascii="Arial" w:cs="Arial" w:eastAsia="Arial" w:hAnsi="Arial"/>
                <w:sz w:val="14"/>
                <w:szCs w:val="14"/>
                <w:color w:val="auto"/>
              </w:rPr>
              <w:t>Abercrombie strives to make every day more exceptional, creating a sense of getaway through its quality apparel, accessories and fragrance</w:t>
            </w:r>
          </w:p>
        </w:tc>
      </w:tr>
      <w:tr>
        <w:trPr>
          <w:trHeight w:val="144"/>
        </w:trPr>
        <w:tc>
          <w:tcPr>
            <w:tcW w:w="1960" w:type="dxa"/>
            <w:vAlign w:val="bottom"/>
            <w:shd w:val="clear" w:color="auto" w:fill="F5F5F5"/>
          </w:tcPr>
          <w:p>
            <w:pPr>
              <w:spacing w:after="0"/>
              <w:rPr>
                <w:sz w:val="12"/>
                <w:szCs w:val="12"/>
                <w:color w:val="auto"/>
              </w:rPr>
            </w:pPr>
          </w:p>
        </w:tc>
        <w:tc>
          <w:tcPr>
            <w:tcW w:w="120" w:type="dxa"/>
            <w:vAlign w:val="bottom"/>
            <w:shd w:val="clear" w:color="auto" w:fill="F5F5F5"/>
          </w:tcPr>
          <w:p>
            <w:pPr>
              <w:spacing w:after="0"/>
              <w:rPr>
                <w:sz w:val="12"/>
                <w:szCs w:val="12"/>
                <w:color w:val="auto"/>
              </w:rPr>
            </w:pPr>
          </w:p>
        </w:tc>
        <w:tc>
          <w:tcPr>
            <w:tcW w:w="9120" w:type="dxa"/>
            <w:vAlign w:val="bottom"/>
            <w:shd w:val="clear" w:color="auto" w:fill="F5F5F5"/>
          </w:tcPr>
          <w:p>
            <w:pPr>
              <w:ind w:left="20"/>
              <w:spacing w:after="0" w:line="145" w:lineRule="exact"/>
              <w:rPr>
                <w:sz w:val="20"/>
                <w:szCs w:val="20"/>
                <w:color w:val="auto"/>
              </w:rPr>
            </w:pPr>
            <w:r>
              <w:rPr>
                <w:rFonts w:ascii="Arial" w:cs="Arial" w:eastAsia="Arial" w:hAnsi="Arial"/>
                <w:sz w:val="14"/>
                <w:szCs w:val="14"/>
                <w:color w:val="auto"/>
              </w:rPr>
              <w:t>crafted for every occasion. The Abercrombie brand family connects with customers through various supporting brands and assortment</w:t>
            </w:r>
          </w:p>
        </w:tc>
      </w:tr>
      <w:tr>
        <w:trPr>
          <w:trHeight w:val="190"/>
        </w:trPr>
        <w:tc>
          <w:tcPr>
            <w:tcW w:w="1960" w:type="dxa"/>
            <w:vAlign w:val="bottom"/>
            <w:shd w:val="clear" w:color="auto" w:fill="F5F5F5"/>
          </w:tcPr>
          <w:p>
            <w:pPr>
              <w:spacing w:after="0"/>
              <w:rPr>
                <w:sz w:val="16"/>
                <w:szCs w:val="16"/>
                <w:color w:val="auto"/>
              </w:rPr>
            </w:pPr>
          </w:p>
        </w:tc>
        <w:tc>
          <w:tcPr>
            <w:tcW w:w="120" w:type="dxa"/>
            <w:vAlign w:val="bottom"/>
            <w:shd w:val="clear" w:color="auto" w:fill="F5F5F5"/>
          </w:tcPr>
          <w:p>
            <w:pPr>
              <w:spacing w:after="0"/>
              <w:rPr>
                <w:sz w:val="16"/>
                <w:szCs w:val="16"/>
                <w:color w:val="auto"/>
              </w:rPr>
            </w:pPr>
          </w:p>
        </w:tc>
        <w:tc>
          <w:tcPr>
            <w:tcW w:w="9120" w:type="dxa"/>
            <w:vAlign w:val="bottom"/>
            <w:shd w:val="clear" w:color="auto" w:fill="F5F5F5"/>
          </w:tcPr>
          <w:p>
            <w:pPr>
              <w:ind w:left="20"/>
              <w:spacing w:after="0"/>
              <w:rPr>
                <w:sz w:val="20"/>
                <w:szCs w:val="20"/>
                <w:color w:val="auto"/>
              </w:rPr>
            </w:pPr>
            <w:r>
              <w:rPr>
                <w:rFonts w:ascii="Arial" w:cs="Arial" w:eastAsia="Arial" w:hAnsi="Arial"/>
                <w:sz w:val="14"/>
                <w:szCs w:val="14"/>
                <w:color w:val="auto"/>
              </w:rPr>
              <w:t>collections, including, but not limited to, Abercrombie &amp; Fitch, abercrombie kids, and Your Personal Best (YPB).</w:t>
            </w:r>
          </w:p>
        </w:tc>
      </w:tr>
      <w:tr>
        <w:trPr>
          <w:trHeight w:val="728"/>
        </w:trPr>
        <w:tc>
          <w:tcPr>
            <w:tcW w:w="1960" w:type="dxa"/>
            <w:vAlign w:val="bottom"/>
            <w:shd w:val="clear" w:color="auto" w:fill="F5F5F5"/>
          </w:tcPr>
          <w:p>
            <w:pPr>
              <w:spacing w:after="0"/>
              <w:rPr>
                <w:sz w:val="24"/>
                <w:szCs w:val="24"/>
                <w:color w:val="auto"/>
              </w:rPr>
            </w:pPr>
          </w:p>
        </w:tc>
        <w:tc>
          <w:tcPr>
            <w:tcW w:w="120" w:type="dxa"/>
            <w:vAlign w:val="bottom"/>
            <w:shd w:val="clear" w:color="auto" w:fill="F5F5F5"/>
          </w:tcPr>
          <w:p>
            <w:pPr>
              <w:spacing w:after="0"/>
              <w:rPr>
                <w:sz w:val="24"/>
                <w:szCs w:val="24"/>
                <w:color w:val="auto"/>
              </w:rPr>
            </w:pPr>
          </w:p>
        </w:tc>
        <w:tc>
          <w:tcPr>
            <w:tcW w:w="9120" w:type="dxa"/>
            <w:vAlign w:val="bottom"/>
            <w:shd w:val="clear" w:color="auto" w:fill="F5F5F5"/>
          </w:tcPr>
          <w:p>
            <w:pPr>
              <w:spacing w:after="0"/>
              <w:rPr>
                <w:sz w:val="24"/>
                <w:szCs w:val="24"/>
                <w:color w:val="auto"/>
              </w:rPr>
            </w:pPr>
          </w:p>
        </w:tc>
      </w:tr>
      <w:tr>
        <w:trPr>
          <w:trHeight w:val="153"/>
        </w:trPr>
        <w:tc>
          <w:tcPr>
            <w:tcW w:w="208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Hollister</w:t>
            </w:r>
          </w:p>
        </w:tc>
        <w:tc>
          <w:tcPr>
            <w:tcW w:w="9120" w:type="dxa"/>
            <w:vAlign w:val="bottom"/>
          </w:tcPr>
          <w:p>
            <w:pPr>
              <w:ind w:left="20"/>
              <w:spacing w:after="0" w:line="153" w:lineRule="exact"/>
              <w:rPr>
                <w:sz w:val="20"/>
                <w:szCs w:val="20"/>
                <w:color w:val="auto"/>
              </w:rPr>
            </w:pPr>
            <w:r>
              <w:rPr>
                <w:rFonts w:ascii="Arial" w:cs="Arial" w:eastAsia="Arial" w:hAnsi="Arial"/>
                <w:sz w:val="14"/>
                <w:szCs w:val="14"/>
                <w:color w:val="auto"/>
              </w:rPr>
              <w:t>Hollister creates quality apparel, accessories and fragrance made for capturing moments, creating memories and being unapologetically you.</w:t>
            </w:r>
          </w:p>
        </w:tc>
      </w:tr>
      <w:tr>
        <w:trPr>
          <w:trHeight w:val="144"/>
        </w:trPr>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120" w:type="dxa"/>
            <w:vAlign w:val="bottom"/>
          </w:tcPr>
          <w:p>
            <w:pPr>
              <w:ind w:left="20"/>
              <w:spacing w:after="0" w:line="145" w:lineRule="exact"/>
              <w:rPr>
                <w:sz w:val="20"/>
                <w:szCs w:val="20"/>
                <w:color w:val="auto"/>
              </w:rPr>
            </w:pPr>
            <w:r>
              <w:rPr>
                <w:rFonts w:ascii="Arial" w:cs="Arial" w:eastAsia="Arial" w:hAnsi="Arial"/>
                <w:sz w:val="14"/>
                <w:szCs w:val="14"/>
                <w:color w:val="auto"/>
              </w:rPr>
              <w:t>The Hollister brand family connects with customers through various supporting brands and assortment collections including but not limited to,</w:t>
            </w:r>
          </w:p>
        </w:tc>
      </w:tr>
      <w:tr>
        <w:trPr>
          <w:trHeight w:val="190"/>
        </w:trPr>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120" w:type="dxa"/>
            <w:vAlign w:val="bottom"/>
          </w:tcPr>
          <w:p>
            <w:pPr>
              <w:ind w:left="20"/>
              <w:spacing w:after="0"/>
              <w:rPr>
                <w:sz w:val="20"/>
                <w:szCs w:val="20"/>
                <w:color w:val="auto"/>
              </w:rPr>
            </w:pPr>
            <w:r>
              <w:rPr>
                <w:rFonts w:ascii="Arial" w:cs="Arial" w:eastAsia="Arial" w:hAnsi="Arial"/>
                <w:sz w:val="14"/>
                <w:szCs w:val="14"/>
                <w:color w:val="auto"/>
              </w:rPr>
              <w:t>Hollister and Gilly Hicks.</w:t>
            </w:r>
          </w:p>
        </w:tc>
      </w:tr>
    </w:tbl>
    <w:p>
      <w:pPr>
        <w:spacing w:after="0" w:line="322" w:lineRule="exact"/>
        <w:rPr>
          <w:sz w:val="20"/>
          <w:szCs w:val="20"/>
          <w:color w:val="auto"/>
        </w:rPr>
      </w:pPr>
    </w:p>
    <w:p>
      <w:pPr>
        <w:jc w:val="both"/>
        <w:ind w:right="240"/>
        <w:spacing w:after="0" w:line="286" w:lineRule="auto"/>
        <w:rPr>
          <w:sz w:val="20"/>
          <w:szCs w:val="20"/>
          <w:color w:val="auto"/>
        </w:rPr>
      </w:pPr>
      <w:r>
        <w:rPr>
          <w:rFonts w:ascii="Arial" w:cs="Arial" w:eastAsia="Arial" w:hAnsi="Arial"/>
          <w:sz w:val="16"/>
          <w:szCs w:val="16"/>
          <w:color w:val="auto"/>
        </w:rPr>
        <w:t>Additional information concerning the Company’s segment and geographic information is contained in Note 17, “</w:t>
      </w:r>
      <w:r>
        <w:rPr>
          <w:rFonts w:ascii="Arial" w:cs="Arial" w:eastAsia="Arial" w:hAnsi="Arial"/>
          <w:sz w:val="16"/>
          <w:szCs w:val="16"/>
          <w:i w:val="1"/>
          <w:iCs w:val="1"/>
          <w:u w:val="single" w:color="auto"/>
          <w:color w:val="0000FF"/>
        </w:rPr>
        <w:t>SEGMENT REPORTING</w:t>
      </w:r>
      <w:r>
        <w:rPr>
          <w:rFonts w:ascii="Arial" w:cs="Arial" w:eastAsia="Arial" w:hAnsi="Arial"/>
          <w:sz w:val="16"/>
          <w:szCs w:val="16"/>
          <w:color w:val="auto"/>
        </w:rPr>
        <w:t>” of the Notes to Consolidated Financial Statements included in “ITEM 8. FINANCIAL STATEMENTS AND SUPPLEMENTARY DATA” of this Annual Report on Form 10-K.</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ind w:left="720"/>
        <w:spacing w:after="0"/>
        <w:tabs>
          <w:tab w:leader="none" w:pos="556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4</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C7E65"/>
        </w:rPr>
        <w:t>STRATEGY AND KEY BUSINESS PRIORITIES</w:t>
      </w:r>
    </w:p>
    <w:p>
      <w:pPr>
        <w:spacing w:after="0" w:line="247"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The Company remains committed to, and confident in, its vision of being a global, digitally-led, omnichannel apparel retailer and continues to evaluate corporate growth opportunities and initiatives that support this vision.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Foundation for Growth</w:t>
      </w:r>
    </w:p>
    <w:p>
      <w:pPr>
        <w:spacing w:after="0" w:line="233"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The Company introduced the Always Forward Plan in June of Fiscal 2022. The Always Forward Plan is anchored on our strategic growth principles, which are to:</w:t>
      </w: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Execute focused growth plans;</w:t>
      </w:r>
    </w:p>
    <w:p>
      <w:pPr>
        <w:spacing w:after="0" w:line="18"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Accelerate an enterprise-wide digital revolution; and</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Operate with financial discipline</w:t>
      </w:r>
    </w:p>
    <w:p>
      <w:pPr>
        <w:spacing w:after="0" w:line="21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While the Company has significantly outperformed certain financial targets set forth in the Always Forward Plan, the growth principles continue to serve as a framework for the Company achieving sustainable and profitable growth and profitability.</w:t>
      </w:r>
    </w:p>
    <w:p>
      <w:pPr>
        <w:spacing w:after="0" w:line="18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Company’s strategic priorities continue to evolve based on changing consumer demands and new strategic opportunities, and management reviews and prioritizes investments and strategic focus areas to address such demands and opportunities.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Execute focused growth plans by:</w:t>
      </w:r>
    </w:p>
    <w:p>
      <w:pPr>
        <w:spacing w:after="0" w:line="29" w:lineRule="exact"/>
        <w:rPr>
          <w:sz w:val="20"/>
          <w:szCs w:val="20"/>
          <w:color w:val="auto"/>
        </w:rPr>
      </w:pPr>
    </w:p>
    <w:p>
      <w:pPr>
        <w:ind w:left="660" w:hanging="328"/>
        <w:spacing w:after="0" w:line="255"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driving sales growth across regions and brand families primarily through marketing and store investments in our owned and operating channels, while pursuing new geographies and markets via franchise, wholesale and licensing partnerships;</w:t>
      </w:r>
    </w:p>
    <w:p>
      <w:pPr>
        <w:ind w:left="660" w:hanging="328"/>
        <w:spacing w:after="0" w:line="249"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using our regionally relevant brand playbooks globally to align the brands’ products, voices, and experiences with customers, both digitally and in-store; and</w:t>
      </w: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using testing and chase strategies to deliver compelling assortments and product collections across genders.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Accelerate an enterprise-wide digital revolution to improve the customer and associate experience by:</w:t>
      </w:r>
    </w:p>
    <w:p>
      <w:pPr>
        <w:spacing w:after="0" w:line="19"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continuing to progress on our multi-year enterprise resource planning (“ERP”) transformation and cloud migration journey; and</w:t>
      </w:r>
    </w:p>
    <w:p>
      <w:pPr>
        <w:spacing w:after="0" w:line="14" w:lineRule="exact"/>
        <w:rPr>
          <w:rFonts w:ascii="Arial" w:cs="Arial" w:eastAsia="Arial" w:hAnsi="Arial"/>
          <w:sz w:val="16"/>
          <w:szCs w:val="16"/>
          <w:color w:val="auto"/>
        </w:rPr>
      </w:pPr>
    </w:p>
    <w:p>
      <w:pPr>
        <w:ind w:left="660" w:hanging="328"/>
        <w:spacing w:after="0" w:line="270"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investing in digital and technology to improve experiences across key parts of the customer journey while delivering a consistent omnichannel experience.</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Operate with financial discipline by:</w:t>
      </w:r>
    </w:p>
    <w:p>
      <w:pPr>
        <w:spacing w:after="0" w:line="29" w:lineRule="exact"/>
        <w:rPr>
          <w:sz w:val="20"/>
          <w:szCs w:val="20"/>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using our agile inventory model and pricing strategies to position the Company to support customer demand throughout the year; and</w:t>
      </w:r>
    </w:p>
    <w:p>
      <w:pPr>
        <w:spacing w:after="0" w:line="8" w:lineRule="exact"/>
        <w:rPr>
          <w:rFonts w:ascii="Arial" w:cs="Arial" w:eastAsia="Arial" w:hAnsi="Arial"/>
          <w:sz w:val="16"/>
          <w:szCs w:val="16"/>
          <w:color w:val="auto"/>
        </w:rPr>
      </w:pPr>
    </w:p>
    <w:p>
      <w:pPr>
        <w:ind w:left="660" w:hanging="328"/>
        <w:spacing w:after="0" w:line="283"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maintaining our durable balance sheet and consistent free cash flow profile, underpinned by our disciplined investment philosophy while balancing against macro environment impacts and efficiency efforts.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C7E65"/>
        </w:rPr>
        <w:t>OVERVIEW OF OPERATIONS</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Omnichannel Initiatives</w:t>
      </w:r>
    </w:p>
    <w:p>
      <w:pPr>
        <w:spacing w:after="0" w:line="26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As customer shopping preferences continue to evolve and customers increasingly shop across multiple channels, the Company aims to create best-in-class customer experiences and grow total company profitability by delivering improvements through a continuous test-and-learn approach. Over the past several years, the Company experienced an acceleration in sales fulfilled through digital channels, and continues to see a majority of sales through digital channels for the Abercrombie &amp; Fitch brand. Despite, this acceleration in the shift towards digital channels, stores continue to comprise a majority of sales for the Hollister brand’s customer. Additionally, stores continue to be an important part of our customers’ omnichannel experience. The Company believes that the customers’ shopping experience is improved by its offering of omnichannel capabilities, which include purchase-online-pickup-in-store, ship-from-store, and cross-channel returns. These features allow our customers ease of access to shop the brands’ in-store and online offerings and create a seamless transition between omnichannel capabilities.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Digital Operations</w:t>
      </w:r>
    </w:p>
    <w:p>
      <w:pPr>
        <w:spacing w:after="0" w:line="24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order to continuously improve the customer experience, including providing a more seamless and consistent shopping experience across channels, the Company continues to invest in its digital infrastructure. Such investments include upgrading our merchandising enterprise resource planning (“ERP”) system. The Company has the capability to ship merchandise to customers in more than 108 countries and process transactions in 21 currencies and through 20 forms of payment globally. The Company operates desktop and mobile websites for its brands globally, which are available in various local languages. The Company also operates two mobile applications that provide an enhanced mobile shopping experience to the customer and provide us with customer insights. The Company continues to develop and invest its mobile capabilities as mobile engagement continues to grow, with over 87% of the Company’s digital traffic generated from mobile devices in Fiscal 2024. In addition, in its efforts to expand its global brand reach, the Company also partners with certain third-party e-commerce platforms.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ind w:left="720"/>
        <w:spacing w:after="0"/>
        <w:tabs>
          <w:tab w:leader="none" w:pos="556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5</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Store Operations</w:t>
      </w:r>
    </w:p>
    <w:p>
      <w:pPr>
        <w:spacing w:after="0" w:line="2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has a goal of finding the right size, right location and right economics for omni-enabled stores that cater to local customers. During Fiscal 2024, the Company opened 65 new store locations, remodeled 48 store locations, right-sized an additional 12 store locations and closed 41 stores. The Company’s stores continue to play an essential role in creating brand awareness and serving as physical gateways to the brands. Stores also serve as local hubs for online engagement as the Company continues to evolve its omnichannel capabilities to create seamless shopping experiences.</w:t>
      </w:r>
    </w:p>
    <w:p>
      <w:pPr>
        <w:spacing w:after="0" w:line="21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of February 1, 2025, all of the retail stores operated by the Company are located in leased facilities, primarily in shopping centers. These leases generally have initial terms of between one and ten years. Certain leases also include early termination options, which can be exercised under specific conditions. The leases expire at various dates between Fiscal 2025 and Fiscal 2035.</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As of February 1, 2025, the Company operated 789 retail stores as detailed in the table below:</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00" w:type="dxa"/>
            <w:vAlign w:val="bottom"/>
            <w:tcBorders>
              <w:bottom w:val="single" w:sz="8" w:color="auto"/>
            </w:tcBorders>
          </w:tcPr>
          <w:p>
            <w:pPr>
              <w:spacing w:after="0"/>
              <w:rPr>
                <w:sz w:val="16"/>
                <w:szCs w:val="16"/>
                <w:color w:val="auto"/>
              </w:rPr>
            </w:pPr>
          </w:p>
        </w:tc>
        <w:tc>
          <w:tcPr>
            <w:tcW w:w="120" w:type="dxa"/>
            <w:vAlign w:val="bottom"/>
            <w:tcBorders>
              <w:bottom w:val="single" w:sz="8" w:color="F5F5F5"/>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Abercrombie</w:t>
            </w:r>
          </w:p>
        </w:tc>
        <w:tc>
          <w:tcPr>
            <w:tcW w:w="120" w:type="dxa"/>
            <w:vAlign w:val="bottom"/>
            <w:tcBorders>
              <w:bottom w:val="single" w:sz="8" w:color="F5F5F5"/>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Hollister</w:t>
            </w:r>
          </w:p>
        </w:tc>
        <w:tc>
          <w:tcPr>
            <w:tcW w:w="100" w:type="dxa"/>
            <w:vAlign w:val="bottom"/>
            <w:tcBorders>
              <w:bottom w:val="single" w:sz="8" w:color="F5F5F5"/>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 xml:space="preserve">Total </w:t>
            </w:r>
            <w:r>
              <w:rPr>
                <w:rFonts w:ascii="Arial" w:cs="Arial" w:eastAsia="Arial" w:hAnsi="Arial"/>
                <w:sz w:val="17"/>
                <w:szCs w:val="17"/>
                <w:color w:val="auto"/>
                <w:vertAlign w:val="superscript"/>
              </w:rPr>
              <w:t>(1)</w:t>
            </w:r>
          </w:p>
        </w:tc>
      </w:tr>
      <w:tr>
        <w:trPr>
          <w:trHeight w:val="182"/>
        </w:trPr>
        <w:tc>
          <w:tcPr>
            <w:tcW w:w="6720" w:type="dxa"/>
            <w:vAlign w:val="bottom"/>
            <w:gridSpan w:val="2"/>
            <w:shd w:val="clear" w:color="auto" w:fill="F5F5F5"/>
          </w:tcPr>
          <w:p>
            <w:pPr>
              <w:ind w:left="20"/>
              <w:spacing w:after="0"/>
              <w:rPr>
                <w:sz w:val="20"/>
                <w:szCs w:val="20"/>
                <w:color w:val="auto"/>
              </w:rPr>
            </w:pPr>
            <w:r>
              <w:rPr>
                <w:rFonts w:ascii="Arial" w:cs="Arial" w:eastAsia="Arial" w:hAnsi="Arial"/>
                <w:sz w:val="13"/>
                <w:szCs w:val="13"/>
                <w:color w:val="auto"/>
              </w:rPr>
              <w:t>Americas</w:t>
            </w:r>
          </w:p>
        </w:tc>
        <w:tc>
          <w:tcPr>
            <w:tcW w:w="1420" w:type="dxa"/>
            <w:vAlign w:val="bottom"/>
            <w:shd w:val="clear" w:color="auto" w:fill="F5F5F5"/>
          </w:tcPr>
          <w:p>
            <w:pPr>
              <w:jc w:val="right"/>
              <w:spacing w:after="0"/>
              <w:rPr>
                <w:sz w:val="20"/>
                <w:szCs w:val="20"/>
                <w:color w:val="auto"/>
              </w:rPr>
            </w:pPr>
            <w:r>
              <w:rPr>
                <w:rFonts w:ascii="Arial" w:cs="Arial" w:eastAsia="Arial" w:hAnsi="Arial"/>
                <w:sz w:val="13"/>
                <w:szCs w:val="13"/>
                <w:color w:val="auto"/>
              </w:rPr>
              <w:t>215</w:t>
            </w:r>
          </w:p>
        </w:tc>
        <w:tc>
          <w:tcPr>
            <w:tcW w:w="120" w:type="dxa"/>
            <w:vAlign w:val="bottom"/>
            <w:shd w:val="clear" w:color="auto" w:fill="F5F5F5"/>
          </w:tcPr>
          <w:p>
            <w:pPr>
              <w:spacing w:after="0"/>
              <w:rPr>
                <w:sz w:val="15"/>
                <w:szCs w:val="15"/>
                <w:color w:val="auto"/>
              </w:rPr>
            </w:pPr>
          </w:p>
        </w:tc>
        <w:tc>
          <w:tcPr>
            <w:tcW w:w="1440" w:type="dxa"/>
            <w:vAlign w:val="bottom"/>
            <w:shd w:val="clear" w:color="auto" w:fill="F5F5F5"/>
          </w:tcPr>
          <w:p>
            <w:pPr>
              <w:jc w:val="right"/>
              <w:spacing w:after="0"/>
              <w:rPr>
                <w:sz w:val="20"/>
                <w:szCs w:val="20"/>
                <w:color w:val="auto"/>
              </w:rPr>
            </w:pPr>
            <w:r>
              <w:rPr>
                <w:rFonts w:ascii="Arial" w:cs="Arial" w:eastAsia="Arial" w:hAnsi="Arial"/>
                <w:sz w:val="13"/>
                <w:szCs w:val="13"/>
                <w:color w:val="auto"/>
              </w:rPr>
              <w:t>385</w:t>
            </w:r>
          </w:p>
        </w:tc>
        <w:tc>
          <w:tcPr>
            <w:tcW w:w="100" w:type="dxa"/>
            <w:vAlign w:val="bottom"/>
            <w:shd w:val="clear" w:color="auto" w:fill="F5F5F5"/>
          </w:tcPr>
          <w:p>
            <w:pPr>
              <w:spacing w:after="0"/>
              <w:rPr>
                <w:sz w:val="15"/>
                <w:szCs w:val="15"/>
                <w:color w:val="auto"/>
              </w:rPr>
            </w:pPr>
          </w:p>
        </w:tc>
        <w:tc>
          <w:tcPr>
            <w:tcW w:w="1440" w:type="dxa"/>
            <w:vAlign w:val="bottom"/>
            <w:shd w:val="clear" w:color="auto" w:fill="F5F5F5"/>
          </w:tcPr>
          <w:p>
            <w:pPr>
              <w:jc w:val="right"/>
              <w:spacing w:after="0"/>
              <w:rPr>
                <w:sz w:val="20"/>
                <w:szCs w:val="20"/>
                <w:color w:val="auto"/>
              </w:rPr>
            </w:pPr>
            <w:r>
              <w:rPr>
                <w:rFonts w:ascii="Arial" w:cs="Arial" w:eastAsia="Arial" w:hAnsi="Arial"/>
                <w:sz w:val="13"/>
                <w:szCs w:val="13"/>
                <w:color w:val="auto"/>
              </w:rPr>
              <w:t>600</w:t>
            </w:r>
          </w:p>
        </w:tc>
      </w:tr>
      <w:tr>
        <w:trPr>
          <w:trHeight w:val="183"/>
        </w:trPr>
        <w:tc>
          <w:tcPr>
            <w:tcW w:w="6720" w:type="dxa"/>
            <w:vAlign w:val="bottom"/>
            <w:gridSpan w:val="2"/>
          </w:tcPr>
          <w:p>
            <w:pPr>
              <w:ind w:left="20"/>
              <w:spacing w:after="0"/>
              <w:rPr>
                <w:sz w:val="20"/>
                <w:szCs w:val="20"/>
                <w:color w:val="auto"/>
              </w:rPr>
            </w:pPr>
            <w:r>
              <w:rPr>
                <w:rFonts w:ascii="Arial" w:cs="Arial" w:eastAsia="Arial" w:hAnsi="Arial"/>
                <w:sz w:val="13"/>
                <w:szCs w:val="13"/>
                <w:color w:val="auto"/>
              </w:rPr>
              <w:t>EMEA</w:t>
            </w:r>
          </w:p>
        </w:tc>
        <w:tc>
          <w:tcPr>
            <w:tcW w:w="1420" w:type="dxa"/>
            <w:vAlign w:val="bottom"/>
          </w:tcPr>
          <w:p>
            <w:pPr>
              <w:jc w:val="right"/>
              <w:spacing w:after="0"/>
              <w:rPr>
                <w:sz w:val="20"/>
                <w:szCs w:val="20"/>
                <w:color w:val="auto"/>
              </w:rPr>
            </w:pPr>
            <w:r>
              <w:rPr>
                <w:rFonts w:ascii="Arial" w:cs="Arial" w:eastAsia="Arial" w:hAnsi="Arial"/>
                <w:sz w:val="13"/>
                <w:szCs w:val="13"/>
                <w:color w:val="auto"/>
              </w:rPr>
              <w:t>33</w:t>
            </w: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100</w:t>
            </w: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133</w:t>
            </w:r>
          </w:p>
        </w:tc>
      </w:tr>
      <w:tr>
        <w:trPr>
          <w:trHeight w:val="189"/>
        </w:trPr>
        <w:tc>
          <w:tcPr>
            <w:tcW w:w="6720" w:type="dxa"/>
            <w:vAlign w:val="bottom"/>
            <w:gridSpan w:val="2"/>
            <w:shd w:val="clear" w:color="auto" w:fill="F5F5F5"/>
          </w:tcPr>
          <w:p>
            <w:pPr>
              <w:ind w:left="20"/>
              <w:spacing w:after="0"/>
              <w:rPr>
                <w:sz w:val="20"/>
                <w:szCs w:val="20"/>
                <w:color w:val="auto"/>
              </w:rPr>
            </w:pPr>
            <w:r>
              <w:rPr>
                <w:rFonts w:ascii="Arial" w:cs="Arial" w:eastAsia="Arial" w:hAnsi="Arial"/>
                <w:sz w:val="13"/>
                <w:szCs w:val="13"/>
                <w:color w:val="auto"/>
              </w:rPr>
              <w:t>APAC</w:t>
            </w:r>
          </w:p>
        </w:tc>
        <w:tc>
          <w:tcPr>
            <w:tcW w:w="142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3"/>
                <w:szCs w:val="13"/>
                <w:color w:val="auto"/>
              </w:rPr>
              <w:t>30</w:t>
            </w:r>
          </w:p>
        </w:tc>
        <w:tc>
          <w:tcPr>
            <w:tcW w:w="120" w:type="dxa"/>
            <w:vAlign w:val="bottom"/>
            <w:tcBorders>
              <w:bottom w:val="single" w:sz="8" w:color="auto"/>
            </w:tcBorders>
            <w:shd w:val="clear" w:color="auto" w:fill="F5F5F5"/>
          </w:tcPr>
          <w:p>
            <w:pPr>
              <w:spacing w:after="0"/>
              <w:rPr>
                <w:sz w:val="16"/>
                <w:szCs w:val="16"/>
                <w:color w:val="auto"/>
              </w:rPr>
            </w:pPr>
          </w:p>
        </w:tc>
        <w:tc>
          <w:tcPr>
            <w:tcW w:w="144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3"/>
                <w:szCs w:val="13"/>
                <w:color w:val="auto"/>
              </w:rPr>
              <w:t>26</w:t>
            </w:r>
          </w:p>
        </w:tc>
        <w:tc>
          <w:tcPr>
            <w:tcW w:w="100" w:type="dxa"/>
            <w:vAlign w:val="bottom"/>
            <w:tcBorders>
              <w:bottom w:val="single" w:sz="8" w:color="auto"/>
            </w:tcBorders>
            <w:shd w:val="clear" w:color="auto" w:fill="F5F5F5"/>
          </w:tcPr>
          <w:p>
            <w:pPr>
              <w:spacing w:after="0"/>
              <w:rPr>
                <w:sz w:val="16"/>
                <w:szCs w:val="16"/>
                <w:color w:val="auto"/>
              </w:rPr>
            </w:pPr>
          </w:p>
        </w:tc>
        <w:tc>
          <w:tcPr>
            <w:tcW w:w="144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3"/>
                <w:szCs w:val="13"/>
                <w:color w:val="auto"/>
              </w:rPr>
              <w:t>56</w:t>
            </w:r>
          </w:p>
        </w:tc>
      </w:tr>
      <w:tr>
        <w:trPr>
          <w:trHeight w:val="188"/>
        </w:trPr>
        <w:tc>
          <w:tcPr>
            <w:tcW w:w="6720" w:type="dxa"/>
            <w:vAlign w:val="bottom"/>
            <w:gridSpan w:val="2"/>
          </w:tcPr>
          <w:p>
            <w:pPr>
              <w:ind w:left="20"/>
              <w:spacing w:after="0"/>
              <w:rPr>
                <w:sz w:val="20"/>
                <w:szCs w:val="20"/>
                <w:color w:val="auto"/>
              </w:rPr>
            </w:pPr>
            <w:r>
              <w:rPr>
                <w:rFonts w:ascii="Arial" w:cs="Arial" w:eastAsia="Arial" w:hAnsi="Arial"/>
                <w:sz w:val="13"/>
                <w:szCs w:val="13"/>
                <w:b w:val="1"/>
                <w:bCs w:val="1"/>
                <w:color w:val="auto"/>
              </w:rPr>
              <w:t>Total</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278</w:t>
            </w:r>
          </w:p>
        </w:tc>
        <w:tc>
          <w:tcPr>
            <w:tcW w:w="120" w:type="dxa"/>
            <w:vAlign w:val="bottom"/>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511</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789</w:t>
            </w:r>
          </w:p>
        </w:tc>
      </w:tr>
      <w:tr>
        <w:trPr>
          <w:trHeight w:val="21"/>
        </w:trPr>
        <w:tc>
          <w:tcPr>
            <w:tcW w:w="6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0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vertAlign w:val="superscript"/>
        </w:rPr>
        <w:t>(1)</w:t>
      </w:r>
      <w:r>
        <w:rPr>
          <w:sz w:val="20"/>
          <w:szCs w:val="20"/>
          <w:color w:val="auto"/>
        </w:rPr>
        <w:tab/>
      </w:r>
      <w:r>
        <w:rPr>
          <w:rFonts w:ascii="Arial" w:cs="Arial" w:eastAsia="Arial" w:hAnsi="Arial"/>
          <w:sz w:val="13"/>
          <w:szCs w:val="13"/>
          <w:color w:val="auto"/>
        </w:rPr>
        <w:t>Store count excludes temporary and franchise stores.</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For store count and gross square footage by geographic region and brand as of February 1, 2025, and February 3, 2024, refer to “</w:t>
      </w:r>
      <w:r>
        <w:rPr>
          <w:rFonts w:ascii="Arial" w:cs="Arial" w:eastAsia="Arial" w:hAnsi="Arial"/>
          <w:sz w:val="16"/>
          <w:szCs w:val="16"/>
          <w:i w:val="1"/>
          <w:iCs w:val="1"/>
          <w:u w:val="single" w:color="auto"/>
          <w:color w:val="0000FF"/>
        </w:rPr>
        <w:t>ITEM 7.</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0000FF"/>
        </w:rPr>
        <w:t>MANAGEMENT’S DISCUSSION AND ANALYSIS OF FINANCIAL CONDITION AND RESULTS OF OPERATIONS</w:t>
      </w:r>
      <w:r>
        <w:rPr>
          <w:rFonts w:ascii="Arial" w:cs="Arial" w:eastAsia="Arial" w:hAnsi="Arial"/>
          <w:sz w:val="16"/>
          <w:szCs w:val="16"/>
          <w:color w:val="000000"/>
        </w:rPr>
        <w:t>” of this Annual Report on Form 10-K.</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Franchise, License, and Wholesale Operations</w:t>
      </w:r>
    </w:p>
    <w:p>
      <w:pPr>
        <w:spacing w:after="0" w:line="24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 seeks to expand its global brand reach, create brand awareness and develop local presence through various franchise, licensing, and wholesale arrangements. The Company has franchise agreements under which it provides third-party partners the right to sell its product and operate stores in various geographic regions, including the Middle East, Central America, South America, and Asia. As of February 1, 2025, the Company’s franchisees operated 49 franchise stores across the Company’s brands. The Company also has license agreements under which it acts as a licensee, with various third parties providing the Company with the rights to sell apparel and accessories with licensed trademarks, such as collegiate and professional sports teams. The Company also acts as licensor under licensing agreements under which the Company provides licenses to third-party partners to manufacture and sell designated products, such as certain apparel, eyewear, and fragrances. As of February 1, 2025, the Company had 9 wholesale partnerships, primarily in EMEA.</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C7E65"/>
        </w:rPr>
        <w:t>SOURCING OF MERCHANDISE INVENTORY</w:t>
      </w:r>
    </w:p>
    <w:p>
      <w:pPr>
        <w:spacing w:after="0" w:line="26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Company uses an agile inventory model to help manage inventory costs and production volumes to reflect customer demand trends. Specifically the Company’s inventory model is intended to help enable optimization of inventory levels, increase speed and response time to react to customer demand and preferences, and promote operational agility. The Company works with its network of third-party vendors to supply compelling, high-quality product assortments to its customers. These vendors are expected to operate in compliance with the laws of their respective countries and all other applicable laws, rules, and regulations and have committed to follow the standards set forth in the Company’s Vendor Code of Conduct, regarding human rights, labor rights, environmental responsibility, and workplace safety.</w:t>
      </w:r>
    </w:p>
    <w:p>
      <w:pPr>
        <w:spacing w:after="0" w:line="21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sourced merchandise through approximately 150 vendors located in 16 countries, including the U.S., during Fiscal 2024. The Company’s largest vendor accounted for approximately 6% of merchandise sourced in Fiscal 2024, based on the cost of sourced merchandise. The Company believes its product sourcing is appropriately distributed among vendors.</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Refer to Note 6, “</w:t>
      </w:r>
      <w:r>
        <w:rPr>
          <w:rFonts w:ascii="Arial" w:cs="Arial" w:eastAsia="Arial" w:hAnsi="Arial"/>
          <w:sz w:val="16"/>
          <w:szCs w:val="16"/>
          <w:i w:val="1"/>
          <w:iCs w:val="1"/>
          <w:u w:val="single" w:color="auto"/>
          <w:color w:val="0000FF"/>
        </w:rPr>
        <w:t>INVENTORIES</w:t>
      </w:r>
      <w:r>
        <w:rPr>
          <w:rFonts w:ascii="Arial" w:cs="Arial" w:eastAsia="Arial" w:hAnsi="Arial"/>
          <w:sz w:val="16"/>
          <w:szCs w:val="16"/>
          <w:color w:val="auto"/>
        </w:rPr>
        <w:t xml:space="preserve">,” of the Notes to Consolidated Financial Statements included in </w:t>
      </w:r>
      <w:r>
        <w:rPr>
          <w:rFonts w:ascii="Arial" w:cs="Arial" w:eastAsia="Arial" w:hAnsi="Arial"/>
          <w:sz w:val="16"/>
          <w:szCs w:val="16"/>
          <w:i w:val="1"/>
          <w:iCs w:val="1"/>
          <w:u w:val="single" w:color="auto"/>
          <w:color w:val="0000FF"/>
        </w:rPr>
        <w:t>“ITEM 8. FINANCIAL STATEMENTS AND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0000FF"/>
        </w:rPr>
        <w:t>SUPPLEMENTARY DATA”</w:t>
      </w:r>
      <w:r>
        <w:rPr>
          <w:rFonts w:ascii="Arial" w:cs="Arial" w:eastAsia="Arial" w:hAnsi="Arial"/>
          <w:sz w:val="16"/>
          <w:szCs w:val="16"/>
          <w:i w:val="1"/>
          <w:iCs w:val="1"/>
          <w:color w:val="0000FF"/>
        </w:rPr>
        <w:t xml:space="preserve"> </w:t>
      </w:r>
      <w:r>
        <w:rPr>
          <w:rFonts w:ascii="Arial" w:cs="Arial" w:eastAsia="Arial" w:hAnsi="Arial"/>
          <w:sz w:val="16"/>
          <w:szCs w:val="16"/>
          <w:color w:val="000000"/>
        </w:rPr>
        <w:t>of this Annual Report on Form 10-K for a summary of inventory sourced based on vendor location and dollar cost of merchandise</w:t>
      </w:r>
      <w:r>
        <w:rPr>
          <w:rFonts w:ascii="Arial" w:cs="Arial" w:eastAsia="Arial" w:hAnsi="Arial"/>
          <w:sz w:val="16"/>
          <w:szCs w:val="16"/>
          <w:i w:val="1"/>
          <w:iCs w:val="1"/>
          <w:color w:val="0000FF"/>
        </w:rPr>
        <w:t xml:space="preserve"> </w:t>
      </w:r>
      <w:r>
        <w:rPr>
          <w:rFonts w:ascii="Arial" w:cs="Arial" w:eastAsia="Arial" w:hAnsi="Arial"/>
          <w:sz w:val="16"/>
          <w:szCs w:val="16"/>
          <w:color w:val="000000"/>
        </w:rPr>
        <w:t>receipts during Fiscal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720"/>
        <w:spacing w:after="0"/>
        <w:tabs>
          <w:tab w:leader="none" w:pos="556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6</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b w:val="1"/>
          <w:bCs w:val="1"/>
          <w:color w:val="AC7E65"/>
        </w:rPr>
        <w:t>DISTRIBUTION OF MERCHANDISE INVENTORY</w:t>
      </w:r>
    </w:p>
    <w:p>
      <w:pPr>
        <w:spacing w:after="0" w:line="24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Company’s distribution network is built to deliver inventory to Company-operated and global franchise stores and fulfill digital and wholesale orders with speed and efficiency. Generally, merchandise is shipped directly from vendors to the Company’s distribution centers, where it is received and inspected before being shipped to the Company’s stores or its digital or wholesale customers.</w:t>
      </w:r>
    </w:p>
    <w:p>
      <w:pPr>
        <w:spacing w:after="0" w:line="19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Company relies on both Company-owned and third-party distribution centers to manage the receipt, storage, sorting, packing and distribution of its merchandise. Additional information pertaining to certain of the Company’s distribution centers as of February 1, 2025 follows:</w:t>
      </w:r>
    </w:p>
    <w:p>
      <w:pPr>
        <w:spacing w:after="0" w:line="65"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8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Location</w:t>
            </w:r>
          </w:p>
        </w:tc>
        <w:tc>
          <w:tcPr>
            <w:tcW w:w="100" w:type="dxa"/>
            <w:vAlign w:val="bottom"/>
            <w:tcBorders>
              <w:bottom w:val="single" w:sz="8" w:color="F5F5F5"/>
            </w:tcBorders>
          </w:tcPr>
          <w:p>
            <w:pPr>
              <w:spacing w:after="0"/>
              <w:rPr>
                <w:sz w:val="16"/>
                <w:szCs w:val="16"/>
                <w:color w:val="auto"/>
              </w:rPr>
            </w:pPr>
          </w:p>
        </w:tc>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Company-owned or third-party</w:t>
            </w:r>
          </w:p>
        </w:tc>
      </w:tr>
      <w:tr>
        <w:trPr>
          <w:trHeight w:val="200"/>
        </w:trPr>
        <w:tc>
          <w:tcPr>
            <w:tcW w:w="8480" w:type="dxa"/>
            <w:vAlign w:val="bottom"/>
            <w:gridSpan w:val="2"/>
            <w:shd w:val="clear" w:color="auto" w:fill="F5F5F5"/>
          </w:tcPr>
          <w:p>
            <w:pPr>
              <w:spacing w:after="0"/>
              <w:rPr>
                <w:sz w:val="20"/>
                <w:szCs w:val="20"/>
                <w:color w:val="auto"/>
              </w:rPr>
            </w:pPr>
            <w:r>
              <w:rPr>
                <w:rFonts w:ascii="Arial" w:cs="Arial" w:eastAsia="Arial" w:hAnsi="Arial"/>
                <w:sz w:val="14"/>
                <w:szCs w:val="14"/>
                <w:color w:val="auto"/>
              </w:rPr>
              <w:t>New Albany, Ohio (primarily serves store and digital operations)</w:t>
            </w:r>
          </w:p>
        </w:tc>
        <w:tc>
          <w:tcPr>
            <w:tcW w:w="2700" w:type="dxa"/>
            <w:vAlign w:val="bottom"/>
            <w:shd w:val="clear" w:color="auto" w:fill="F5F5F5"/>
          </w:tcPr>
          <w:p>
            <w:pPr>
              <w:ind w:left="20"/>
              <w:spacing w:after="0"/>
              <w:rPr>
                <w:sz w:val="20"/>
                <w:szCs w:val="20"/>
                <w:color w:val="auto"/>
              </w:rPr>
            </w:pPr>
            <w:r>
              <w:rPr>
                <w:rFonts w:ascii="Arial" w:cs="Arial" w:eastAsia="Arial" w:hAnsi="Arial"/>
                <w:sz w:val="14"/>
                <w:szCs w:val="14"/>
                <w:color w:val="auto"/>
              </w:rPr>
              <w:t>Company-owned</w:t>
            </w:r>
          </w:p>
        </w:tc>
      </w:tr>
      <w:tr>
        <w:trPr>
          <w:trHeight w:val="198"/>
        </w:trPr>
        <w:tc>
          <w:tcPr>
            <w:tcW w:w="8480" w:type="dxa"/>
            <w:vAlign w:val="bottom"/>
            <w:gridSpan w:val="2"/>
          </w:tcPr>
          <w:p>
            <w:pPr>
              <w:spacing w:after="0"/>
              <w:rPr>
                <w:sz w:val="20"/>
                <w:szCs w:val="20"/>
                <w:color w:val="auto"/>
              </w:rPr>
            </w:pPr>
            <w:r>
              <w:rPr>
                <w:rFonts w:ascii="Arial" w:cs="Arial" w:eastAsia="Arial" w:hAnsi="Arial"/>
                <w:sz w:val="14"/>
                <w:szCs w:val="14"/>
                <w:color w:val="auto"/>
              </w:rPr>
              <w:t>New Albany, Ohio (serves only digital operations)</w:t>
            </w:r>
          </w:p>
        </w:tc>
        <w:tc>
          <w:tcPr>
            <w:tcW w:w="2700" w:type="dxa"/>
            <w:vAlign w:val="bottom"/>
          </w:tcPr>
          <w:p>
            <w:pPr>
              <w:ind w:left="20"/>
              <w:spacing w:after="0"/>
              <w:rPr>
                <w:sz w:val="20"/>
                <w:szCs w:val="20"/>
                <w:color w:val="auto"/>
              </w:rPr>
            </w:pPr>
            <w:r>
              <w:rPr>
                <w:rFonts w:ascii="Arial" w:cs="Arial" w:eastAsia="Arial" w:hAnsi="Arial"/>
                <w:sz w:val="14"/>
                <w:szCs w:val="14"/>
                <w:color w:val="auto"/>
              </w:rPr>
              <w:t>Company-owned</w:t>
            </w:r>
          </w:p>
        </w:tc>
      </w:tr>
      <w:tr>
        <w:trPr>
          <w:trHeight w:val="207"/>
        </w:trPr>
        <w:tc>
          <w:tcPr>
            <w:tcW w:w="8480" w:type="dxa"/>
            <w:vAlign w:val="bottom"/>
            <w:gridSpan w:val="2"/>
            <w:shd w:val="clear" w:color="auto" w:fill="F5F5F5"/>
          </w:tcPr>
          <w:p>
            <w:pPr>
              <w:spacing w:after="0"/>
              <w:rPr>
                <w:sz w:val="20"/>
                <w:szCs w:val="20"/>
                <w:color w:val="auto"/>
              </w:rPr>
            </w:pPr>
            <w:r>
              <w:rPr>
                <w:rFonts w:ascii="Arial" w:cs="Arial" w:eastAsia="Arial" w:hAnsi="Arial"/>
                <w:sz w:val="14"/>
                <w:szCs w:val="14"/>
                <w:color w:val="auto"/>
              </w:rPr>
              <w:t>Bergen op Zoom, Netherlands (primarily serves store and digital operations)</w:t>
            </w:r>
          </w:p>
        </w:tc>
        <w:tc>
          <w:tcPr>
            <w:tcW w:w="2700" w:type="dxa"/>
            <w:vAlign w:val="bottom"/>
            <w:shd w:val="clear" w:color="auto" w:fill="F5F5F5"/>
          </w:tcPr>
          <w:p>
            <w:pPr>
              <w:ind w:left="20"/>
              <w:spacing w:after="0"/>
              <w:rPr>
                <w:sz w:val="20"/>
                <w:szCs w:val="20"/>
                <w:color w:val="auto"/>
              </w:rPr>
            </w:pPr>
            <w:r>
              <w:rPr>
                <w:rFonts w:ascii="Arial" w:cs="Arial" w:eastAsia="Arial" w:hAnsi="Arial"/>
                <w:sz w:val="14"/>
                <w:szCs w:val="14"/>
                <w:color w:val="auto"/>
              </w:rPr>
              <w:t>Third-party</w:t>
            </w:r>
          </w:p>
        </w:tc>
      </w:tr>
      <w:tr>
        <w:trPr>
          <w:trHeight w:val="198"/>
        </w:trPr>
        <w:tc>
          <w:tcPr>
            <w:tcW w:w="8480" w:type="dxa"/>
            <w:vAlign w:val="bottom"/>
            <w:gridSpan w:val="2"/>
          </w:tcPr>
          <w:p>
            <w:pPr>
              <w:spacing w:after="0"/>
              <w:rPr>
                <w:sz w:val="20"/>
                <w:szCs w:val="20"/>
                <w:color w:val="auto"/>
              </w:rPr>
            </w:pPr>
            <w:r>
              <w:rPr>
                <w:rFonts w:ascii="Arial" w:cs="Arial" w:eastAsia="Arial" w:hAnsi="Arial"/>
                <w:sz w:val="14"/>
                <w:szCs w:val="14"/>
                <w:color w:val="auto"/>
              </w:rPr>
              <w:t>Shanghai, China (primarily serves store and digital operations)</w:t>
            </w:r>
          </w:p>
        </w:tc>
        <w:tc>
          <w:tcPr>
            <w:tcW w:w="2700" w:type="dxa"/>
            <w:vAlign w:val="bottom"/>
          </w:tcPr>
          <w:p>
            <w:pPr>
              <w:ind w:left="20"/>
              <w:spacing w:after="0"/>
              <w:rPr>
                <w:sz w:val="20"/>
                <w:szCs w:val="20"/>
                <w:color w:val="auto"/>
              </w:rPr>
            </w:pPr>
            <w:r>
              <w:rPr>
                <w:rFonts w:ascii="Arial" w:cs="Arial" w:eastAsia="Arial" w:hAnsi="Arial"/>
                <w:sz w:val="14"/>
                <w:szCs w:val="14"/>
                <w:color w:val="auto"/>
              </w:rPr>
              <w:t>Third-party</w:t>
            </w:r>
          </w:p>
        </w:tc>
      </w:tr>
      <w:tr>
        <w:trPr>
          <w:trHeight w:val="207"/>
        </w:trPr>
        <w:tc>
          <w:tcPr>
            <w:tcW w:w="8480" w:type="dxa"/>
            <w:vAlign w:val="bottom"/>
            <w:gridSpan w:val="2"/>
            <w:shd w:val="clear" w:color="auto" w:fill="F5F5F5"/>
          </w:tcPr>
          <w:p>
            <w:pPr>
              <w:spacing w:after="0"/>
              <w:rPr>
                <w:sz w:val="20"/>
                <w:szCs w:val="20"/>
                <w:color w:val="auto"/>
              </w:rPr>
            </w:pPr>
            <w:r>
              <w:rPr>
                <w:rFonts w:ascii="Arial" w:cs="Arial" w:eastAsia="Arial" w:hAnsi="Arial"/>
                <w:sz w:val="14"/>
                <w:szCs w:val="14"/>
                <w:color w:val="auto"/>
              </w:rPr>
              <w:t>Goodyear, Arizona (serves only digital operations)</w:t>
            </w:r>
          </w:p>
        </w:tc>
        <w:tc>
          <w:tcPr>
            <w:tcW w:w="2700" w:type="dxa"/>
            <w:vAlign w:val="bottom"/>
            <w:shd w:val="clear" w:color="auto" w:fill="F5F5F5"/>
          </w:tcPr>
          <w:p>
            <w:pPr>
              <w:ind w:left="20"/>
              <w:spacing w:after="0"/>
              <w:rPr>
                <w:sz w:val="20"/>
                <w:szCs w:val="20"/>
                <w:color w:val="auto"/>
              </w:rPr>
            </w:pPr>
            <w:r>
              <w:rPr>
                <w:rFonts w:ascii="Arial" w:cs="Arial" w:eastAsia="Arial" w:hAnsi="Arial"/>
                <w:sz w:val="14"/>
                <w:szCs w:val="14"/>
                <w:color w:val="auto"/>
              </w:rPr>
              <w:t>Third-party</w:t>
            </w:r>
          </w:p>
        </w:tc>
      </w:tr>
    </w:tbl>
    <w:p>
      <w:pPr>
        <w:spacing w:after="0" w:line="29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primarily used six contract carriers to ship merchandise and related materials to its North American customers, and several contract carriers for its global customers outside of North America during Fiscal 2024.</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C7E65"/>
        </w:rPr>
        <w:t>CUSTOMER ENGAGEMENT</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 engages with its customers through in-store and digital interactions, loyalty programs, social media platforms, mobile applications, online surveys and customer reviews, and continues to evolve in response to the feedback it receives through these channels. The Company’s customer relationship management strategies support the Company’s development of direct relationships with its customers and allow the Company to harness insights. Our brands have strong global followings on key social media platforms, and the Company also partners with brand representatives, influencers, celebrities, and athletes to market its products and communicate its brands’ identities. The Company aims to be at the forefront of customer engagement and continues to explore new methods to connect with its customers.</w:t>
      </w:r>
    </w:p>
    <w:p>
      <w:pPr>
        <w:spacing w:after="0" w:line="20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Company also offers its loyalty programs, Abercrombie’s myAbercrombie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Hollister’s Hollister House Rewards</w:t>
      </w:r>
      <w:r>
        <w:rPr>
          <w:rFonts w:ascii="Arial" w:cs="Arial" w:eastAsia="Arial" w:hAnsi="Arial"/>
          <w:sz w:val="21"/>
          <w:szCs w:val="21"/>
          <w:color w:val="auto"/>
          <w:vertAlign w:val="superscript"/>
        </w:rPr>
        <w:t>®</w:t>
      </w:r>
      <w:r>
        <w:rPr>
          <w:rFonts w:ascii="Arial" w:cs="Arial" w:eastAsia="Arial" w:hAnsi="Arial"/>
          <w:sz w:val="16"/>
          <w:szCs w:val="16"/>
          <w:color w:val="auto"/>
        </w:rPr>
        <w:t>. The Company believes that these programs are important enablers of its customer engagement strategy as the Company aims to seamlessly interact and connect with customers across all touchpoints through members-only offers, items, and experiences. Under these loyalty programs, customers accumulate points primarily based on purchase activity and earn rewards as points are converted at certain thresholds. These rewards can be redeemed for merchandise discounts either in-store or online. In addition to earning and redeeming awards, loyalty members may receive other benefits at specified spending threshold tiers, such as free shipping and extended return windows. The loyalty programs continue to provide timely customer insights and personalization opportunities, and the Company believes these programs generate repeat business and contribute to higher average transaction value.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AC7E65"/>
        </w:rPr>
        <w:t>COMPETITION</w:t>
      </w:r>
    </w:p>
    <w:p>
      <w:pPr>
        <w:spacing w:after="0" w:line="26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operates in a rapidly evolving and highly competitive retail business environment. Competitors include individual and chain specialty apparel retailers; local, regional, national and global department stores; discount stores; and digitally-native brands and online-exclusive businesses. Additionally, the Company competes for consumers’ discretionary spending with businesses in other product and experiential categories such as technology, restaurants, travel and media content.</w:t>
      </w:r>
    </w:p>
    <w:p>
      <w:pPr>
        <w:spacing w:after="0" w:line="20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competes primarily on the basis of differentiating its brands from those of its competition through product, providing high quality and newness; brand voice, amplifying and consolidating brand messaging; and experience, investing in immersive, participatory omnichannel shopping environments.</w:t>
      </w:r>
    </w:p>
    <w:p>
      <w:pPr>
        <w:spacing w:after="0" w:line="19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Operating in a highly competitive industry environment can cause the Company to engage in greater than expected promotional activity, which would result in pressure on average unit retail and profitability. Refer to “</w:t>
      </w:r>
      <w:r>
        <w:rPr>
          <w:rFonts w:ascii="Arial" w:cs="Arial" w:eastAsia="Arial" w:hAnsi="Arial"/>
          <w:sz w:val="16"/>
          <w:szCs w:val="16"/>
          <w:i w:val="1"/>
          <w:iCs w:val="1"/>
          <w:u w:val="single" w:color="auto"/>
          <w:color w:val="0000FF"/>
        </w:rPr>
        <w:t>ITEM 1A. RISK FACTORS - Our failure to operate effectively in a highly competitive and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0000FF"/>
        </w:rPr>
        <w:t>constantly evolving industry could have a material adverse impact on our business</w:t>
      </w:r>
      <w:r>
        <w:rPr>
          <w:rFonts w:ascii="Arial" w:cs="Arial" w:eastAsia="Arial" w:hAnsi="Arial"/>
          <w:sz w:val="16"/>
          <w:szCs w:val="16"/>
          <w:color w:val="000000"/>
        </w:rPr>
        <w:t>” of this Annual Report on Form 10-K for further discussion of the potential</w:t>
      </w:r>
      <w:r>
        <w:rPr>
          <w:rFonts w:ascii="Arial" w:cs="Arial" w:eastAsia="Arial" w:hAnsi="Arial"/>
          <w:sz w:val="16"/>
          <w:szCs w:val="16"/>
          <w:i w:val="1"/>
          <w:iCs w:val="1"/>
          <w:color w:val="0000FF"/>
        </w:rPr>
        <w:t xml:space="preserve"> </w:t>
      </w:r>
      <w:r>
        <w:rPr>
          <w:rFonts w:ascii="Arial" w:cs="Arial" w:eastAsia="Arial" w:hAnsi="Arial"/>
          <w:sz w:val="16"/>
          <w:szCs w:val="16"/>
          <w:color w:val="000000"/>
        </w:rPr>
        <w:t>impacts competition may have on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720"/>
        <w:spacing w:after="0"/>
        <w:tabs>
          <w:tab w:leader="none" w:pos="556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7</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b w:val="1"/>
          <w:bCs w:val="1"/>
          <w:color w:val="AC7E65"/>
        </w:rPr>
        <w:t>SEASONAL BUSINESS</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Historically, the Company’s operations have been seasonal in nature and consist of two principal selling seasons: the spring season, which includes the first and second fiscal quarters (“Spring”) and the fall season, which includes the third and fourth fiscal quarters (“Fall”). Due to the seasonal nature of the retail apparel industry, the results of operations for any current period are not necessarily indicative of the results expected for the full fiscal year and the Company could have significant fluctuations in certain asset and liability accounts. The Company historically experiences its greatest sales activity during the Fall season due to back-to-school and holiday sales periods. Refer to “</w:t>
      </w:r>
      <w:r>
        <w:rPr>
          <w:rFonts w:ascii="Arial" w:cs="Arial" w:eastAsia="Arial" w:hAnsi="Arial"/>
          <w:sz w:val="16"/>
          <w:szCs w:val="16"/>
          <w:i w:val="1"/>
          <w:iCs w:val="1"/>
          <w:u w:val="single" w:color="auto"/>
          <w:color w:val="0000FF"/>
        </w:rPr>
        <w:t>ITEM 7. MANAGEMENT’S DISCUSSION AND ANALYSIS OF FINANCIAL CONDITION</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0000FF"/>
        </w:rPr>
        <w:t>AND RESULTS OF OPERATIONS</w:t>
      </w:r>
      <w:r>
        <w:rPr>
          <w:rFonts w:ascii="Arial" w:cs="Arial" w:eastAsia="Arial" w:hAnsi="Arial"/>
          <w:sz w:val="16"/>
          <w:szCs w:val="16"/>
          <w:color w:val="000000"/>
        </w:rPr>
        <w:t>” of this Annual Report on Form 10-K for further discussion.</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C7E65"/>
        </w:rPr>
        <w:t>TRADEMARKS</w:t>
      </w:r>
    </w:p>
    <w:p>
      <w:pPr>
        <w:spacing w:after="0" w:line="247"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The trademarks Abercrombie &amp; Fitch</w:t>
      </w:r>
      <w:r>
        <w:rPr>
          <w:rFonts w:ascii="Arial" w:cs="Arial" w:eastAsia="Arial" w:hAnsi="Arial"/>
          <w:sz w:val="21"/>
          <w:szCs w:val="21"/>
          <w:color w:val="auto"/>
          <w:vertAlign w:val="superscript"/>
        </w:rPr>
        <w:t>®</w:t>
      </w:r>
      <w:r>
        <w:rPr>
          <w:rFonts w:ascii="Arial" w:cs="Arial" w:eastAsia="Arial" w:hAnsi="Arial"/>
          <w:sz w:val="16"/>
          <w:szCs w:val="16"/>
          <w:color w:val="auto"/>
        </w:rPr>
        <w:t>, abercrombie</w:t>
      </w:r>
      <w:r>
        <w:rPr>
          <w:rFonts w:ascii="Arial" w:cs="Arial" w:eastAsia="Arial" w:hAnsi="Arial"/>
          <w:sz w:val="21"/>
          <w:szCs w:val="21"/>
          <w:color w:val="auto"/>
          <w:vertAlign w:val="superscript"/>
        </w:rPr>
        <w:t>®</w:t>
      </w:r>
      <w:r>
        <w:rPr>
          <w:rFonts w:ascii="Arial" w:cs="Arial" w:eastAsia="Arial" w:hAnsi="Arial"/>
          <w:sz w:val="16"/>
          <w:szCs w:val="16"/>
          <w:color w:val="auto"/>
        </w:rPr>
        <w:t>, Hollister</w:t>
      </w:r>
      <w:r>
        <w:rPr>
          <w:rFonts w:ascii="Arial" w:cs="Arial" w:eastAsia="Arial" w:hAnsi="Arial"/>
          <w:sz w:val="21"/>
          <w:szCs w:val="21"/>
          <w:color w:val="auto"/>
          <w:vertAlign w:val="superscript"/>
        </w:rPr>
        <w:t>®</w:t>
      </w:r>
      <w:r>
        <w:rPr>
          <w:rFonts w:ascii="Arial" w:cs="Arial" w:eastAsia="Arial" w:hAnsi="Arial"/>
          <w:sz w:val="16"/>
          <w:szCs w:val="16"/>
          <w:color w:val="auto"/>
        </w:rPr>
        <w:t>, Gilly Hicks</w:t>
      </w:r>
      <w:r>
        <w:rPr>
          <w:rFonts w:ascii="Arial" w:cs="Arial" w:eastAsia="Arial" w:hAnsi="Arial"/>
          <w:sz w:val="21"/>
          <w:szCs w:val="21"/>
          <w:color w:val="auto"/>
          <w:vertAlign w:val="superscript"/>
        </w:rPr>
        <w:t>®</w:t>
      </w:r>
      <w:r>
        <w:rPr>
          <w:rFonts w:ascii="Arial" w:cs="Arial" w:eastAsia="Arial" w:hAnsi="Arial"/>
          <w:sz w:val="16"/>
          <w:szCs w:val="16"/>
          <w:color w:val="auto"/>
        </w:rPr>
        <w:t>, and the “Moose” and “Seagull” logos are registered with the U.S. Patent and Trademark Office and registered, or the Company has applications for registration pending, with the registries of countries in key markets within the Company’s sales and distribution channels. In addition, these trademarks are either registered, or the Company has applications for registration pending, with the registries of many of the foreign countries in which the manufacturers of the Company’s products are located. The Company has also registered, or has applied to register, certain other trademarks in the U.S. and around the world. The Company believes its products are identified by its trademarks and, therefore, its trademarks are of significant value. Each registered trademark has a duration of 10 to 20 years, depending on the date it was registered, and the country in which it is registered, and is subject to an indefinite number of renewals for a like period upon continued use and appropriate application. The Company intends to continue using its core trademarks and to timely renew each of its registered trademarks that remain in use.</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color w:val="AC7E65"/>
        </w:rPr>
        <w:t>INFORMATION TECHNOLOGY SYSTEMS</w:t>
      </w:r>
    </w:p>
    <w:p>
      <w:pPr>
        <w:spacing w:after="0" w:line="24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Company’s owned and third-party-operated management information technology systems consist of a full range of retail, merchandising, human resource and financial systems. These systems include applications related to point-of-sale, digital operations, inventory management, supply chain, planning, sourcing, merchandising, payroll, scheduling and financial reporting. The Company continues to invest in technology to upgrade its core systems, including its merchandising ERP system and modernizing its key data platforms, to enhance reporting and analytics, create efficiencies and to support its digital operations, omnichannel capabilities, customer relationship management tools and loyalty programs.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C7E65"/>
        </w:rPr>
        <w:t>WORKING CAPITAL</w:t>
      </w:r>
    </w:p>
    <w:p>
      <w:pPr>
        <w:spacing w:after="0" w:line="247"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Refer to “</w:t>
      </w:r>
      <w:r>
        <w:rPr>
          <w:rFonts w:ascii="Arial" w:cs="Arial" w:eastAsia="Arial" w:hAnsi="Arial"/>
          <w:sz w:val="16"/>
          <w:szCs w:val="16"/>
          <w:i w:val="1"/>
          <w:iCs w:val="1"/>
          <w:u w:val="single" w:color="auto"/>
          <w:color w:val="0000FF"/>
        </w:rPr>
        <w:t>ITEM 7. MANAGEMENT’S DISCUSSION AND ANALYSIS OF FINANCIAL CONDITION AND RESULTS OF OPERATIONS</w:t>
      </w:r>
      <w:r>
        <w:rPr>
          <w:rFonts w:ascii="Arial" w:cs="Arial" w:eastAsia="Arial" w:hAnsi="Arial"/>
          <w:sz w:val="16"/>
          <w:szCs w:val="16"/>
          <w:color w:val="auto"/>
        </w:rPr>
        <w:t>” of this Annual Report on Form 10-K for a discussion of the Company’s cash requirements and sources of cash available for working capital needs and investment opportunities.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C7E65"/>
        </w:rPr>
        <w:t>HUMAN CAPITAL MANAGEMENT</w:t>
      </w:r>
    </w:p>
    <w:p>
      <w:pPr>
        <w:spacing w:after="0" w:line="24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strives to create a culture that drives strategic and key business priorities forward, while being welcoming and inclusive, encouraging associates to impact their global communities positively. The Company believes that the strength of its unique culture is a competitive advantage, and intends to continue building upon that culture to improve performance across its business.</w:t>
      </w:r>
    </w:p>
    <w:p>
      <w:pPr>
        <w:spacing w:after="0" w:line="178"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Therefore, the Company believes that the attraction, retention, and management of qualified talent are integral to its success.  The Company has policies and practices in place that are focused on creating a culture and work environment free from abuse, harassment or discrimination of any kind. Highlights of our key human capital management programs and efforts include the following: </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720"/>
        <w:spacing w:after="0"/>
        <w:tabs>
          <w:tab w:leader="none" w:pos="556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8</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ind w:left="660" w:right="260" w:hanging="328"/>
        <w:spacing w:after="0" w:line="275" w:lineRule="auto"/>
        <w:tabs>
          <w:tab w:leader="none" w:pos="649"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78971"/>
        </w:rPr>
        <w:t xml:space="preserve">Living a corporate purpose </w:t>
      </w:r>
      <w:r>
        <w:rPr>
          <w:rFonts w:ascii="Arial" w:cs="Arial" w:eastAsia="Arial" w:hAnsi="Arial"/>
          <w:sz w:val="16"/>
          <w:szCs w:val="16"/>
          <w:color w:val="000000"/>
        </w:rPr>
        <w:t>of “Being here for you on the journey to being and becoming who you are.” The Company’s corporate purpose was</w:t>
      </w:r>
      <w:r>
        <w:rPr>
          <w:rFonts w:ascii="Arial" w:cs="Arial" w:eastAsia="Arial" w:hAnsi="Arial"/>
          <w:sz w:val="16"/>
          <w:szCs w:val="16"/>
          <w:b w:val="1"/>
          <w:bCs w:val="1"/>
          <w:color w:val="A78971"/>
        </w:rPr>
        <w:t xml:space="preserve"> </w:t>
      </w:r>
      <w:r>
        <w:rPr>
          <w:rFonts w:ascii="Arial" w:cs="Arial" w:eastAsia="Arial" w:hAnsi="Arial"/>
          <w:sz w:val="16"/>
          <w:szCs w:val="16"/>
          <w:color w:val="000000"/>
        </w:rPr>
        <w:t>developed after conducting listening sessions with its associates and its customers, and by weaving in key themes from each of the brand purposes.</w:t>
      </w:r>
    </w:p>
    <w:p>
      <w:pPr>
        <w:spacing w:after="0" w:line="2" w:lineRule="exact"/>
        <w:rPr>
          <w:rFonts w:ascii="Arial" w:cs="Arial" w:eastAsia="Arial" w:hAnsi="Arial"/>
          <w:sz w:val="16"/>
          <w:szCs w:val="16"/>
          <w:b w:val="1"/>
          <w:bCs w:val="1"/>
          <w:color w:val="auto"/>
        </w:rPr>
      </w:pPr>
    </w:p>
    <w:p>
      <w:pPr>
        <w:ind w:left="660" w:right="80" w:hanging="328"/>
        <w:spacing w:after="0" w:line="261" w:lineRule="auto"/>
        <w:tabs>
          <w:tab w:leader="none" w:pos="649"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C7E65"/>
        </w:rPr>
        <w:t xml:space="preserve">Offering competitive compensation and benefits </w:t>
      </w:r>
      <w:r>
        <w:rPr>
          <w:rFonts w:ascii="Arial" w:cs="Arial" w:eastAsia="Arial" w:hAnsi="Arial"/>
          <w:sz w:val="16"/>
          <w:szCs w:val="16"/>
          <w:color w:val="000000"/>
        </w:rPr>
        <w:t>to help the Company attract, motivate, and retain the key talent necessary to achieve</w:t>
      </w:r>
      <w:r>
        <w:rPr>
          <w:rFonts w:ascii="Arial" w:cs="Arial" w:eastAsia="Arial" w:hAnsi="Arial"/>
          <w:sz w:val="16"/>
          <w:szCs w:val="16"/>
          <w:b w:val="1"/>
          <w:bCs w:val="1"/>
          <w:color w:val="AC7E65"/>
        </w:rPr>
        <w:t xml:space="preserve"> </w:t>
      </w:r>
      <w:r>
        <w:rPr>
          <w:rFonts w:ascii="Arial" w:cs="Arial" w:eastAsia="Arial" w:hAnsi="Arial"/>
          <w:sz w:val="16"/>
          <w:szCs w:val="16"/>
          <w:color w:val="000000"/>
        </w:rPr>
        <w:t>outstanding business and financial results. The Company’s compensation offerings include cash-based and equity-based incentive awards in order to align the interests of associates and stockholders. In addition, the Company continues to provide hybrid and remote work arrangements for corporate home office associates where feasible, including “work from anywhere” days and weeks. We also support our associates and their families beyond our competitive compensation with comprehensive benefits offerings, providing eligible associates with paid parental leave in the United States and internationally based on local law, as well as adoption and fertility support benefits to all eligible associates globally.</w:t>
      </w:r>
    </w:p>
    <w:p>
      <w:pPr>
        <w:spacing w:after="0" w:line="27" w:lineRule="exact"/>
        <w:rPr>
          <w:rFonts w:ascii="Arial" w:cs="Arial" w:eastAsia="Arial" w:hAnsi="Arial"/>
          <w:sz w:val="16"/>
          <w:szCs w:val="16"/>
          <w:b w:val="1"/>
          <w:bCs w:val="1"/>
          <w:color w:val="auto"/>
        </w:rPr>
      </w:pPr>
    </w:p>
    <w:p>
      <w:pPr>
        <w:jc w:val="both"/>
        <w:ind w:left="660" w:hanging="328"/>
        <w:spacing w:after="0" w:line="265" w:lineRule="auto"/>
        <w:tabs>
          <w:tab w:leader="none" w:pos="649"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C7E65"/>
        </w:rPr>
        <w:t xml:space="preserve">Improving associate engagement </w:t>
      </w:r>
      <w:r>
        <w:rPr>
          <w:rFonts w:ascii="Arial" w:cs="Arial" w:eastAsia="Arial" w:hAnsi="Arial"/>
          <w:sz w:val="16"/>
          <w:szCs w:val="16"/>
          <w:color w:val="000000"/>
        </w:rPr>
        <w:t>through open communication channels with a focus on associate experience. The Company regularly holds all-company meetings to communicate with its associates. The Company also collects feedback through various engagement surveys throughout the year to better understand the associate experience and drive improvements, with the most recent organization-wide survey conducted in October 2024.</w:t>
      </w:r>
    </w:p>
    <w:p>
      <w:pPr>
        <w:spacing w:after="0" w:line="10" w:lineRule="exact"/>
        <w:rPr>
          <w:rFonts w:ascii="Arial" w:cs="Arial" w:eastAsia="Arial" w:hAnsi="Arial"/>
          <w:sz w:val="16"/>
          <w:szCs w:val="16"/>
          <w:b w:val="1"/>
          <w:bCs w:val="1"/>
          <w:color w:val="auto"/>
        </w:rPr>
      </w:pPr>
    </w:p>
    <w:p>
      <w:pPr>
        <w:jc w:val="both"/>
        <w:ind w:left="660" w:hanging="328"/>
        <w:spacing w:after="0" w:line="261" w:lineRule="auto"/>
        <w:tabs>
          <w:tab w:leader="none" w:pos="649"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C7E65"/>
        </w:rPr>
        <w:t xml:space="preserve">Fostering associate development </w:t>
      </w:r>
      <w:r>
        <w:rPr>
          <w:rFonts w:ascii="Arial" w:cs="Arial" w:eastAsia="Arial" w:hAnsi="Arial"/>
          <w:sz w:val="16"/>
          <w:szCs w:val="16"/>
          <w:color w:val="000000"/>
        </w:rPr>
        <w:t>by providing a wide variety of growth and development opportunities throughout associates’ careers.  This</w:t>
      </w:r>
      <w:r>
        <w:rPr>
          <w:rFonts w:ascii="Arial" w:cs="Arial" w:eastAsia="Arial" w:hAnsi="Arial"/>
          <w:sz w:val="16"/>
          <w:szCs w:val="16"/>
          <w:b w:val="1"/>
          <w:bCs w:val="1"/>
          <w:color w:val="AC7E65"/>
        </w:rPr>
        <w:t xml:space="preserve"> </w:t>
      </w:r>
      <w:r>
        <w:rPr>
          <w:rFonts w:ascii="Arial" w:cs="Arial" w:eastAsia="Arial" w:hAnsi="Arial"/>
          <w:sz w:val="16"/>
          <w:szCs w:val="16"/>
          <w:color w:val="000000"/>
        </w:rPr>
        <w:t>includes structured development programs, access to online skill development platforms, stretch assignments, internal career pathing, self-awareness exercises, and active coaching. The Company also uses leadership standards to help associates identify the core behaviors essential for their career growth, as well as personal growth, on their journey at the Company. Resources in support of these efforts include the Company’s internal job board, which empowers associates to apply for open roles and/or to seek advancement opportunities within the Company, as well as formalized talent reviews to discuss associate development opportunities.</w:t>
      </w:r>
    </w:p>
    <w:p>
      <w:pPr>
        <w:jc w:val="both"/>
        <w:ind w:left="660" w:hanging="328"/>
        <w:spacing w:after="0" w:line="247"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78971"/>
        </w:rPr>
        <w:t xml:space="preserve">Creating a culture of belonging </w:t>
      </w:r>
      <w:r>
        <w:rPr>
          <w:rFonts w:ascii="Arial" w:cs="Arial" w:eastAsia="Arial" w:hAnsi="Arial"/>
          <w:sz w:val="16"/>
          <w:szCs w:val="16"/>
          <w:color w:val="000000"/>
        </w:rPr>
        <w:t>and working to ensure that all our associates feel respected and represented. We believe that when we do this,</w:t>
      </w:r>
      <w:r>
        <w:rPr>
          <w:rFonts w:ascii="Arial" w:cs="Arial" w:eastAsia="Arial" w:hAnsi="Arial"/>
          <w:sz w:val="16"/>
          <w:szCs w:val="16"/>
          <w:b w:val="1"/>
          <w:bCs w:val="1"/>
          <w:color w:val="A78971"/>
        </w:rPr>
        <w:t xml:space="preserve"> </w:t>
      </w:r>
      <w:r>
        <w:rPr>
          <w:rFonts w:ascii="Arial" w:cs="Arial" w:eastAsia="Arial" w:hAnsi="Arial"/>
          <w:sz w:val="16"/>
          <w:szCs w:val="16"/>
          <w:color w:val="000000"/>
        </w:rPr>
        <w:t>we are stronger across every aspect of our business. The Company follows core principles to embed a sense of community into our organization, including having a workforce that reflects the communities we serve, building a leadership team that is representative of our workforce, offering voluntary training and inviting all associates to participate in any of our various associate resource groups to promote inclusion and belonging, and driving fairness through our compensation and benefits offerings.</w:t>
      </w:r>
    </w:p>
    <w:p>
      <w:pPr>
        <w:spacing w:after="0" w:line="38" w:lineRule="exact"/>
        <w:rPr>
          <w:rFonts w:ascii="Arial" w:cs="Arial" w:eastAsia="Arial" w:hAnsi="Arial"/>
          <w:sz w:val="16"/>
          <w:szCs w:val="16"/>
          <w:color w:val="auto"/>
        </w:rPr>
      </w:pPr>
    </w:p>
    <w:p>
      <w:pPr>
        <w:jc w:val="both"/>
        <w:ind w:left="660" w:hanging="328"/>
        <w:spacing w:after="0" w:line="260"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C7E65"/>
        </w:rPr>
        <w:t xml:space="preserve">Encouraging community involvement of its associates </w:t>
      </w:r>
      <w:r>
        <w:rPr>
          <w:rFonts w:ascii="Arial" w:cs="Arial" w:eastAsia="Arial" w:hAnsi="Arial"/>
          <w:sz w:val="16"/>
          <w:szCs w:val="16"/>
          <w:color w:val="000000"/>
        </w:rPr>
        <w:t>by promoting various charitable, philanthropic, and social awareness programs, which</w:t>
      </w:r>
      <w:r>
        <w:rPr>
          <w:rFonts w:ascii="Arial" w:cs="Arial" w:eastAsia="Arial" w:hAnsi="Arial"/>
          <w:sz w:val="16"/>
          <w:szCs w:val="16"/>
          <w:b w:val="1"/>
          <w:bCs w:val="1"/>
          <w:color w:val="AC7E65"/>
        </w:rPr>
        <w:t xml:space="preserve"> </w:t>
      </w:r>
      <w:r>
        <w:rPr>
          <w:rFonts w:ascii="Arial" w:cs="Arial" w:eastAsia="Arial" w:hAnsi="Arial"/>
          <w:sz w:val="16"/>
          <w:szCs w:val="16"/>
          <w:color w:val="000000"/>
        </w:rPr>
        <w:t>the Company believes fosters a collaborative and rewarding work environment. The Company provides support to global organizations in the form of cash donations, volunteerism and in-kind support. In partnership with its vendor partners, customers and associates, the Company is proud to support community partners serving youth, teens, and young adults with a focus on mental health and wellness, empowerment, and inclusion. The Company offers its associates a paid volunteer day each year for eligible volunteer work.</w:t>
      </w:r>
    </w:p>
    <w:p>
      <w:pPr>
        <w:spacing w:after="0" w:line="29" w:lineRule="exact"/>
        <w:rPr>
          <w:rFonts w:ascii="Arial" w:cs="Arial" w:eastAsia="Arial" w:hAnsi="Arial"/>
          <w:sz w:val="16"/>
          <w:szCs w:val="16"/>
          <w:color w:val="auto"/>
        </w:rPr>
      </w:pPr>
    </w:p>
    <w:p>
      <w:pPr>
        <w:jc w:val="both"/>
        <w:ind w:left="660" w:hanging="328"/>
        <w:spacing w:after="0" w:line="265" w:lineRule="auto"/>
        <w:tabs>
          <w:tab w:leader="none" w:pos="649"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C7E65"/>
        </w:rPr>
        <w:t xml:space="preserve">Focusing on the health and safety of its associates </w:t>
      </w:r>
      <w:r>
        <w:rPr>
          <w:rFonts w:ascii="Arial" w:cs="Arial" w:eastAsia="Arial" w:hAnsi="Arial"/>
          <w:sz w:val="16"/>
          <w:szCs w:val="16"/>
          <w:color w:val="000000"/>
        </w:rPr>
        <w:t>by investing in various wellness programs that are designed to enhance the physical,</w:t>
      </w:r>
      <w:r>
        <w:rPr>
          <w:rFonts w:ascii="Arial" w:cs="Arial" w:eastAsia="Arial" w:hAnsi="Arial"/>
          <w:sz w:val="16"/>
          <w:szCs w:val="16"/>
          <w:b w:val="1"/>
          <w:bCs w:val="1"/>
          <w:color w:val="AC7E65"/>
        </w:rPr>
        <w:t xml:space="preserve"> </w:t>
      </w:r>
      <w:r>
        <w:rPr>
          <w:rFonts w:ascii="Arial" w:cs="Arial" w:eastAsia="Arial" w:hAnsi="Arial"/>
          <w:sz w:val="16"/>
          <w:szCs w:val="16"/>
          <w:color w:val="000000"/>
        </w:rPr>
        <w:t>financial, and mental well-being of its associates globally. The Company provides benefits-eligible associates and their families with access to free and confidential counseling through our Employee Assistance Program, as well as free access to a mediation and mindfulness app. The Company also provides regular programming on financial planning and mental health.</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78971"/>
        </w:rPr>
        <w:t>Associates</w:t>
      </w:r>
    </w:p>
    <w:p>
      <w:pPr>
        <w:spacing w:after="0" w:line="26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employed approximately 39,200 associates globally as of February 1, 2025, of whom approximately 32,600 were part-time associates. As of February 1, 2025, the Company employed approximately 31,400 associates in the U.S., and employed approximately 7,800 associates outside of the U.S. The Company employs temporary, seasonal associates at times, particularly during Fall, when it experiences its greatest sales activity due to back-to-school and holiday sales periods. </w:t>
      </w:r>
    </w:p>
    <w:p>
      <w:pPr>
        <w:spacing w:after="0" w:line="20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proportion of associates represented by works councils and unions is not significant and is generally limited to associates in the Company’s European stores.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Board Oversight</w:t>
      </w:r>
    </w:p>
    <w:p>
      <w:pPr>
        <w:spacing w:after="0" w:line="24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A&amp;F’s Board of Directors (the “Board of Directors”) and its committees oversee human capital matters. The Compensation and Human Capital Committee of the Board of Directors oversees the Company’s overall compensation structure, policies and programs, as well as administration of the Company’s cash-based and equity-based performance award programs. Members of the Board of Directors also review succession plans for the Company’s executive officers and discuss with senior leadership the Company’s human capital management strategies, programs, policies and practices, including those relating to organizational structure and key reporting relationships, along with development of strategies and practices relating to recruitment, retention and development of the Company’s associates as needed. Additionally, the Environmental, Social and Governance Committee of the Board of Directors is responsible for the oversight of risks associated with our environmental and social strategies.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20"/>
        <w:spacing w:after="0"/>
        <w:tabs>
          <w:tab w:leader="none" w:pos="556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9</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b w:val="1"/>
          <w:bCs w:val="1"/>
          <w:color w:val="AC7E65"/>
        </w:rPr>
        <w:t>INFORMATION ABOUT OUR EXECUTIVE OFFICERS</w:t>
      </w:r>
    </w:p>
    <w:p>
      <w:pPr>
        <w:spacing w:after="0" w:line="247"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The Company’s executive officers serve at the pleasure of the Board of Directors. Set forth below is certain information regarding the executive officers of the Company as of March 31, 2025:</w:t>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C7E65"/>
        </w:rPr>
        <w:t>Fran Horowitz, 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20955</wp:posOffset>
            </wp:positionV>
            <wp:extent cx="7115175" cy="2057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2057400"/>
                    </a:xfrm>
                    <a:prstGeom prst="rect">
                      <a:avLst/>
                    </a:prstGeom>
                    <a:noFill/>
                  </pic:spPr>
                </pic:pic>
              </a:graphicData>
            </a:graphic>
          </wp:anchor>
        </w:drawing>
      </w:r>
    </w:p>
    <w:p>
      <w:pPr>
        <w:spacing w:after="0" w:line="30" w:lineRule="exact"/>
        <w:rPr>
          <w:sz w:val="20"/>
          <w:szCs w:val="20"/>
          <w:color w:val="auto"/>
        </w:rPr>
      </w:pPr>
    </w:p>
    <w:p>
      <w:pPr>
        <w:ind w:left="18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61</w:t>
      </w:r>
    </w:p>
    <w:p>
      <w:pPr>
        <w:spacing w:after="0" w:line="231" w:lineRule="exact"/>
        <w:rPr>
          <w:sz w:val="20"/>
          <w:szCs w:val="20"/>
          <w:color w:val="auto"/>
        </w:rPr>
      </w:pPr>
    </w:p>
    <w:p>
      <w:pPr>
        <w:ind w:left="1880"/>
        <w:spacing w:after="0"/>
        <w:rPr>
          <w:sz w:val="20"/>
          <w:szCs w:val="20"/>
          <w:color w:val="auto"/>
        </w:rPr>
      </w:pPr>
      <w:r>
        <w:rPr>
          <w:rFonts w:ascii="Arial" w:cs="Arial" w:eastAsia="Arial" w:hAnsi="Arial"/>
          <w:sz w:val="14"/>
          <w:szCs w:val="14"/>
          <w:b w:val="1"/>
          <w:bCs w:val="1"/>
          <w:color w:val="auto"/>
        </w:rPr>
        <w:t>Executive Roles:</w:t>
      </w:r>
    </w:p>
    <w:p>
      <w:pPr>
        <w:spacing w:after="0" w:line="35" w:lineRule="exact"/>
        <w:rPr>
          <w:sz w:val="20"/>
          <w:szCs w:val="20"/>
          <w:color w:val="auto"/>
        </w:rPr>
      </w:pPr>
    </w:p>
    <w:p>
      <w:pPr>
        <w:ind w:left="2200" w:hanging="163"/>
        <w:spacing w:after="0"/>
        <w:tabs>
          <w:tab w:leader="none" w:pos="2200" w:val="left"/>
        </w:tabs>
        <w:numPr>
          <w:ilvl w:val="0"/>
          <w:numId w:val="9"/>
        </w:numPr>
        <w:rPr>
          <w:rFonts w:ascii="Arial" w:cs="Arial" w:eastAsia="Arial" w:hAnsi="Arial"/>
          <w:sz w:val="14"/>
          <w:szCs w:val="14"/>
          <w:color w:val="auto"/>
        </w:rPr>
      </w:pPr>
      <w:r>
        <w:rPr>
          <w:rFonts w:ascii="Arial" w:cs="Arial" w:eastAsia="Arial" w:hAnsi="Arial"/>
          <w:sz w:val="14"/>
          <w:szCs w:val="14"/>
          <w:color w:val="auto"/>
        </w:rPr>
        <w:t>Chief Executive Officer, and member of the Board of Directors of the Company (February 2017 to present)</w:t>
      </w:r>
    </w:p>
    <w:p>
      <w:pPr>
        <w:spacing w:after="0" w:line="34" w:lineRule="exact"/>
        <w:rPr>
          <w:rFonts w:ascii="Arial" w:cs="Arial" w:eastAsia="Arial" w:hAnsi="Arial"/>
          <w:sz w:val="14"/>
          <w:szCs w:val="14"/>
          <w:color w:val="auto"/>
        </w:rPr>
      </w:pPr>
    </w:p>
    <w:p>
      <w:pPr>
        <w:jc w:val="both"/>
        <w:ind w:left="2200" w:right="40" w:hanging="163"/>
        <w:spacing w:after="0" w:line="235" w:lineRule="auto"/>
        <w:tabs>
          <w:tab w:leader="none" w:pos="2196" w:val="left"/>
        </w:tabs>
        <w:numPr>
          <w:ilvl w:val="0"/>
          <w:numId w:val="9"/>
        </w:numPr>
        <w:rPr>
          <w:rFonts w:ascii="Arial" w:cs="Arial" w:eastAsia="Arial" w:hAnsi="Arial"/>
          <w:sz w:val="14"/>
          <w:szCs w:val="14"/>
          <w:color w:val="auto"/>
        </w:rPr>
      </w:pPr>
      <w:r>
        <w:rPr>
          <w:rFonts w:ascii="Arial" w:cs="Arial" w:eastAsia="Arial" w:hAnsi="Arial"/>
          <w:sz w:val="14"/>
          <w:szCs w:val="14"/>
          <w:color w:val="auto"/>
        </w:rPr>
        <w:t>Former President and Chief Merchandising Officer for all brands of the Company (December 2015 to February 2017), former member of the Office of the Chairman of the Company (December 2014 to February 2017) and former Brand President of Hollister (October 2014 to December 2015)</w:t>
      </w:r>
    </w:p>
    <w:p>
      <w:pPr>
        <w:spacing w:after="0" w:line="13" w:lineRule="exact"/>
        <w:rPr>
          <w:rFonts w:ascii="Arial" w:cs="Arial" w:eastAsia="Arial" w:hAnsi="Arial"/>
          <w:sz w:val="14"/>
          <w:szCs w:val="14"/>
          <w:color w:val="auto"/>
        </w:rPr>
      </w:pPr>
    </w:p>
    <w:p>
      <w:pPr>
        <w:ind w:left="2200" w:hanging="163"/>
        <w:spacing w:after="0"/>
        <w:tabs>
          <w:tab w:leader="none" w:pos="2200" w:val="left"/>
        </w:tabs>
        <w:numPr>
          <w:ilvl w:val="0"/>
          <w:numId w:val="9"/>
        </w:numPr>
        <w:rPr>
          <w:rFonts w:ascii="Arial" w:cs="Arial" w:eastAsia="Arial" w:hAnsi="Arial"/>
          <w:sz w:val="14"/>
          <w:szCs w:val="14"/>
          <w:color w:val="auto"/>
        </w:rPr>
      </w:pPr>
      <w:r>
        <w:rPr>
          <w:rFonts w:ascii="Arial" w:cs="Arial" w:eastAsia="Arial" w:hAnsi="Arial"/>
          <w:sz w:val="14"/>
          <w:szCs w:val="14"/>
          <w:color w:val="auto"/>
        </w:rPr>
        <w:t>Former President of Ann Taylor Loft, at that time a division of ANN Inc. (October 2013 to October 2014)</w:t>
      </w:r>
    </w:p>
    <w:p>
      <w:pPr>
        <w:spacing w:after="0" w:line="41" w:lineRule="exact"/>
        <w:rPr>
          <w:rFonts w:ascii="Arial" w:cs="Arial" w:eastAsia="Arial" w:hAnsi="Arial"/>
          <w:sz w:val="14"/>
          <w:szCs w:val="14"/>
          <w:color w:val="auto"/>
        </w:rPr>
      </w:pPr>
    </w:p>
    <w:p>
      <w:pPr>
        <w:ind w:left="2200" w:right="40" w:hanging="163"/>
        <w:spacing w:after="0" w:line="244" w:lineRule="auto"/>
        <w:tabs>
          <w:tab w:leader="none" w:pos="2196" w:val="left"/>
        </w:tabs>
        <w:numPr>
          <w:ilvl w:val="0"/>
          <w:numId w:val="9"/>
        </w:numPr>
        <w:rPr>
          <w:rFonts w:ascii="Arial" w:cs="Arial" w:eastAsia="Arial" w:hAnsi="Arial"/>
          <w:sz w:val="14"/>
          <w:szCs w:val="14"/>
          <w:color w:val="auto"/>
        </w:rPr>
      </w:pPr>
      <w:r>
        <w:rPr>
          <w:rFonts w:ascii="Arial" w:cs="Arial" w:eastAsia="Arial" w:hAnsi="Arial"/>
          <w:sz w:val="14"/>
          <w:szCs w:val="14"/>
          <w:color w:val="auto"/>
        </w:rPr>
        <w:t>Formerly held various roles at Express, Inc., a specialty apparel and accessories retailer of women’s and men’s merchandise (February 2005 to November 2012), including Executive Vice President of Women’s Merchandising and Design (May 2010 to November 2012)</w:t>
      </w:r>
    </w:p>
    <w:p>
      <w:pPr>
        <w:spacing w:after="0" w:line="10" w:lineRule="exact"/>
        <w:rPr>
          <w:rFonts w:ascii="Arial" w:cs="Arial" w:eastAsia="Arial" w:hAnsi="Arial"/>
          <w:sz w:val="14"/>
          <w:szCs w:val="14"/>
          <w:color w:val="auto"/>
        </w:rPr>
      </w:pPr>
    </w:p>
    <w:p>
      <w:pPr>
        <w:ind w:left="2200" w:right="40" w:hanging="163"/>
        <w:spacing w:after="0" w:line="252" w:lineRule="auto"/>
        <w:tabs>
          <w:tab w:leader="none" w:pos="2196" w:val="left"/>
        </w:tabs>
        <w:numPr>
          <w:ilvl w:val="0"/>
          <w:numId w:val="9"/>
        </w:numPr>
        <w:rPr>
          <w:rFonts w:ascii="Arial" w:cs="Arial" w:eastAsia="Arial" w:hAnsi="Arial"/>
          <w:sz w:val="14"/>
          <w:szCs w:val="14"/>
          <w:color w:val="auto"/>
        </w:rPr>
      </w:pPr>
      <w:r>
        <w:rPr>
          <w:rFonts w:ascii="Arial" w:cs="Arial" w:eastAsia="Arial" w:hAnsi="Arial"/>
          <w:sz w:val="14"/>
          <w:szCs w:val="14"/>
          <w:color w:val="auto"/>
        </w:rPr>
        <w:t>Formerly held various merchandising roles at Bloomingdale’s and various positions at Bergdorf Goodman, Bonwit Teller and Saks Fifth Avenue</w:t>
      </w:r>
    </w:p>
    <w:p>
      <w:pPr>
        <w:spacing w:after="0" w:line="357" w:lineRule="exact"/>
        <w:rPr>
          <w:sz w:val="20"/>
          <w:szCs w:val="20"/>
          <w:color w:val="auto"/>
        </w:rPr>
      </w:pPr>
    </w:p>
    <w:p>
      <w:pPr>
        <w:ind w:left="1880"/>
        <w:spacing w:after="0"/>
        <w:rPr>
          <w:sz w:val="20"/>
          <w:szCs w:val="20"/>
          <w:color w:val="auto"/>
        </w:rPr>
      </w:pPr>
      <w:r>
        <w:rPr>
          <w:rFonts w:ascii="Arial" w:cs="Arial" w:eastAsia="Arial" w:hAnsi="Arial"/>
          <w:sz w:val="14"/>
          <w:szCs w:val="14"/>
          <w:b w:val="1"/>
          <w:bCs w:val="1"/>
          <w:color w:val="auto"/>
        </w:rPr>
        <w:t>Other Leadership Roles:</w:t>
      </w:r>
    </w:p>
    <w:p>
      <w:pPr>
        <w:spacing w:after="0" w:line="42" w:lineRule="exact"/>
        <w:rPr>
          <w:sz w:val="20"/>
          <w:szCs w:val="20"/>
          <w:color w:val="auto"/>
        </w:rPr>
      </w:pPr>
    </w:p>
    <w:p>
      <w:pPr>
        <w:ind w:left="2200" w:right="40" w:hanging="163"/>
        <w:spacing w:after="0" w:line="252" w:lineRule="auto"/>
        <w:tabs>
          <w:tab w:leader="none" w:pos="2196" w:val="left"/>
        </w:tabs>
        <w:numPr>
          <w:ilvl w:val="0"/>
          <w:numId w:val="10"/>
        </w:numPr>
        <w:rPr>
          <w:rFonts w:ascii="Arial" w:cs="Arial" w:eastAsia="Arial" w:hAnsi="Arial"/>
          <w:sz w:val="14"/>
          <w:szCs w:val="14"/>
          <w:color w:val="auto"/>
        </w:rPr>
      </w:pPr>
      <w:r>
        <w:rPr>
          <w:rFonts w:ascii="Arial" w:cs="Arial" w:eastAsia="Arial" w:hAnsi="Arial"/>
          <w:sz w:val="14"/>
          <w:szCs w:val="14"/>
          <w:color w:val="auto"/>
        </w:rPr>
        <w:t>Member of the Board of Directors of Conagra Brands, Inc. (NYSE: CAG), one of North America’s leading branded food companies (July 2021 to present)</w:t>
      </w:r>
    </w:p>
    <w:p>
      <w:pPr>
        <w:ind w:left="2200" w:right="40" w:hanging="163"/>
        <w:spacing w:after="0" w:line="263" w:lineRule="auto"/>
        <w:tabs>
          <w:tab w:leader="none" w:pos="2196" w:val="left"/>
        </w:tabs>
        <w:numPr>
          <w:ilvl w:val="0"/>
          <w:numId w:val="10"/>
        </w:numPr>
        <w:rPr>
          <w:rFonts w:ascii="Arial" w:cs="Arial" w:eastAsia="Arial" w:hAnsi="Arial"/>
          <w:sz w:val="14"/>
          <w:szCs w:val="14"/>
          <w:color w:val="auto"/>
        </w:rPr>
      </w:pPr>
      <w:r>
        <w:rPr>
          <w:rFonts w:ascii="Arial" w:cs="Arial" w:eastAsia="Arial" w:hAnsi="Arial"/>
          <w:sz w:val="14"/>
          <w:szCs w:val="14"/>
          <w:color w:val="auto"/>
        </w:rPr>
        <w:t>Member of the Board of Directors of Chief Executives for Corporate Purpose (CECP), a CEO-led coalition that helps companies transform their social strategy by providing customized resources (October 2019 to present)</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C7E65"/>
        </w:rPr>
        <w:t>Scott D. Lipesky, Executive Vice President,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20955</wp:posOffset>
            </wp:positionV>
            <wp:extent cx="7115175" cy="17487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748790"/>
                    </a:xfrm>
                    <a:prstGeom prst="rect">
                      <a:avLst/>
                    </a:prstGeom>
                    <a:noFill/>
                  </pic:spPr>
                </pic:pic>
              </a:graphicData>
            </a:graphic>
          </wp:anchor>
        </w:drawing>
      </w:r>
    </w:p>
    <w:p>
      <w:pPr>
        <w:spacing w:after="0" w:line="30" w:lineRule="exact"/>
        <w:rPr>
          <w:sz w:val="20"/>
          <w:szCs w:val="20"/>
          <w:color w:val="auto"/>
        </w:rPr>
      </w:pPr>
    </w:p>
    <w:p>
      <w:pPr>
        <w:ind w:left="18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50</w:t>
      </w:r>
    </w:p>
    <w:p>
      <w:pPr>
        <w:spacing w:after="0" w:line="217" w:lineRule="exact"/>
        <w:rPr>
          <w:sz w:val="20"/>
          <w:szCs w:val="20"/>
          <w:color w:val="auto"/>
        </w:rPr>
      </w:pPr>
    </w:p>
    <w:p>
      <w:pPr>
        <w:ind w:left="1880"/>
        <w:spacing w:after="0"/>
        <w:rPr>
          <w:sz w:val="20"/>
          <w:szCs w:val="20"/>
          <w:color w:val="auto"/>
        </w:rPr>
      </w:pPr>
      <w:r>
        <w:rPr>
          <w:rFonts w:ascii="Arial" w:cs="Arial" w:eastAsia="Arial" w:hAnsi="Arial"/>
          <w:sz w:val="14"/>
          <w:szCs w:val="14"/>
          <w:b w:val="1"/>
          <w:bCs w:val="1"/>
          <w:color w:val="auto"/>
        </w:rPr>
        <w:t>Executive Roles:</w:t>
      </w:r>
    </w:p>
    <w:p>
      <w:pPr>
        <w:spacing w:after="0" w:line="42" w:lineRule="exact"/>
        <w:rPr>
          <w:sz w:val="20"/>
          <w:szCs w:val="20"/>
          <w:color w:val="auto"/>
        </w:rPr>
      </w:pPr>
    </w:p>
    <w:p>
      <w:pPr>
        <w:ind w:left="2200" w:hanging="163"/>
        <w:spacing w:after="0"/>
        <w:tabs>
          <w:tab w:leader="none" w:pos="2200" w:val="left"/>
        </w:tabs>
        <w:numPr>
          <w:ilvl w:val="0"/>
          <w:numId w:val="11"/>
        </w:numPr>
        <w:rPr>
          <w:rFonts w:ascii="Arial" w:cs="Arial" w:eastAsia="Arial" w:hAnsi="Arial"/>
          <w:sz w:val="14"/>
          <w:szCs w:val="14"/>
          <w:b w:val="1"/>
          <w:bCs w:val="1"/>
          <w:color w:val="auto"/>
        </w:rPr>
      </w:pPr>
      <w:r>
        <w:rPr>
          <w:rFonts w:ascii="Arial" w:cs="Arial" w:eastAsia="Arial" w:hAnsi="Arial"/>
          <w:sz w:val="14"/>
          <w:szCs w:val="14"/>
          <w:color w:val="auto"/>
        </w:rPr>
        <w:t>Executive Vice President, Chief Operating Officer of the Company (November 2024 to present)</w:t>
      </w:r>
    </w:p>
    <w:p>
      <w:pPr>
        <w:spacing w:after="0" w:line="41" w:lineRule="exact"/>
        <w:rPr>
          <w:rFonts w:ascii="Arial" w:cs="Arial" w:eastAsia="Arial" w:hAnsi="Arial"/>
          <w:sz w:val="14"/>
          <w:szCs w:val="14"/>
          <w:b w:val="1"/>
          <w:bCs w:val="1"/>
          <w:color w:val="auto"/>
        </w:rPr>
      </w:pPr>
    </w:p>
    <w:p>
      <w:pPr>
        <w:ind w:left="2200" w:hanging="163"/>
        <w:spacing w:after="0"/>
        <w:tabs>
          <w:tab w:leader="none" w:pos="22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Executive Vice President, Chief Financial Officer and Chief Operating Officer of the Company (May 2023 to November 2024)</w:t>
      </w:r>
    </w:p>
    <w:p>
      <w:pPr>
        <w:spacing w:after="0" w:line="29" w:lineRule="exact"/>
        <w:rPr>
          <w:rFonts w:ascii="Arial" w:cs="Arial" w:eastAsia="Arial" w:hAnsi="Arial"/>
          <w:sz w:val="14"/>
          <w:szCs w:val="14"/>
          <w:color w:val="auto"/>
        </w:rPr>
      </w:pPr>
    </w:p>
    <w:p>
      <w:pPr>
        <w:ind w:left="2200" w:right="40" w:hanging="163"/>
        <w:spacing w:after="0" w:line="260" w:lineRule="auto"/>
        <w:tabs>
          <w:tab w:leader="none" w:pos="2196" w:val="left"/>
        </w:tabs>
        <w:numPr>
          <w:ilvl w:val="0"/>
          <w:numId w:val="11"/>
        </w:numPr>
        <w:rPr>
          <w:rFonts w:ascii="Arial" w:cs="Arial" w:eastAsia="Arial" w:hAnsi="Arial"/>
          <w:sz w:val="14"/>
          <w:szCs w:val="14"/>
          <w:color w:val="auto"/>
        </w:rPr>
      </w:pPr>
      <w:r>
        <w:rPr>
          <w:rFonts w:ascii="Arial" w:cs="Arial" w:eastAsia="Arial" w:hAnsi="Arial"/>
          <w:sz w:val="14"/>
          <w:szCs w:val="14"/>
          <w:color w:val="auto"/>
        </w:rPr>
        <w:t>Executive Vice President and Chief Financial Officer of the Company (April 2021 to May 2023); Senior Vice President and Chief Financial Officer of the Company (October 2017 to April 2021)</w:t>
      </w:r>
    </w:p>
    <w:p>
      <w:pPr>
        <w:ind w:left="2200" w:right="40" w:hanging="163"/>
        <w:spacing w:after="0" w:line="244" w:lineRule="auto"/>
        <w:tabs>
          <w:tab w:leader="none" w:pos="2196" w:val="left"/>
        </w:tabs>
        <w:numPr>
          <w:ilvl w:val="0"/>
          <w:numId w:val="11"/>
        </w:numPr>
        <w:rPr>
          <w:rFonts w:ascii="Arial" w:cs="Arial" w:eastAsia="Arial" w:hAnsi="Arial"/>
          <w:sz w:val="14"/>
          <w:szCs w:val="14"/>
          <w:color w:val="auto"/>
        </w:rPr>
      </w:pPr>
      <w:r>
        <w:rPr>
          <w:rFonts w:ascii="Arial" w:cs="Arial" w:eastAsia="Arial" w:hAnsi="Arial"/>
          <w:sz w:val="14"/>
          <w:szCs w:val="14"/>
          <w:color w:val="auto"/>
        </w:rPr>
        <w:t>Prior to rejoining the Company, formerly served as Chief Financial Officer of American Signature, Inc., a privately-held home furnishings company (October 2016 to October 2017)</w:t>
      </w:r>
    </w:p>
    <w:p>
      <w:pPr>
        <w:spacing w:after="0" w:line="10" w:lineRule="exact"/>
        <w:rPr>
          <w:rFonts w:ascii="Arial" w:cs="Arial" w:eastAsia="Arial" w:hAnsi="Arial"/>
          <w:sz w:val="14"/>
          <w:szCs w:val="14"/>
          <w:color w:val="auto"/>
        </w:rPr>
      </w:pPr>
    </w:p>
    <w:p>
      <w:pPr>
        <w:jc w:val="both"/>
        <w:ind w:left="2200" w:right="40" w:hanging="163"/>
        <w:spacing w:after="0" w:line="235" w:lineRule="auto"/>
        <w:tabs>
          <w:tab w:leader="none" w:pos="2196" w:val="left"/>
        </w:tabs>
        <w:numPr>
          <w:ilvl w:val="0"/>
          <w:numId w:val="11"/>
        </w:numPr>
        <w:rPr>
          <w:rFonts w:ascii="Arial" w:cs="Arial" w:eastAsia="Arial" w:hAnsi="Arial"/>
          <w:sz w:val="14"/>
          <w:szCs w:val="14"/>
          <w:color w:val="auto"/>
        </w:rPr>
      </w:pPr>
      <w:r>
        <w:rPr>
          <w:rFonts w:ascii="Arial" w:cs="Arial" w:eastAsia="Arial" w:hAnsi="Arial"/>
          <w:sz w:val="14"/>
          <w:szCs w:val="14"/>
          <w:color w:val="auto"/>
        </w:rPr>
        <w:t>Formerly held various leadership roles and finance positions with the Company including: Chief Financial Officer, Hollister Brand (September 2014 to October 2016); Vice President, Merchandise Finance (March 2013 to September 2014); Vice President, Financial Planning and Analysis (November 2012 to March 2013); and Senior Director, Financial Planning and Analysis (November 2010 to November 2012)</w:t>
      </w:r>
    </w:p>
    <w:p>
      <w:pPr>
        <w:spacing w:after="0" w:line="13" w:lineRule="exact"/>
        <w:rPr>
          <w:rFonts w:ascii="Arial" w:cs="Arial" w:eastAsia="Arial" w:hAnsi="Arial"/>
          <w:sz w:val="14"/>
          <w:szCs w:val="14"/>
          <w:color w:val="auto"/>
        </w:rPr>
      </w:pPr>
    </w:p>
    <w:p>
      <w:pPr>
        <w:ind w:left="2200" w:hanging="163"/>
        <w:spacing w:after="0"/>
        <w:tabs>
          <w:tab w:leader="none" w:pos="22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Former Corporate Finance Director with FTI Consulting Inc., a global financial services advisory firm</w:t>
      </w:r>
    </w:p>
    <w:p>
      <w:pPr>
        <w:spacing w:after="0" w:line="41" w:lineRule="exact"/>
        <w:rPr>
          <w:rFonts w:ascii="Arial" w:cs="Arial" w:eastAsia="Arial" w:hAnsi="Arial"/>
          <w:sz w:val="14"/>
          <w:szCs w:val="14"/>
          <w:color w:val="auto"/>
        </w:rPr>
      </w:pPr>
    </w:p>
    <w:p>
      <w:pPr>
        <w:ind w:left="2200" w:hanging="163"/>
        <w:spacing w:after="0"/>
        <w:tabs>
          <w:tab w:leader="none" w:pos="22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Former Director of Corporate Business Development with The Goodyear Tire &amp; Rubber Company</w:t>
      </w:r>
    </w:p>
    <w:p>
      <w:pPr>
        <w:spacing w:after="0" w:line="29" w:lineRule="exact"/>
        <w:rPr>
          <w:rFonts w:ascii="Arial" w:cs="Arial" w:eastAsia="Arial" w:hAnsi="Arial"/>
          <w:sz w:val="14"/>
          <w:szCs w:val="14"/>
          <w:color w:val="auto"/>
        </w:rPr>
      </w:pPr>
    </w:p>
    <w:p>
      <w:pPr>
        <w:ind w:left="2200" w:hanging="163"/>
        <w:spacing w:after="0"/>
        <w:tabs>
          <w:tab w:leader="none" w:pos="22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Formerly held position as a Certified Public Accountant with PricewaterhouseCoopers LLP</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C7E65"/>
        </w:rPr>
        <w:t>Robert J. Ball, Senior Vice President,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0"/>
                    </a:xfrm>
                    <a:prstGeom prst="rect">
                      <a:avLst/>
                    </a:prstGeom>
                    <a:noFill/>
                  </pic:spPr>
                </pic:pic>
              </a:graphicData>
            </a:graphic>
          </wp:anchor>
        </w:drawing>
      </w:r>
    </w:p>
    <w:p>
      <w:pPr>
        <w:spacing w:after="0" w:line="44" w:lineRule="exact"/>
        <w:rPr>
          <w:sz w:val="20"/>
          <w:szCs w:val="20"/>
          <w:color w:val="auto"/>
        </w:rPr>
      </w:pPr>
    </w:p>
    <w:p>
      <w:pPr>
        <w:ind w:left="192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45</w:t>
      </w:r>
    </w:p>
    <w:p>
      <w:pPr>
        <w:spacing w:after="0" w:line="231" w:lineRule="exact"/>
        <w:rPr>
          <w:sz w:val="20"/>
          <w:szCs w:val="20"/>
          <w:color w:val="auto"/>
        </w:rPr>
      </w:pPr>
    </w:p>
    <w:p>
      <w:pPr>
        <w:ind w:left="1920"/>
        <w:spacing w:after="0"/>
        <w:rPr>
          <w:sz w:val="20"/>
          <w:szCs w:val="20"/>
          <w:color w:val="auto"/>
        </w:rPr>
      </w:pPr>
      <w:r>
        <w:rPr>
          <w:rFonts w:ascii="Arial" w:cs="Arial" w:eastAsia="Arial" w:hAnsi="Arial"/>
          <w:sz w:val="14"/>
          <w:szCs w:val="14"/>
          <w:b w:val="1"/>
          <w:bCs w:val="1"/>
          <w:color w:val="auto"/>
        </w:rPr>
        <w:t>Executive Roles:</w:t>
      </w:r>
    </w:p>
    <w:p>
      <w:pPr>
        <w:spacing w:after="0" w:line="55" w:lineRule="exact"/>
        <w:rPr>
          <w:sz w:val="20"/>
          <w:szCs w:val="20"/>
          <w:color w:val="auto"/>
        </w:rPr>
      </w:pPr>
    </w:p>
    <w:p>
      <w:pPr>
        <w:ind w:left="2240" w:hanging="149"/>
        <w:spacing w:after="0"/>
        <w:tabs>
          <w:tab w:leader="none" w:pos="22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Senior Vice President, Chief Financial Officer of the Company (November 2024 to present)</w:t>
      </w:r>
    </w:p>
    <w:p>
      <w:pPr>
        <w:spacing w:after="0" w:line="55" w:lineRule="exact"/>
        <w:rPr>
          <w:rFonts w:ascii="Arial" w:cs="Arial" w:eastAsia="Arial" w:hAnsi="Arial"/>
          <w:sz w:val="14"/>
          <w:szCs w:val="14"/>
          <w:color w:val="auto"/>
        </w:rPr>
      </w:pPr>
    </w:p>
    <w:p>
      <w:pPr>
        <w:ind w:left="2240" w:hanging="149"/>
        <w:spacing w:after="0"/>
        <w:tabs>
          <w:tab w:leader="none" w:pos="22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Senior Vice President, Corporate Finance, Investor Relations, and Treasury of the Company (May 2023 to November 2024)</w:t>
      </w:r>
    </w:p>
    <w:p>
      <w:pPr>
        <w:spacing w:after="0" w:line="68" w:lineRule="exact"/>
        <w:rPr>
          <w:rFonts w:ascii="Arial" w:cs="Arial" w:eastAsia="Arial" w:hAnsi="Arial"/>
          <w:sz w:val="14"/>
          <w:szCs w:val="14"/>
          <w:color w:val="auto"/>
        </w:rPr>
      </w:pPr>
    </w:p>
    <w:p>
      <w:pPr>
        <w:ind w:left="2260" w:right="160" w:hanging="169"/>
        <w:spacing w:after="0" w:line="283" w:lineRule="auto"/>
        <w:tabs>
          <w:tab w:leader="none" w:pos="2256" w:val="left"/>
        </w:tabs>
        <w:numPr>
          <w:ilvl w:val="0"/>
          <w:numId w:val="12"/>
        </w:numPr>
        <w:rPr>
          <w:rFonts w:ascii="Arial" w:cs="Arial" w:eastAsia="Arial" w:hAnsi="Arial"/>
          <w:sz w:val="14"/>
          <w:szCs w:val="14"/>
          <w:color w:val="auto"/>
        </w:rPr>
      </w:pPr>
      <w:r>
        <w:rPr>
          <w:rFonts w:ascii="Arial" w:cs="Arial" w:eastAsia="Arial" w:hAnsi="Arial"/>
          <w:sz w:val="14"/>
          <w:szCs w:val="14"/>
          <w:color w:val="auto"/>
        </w:rPr>
        <w:t>Formerly held various finance and leadership positions with the Company including: Group Vice President, Corporate Finance and Transformation Management Office (August 2022 to May 2023); Vice President/Group Vice President, Corporate Finance (January 2018 to August 2022); and Chief Financial Officer, Abercrombie &amp; Fitch and abercrombie kids Brand (September 2014 to January 2018)</w:t>
      </w:r>
    </w:p>
    <w:p>
      <w:pPr>
        <w:spacing w:after="0" w:line="10" w:lineRule="exact"/>
        <w:rPr>
          <w:rFonts w:ascii="Arial" w:cs="Arial" w:eastAsia="Arial" w:hAnsi="Arial"/>
          <w:sz w:val="14"/>
          <w:szCs w:val="14"/>
          <w:color w:val="auto"/>
        </w:rPr>
      </w:pPr>
    </w:p>
    <w:p>
      <w:pPr>
        <w:ind w:left="2260" w:right="100" w:hanging="169"/>
        <w:spacing w:after="0" w:line="285" w:lineRule="auto"/>
        <w:tabs>
          <w:tab w:leader="none" w:pos="2256" w:val="left"/>
        </w:tabs>
        <w:numPr>
          <w:ilvl w:val="0"/>
          <w:numId w:val="12"/>
        </w:numPr>
        <w:rPr>
          <w:rFonts w:ascii="Arial" w:cs="Arial" w:eastAsia="Arial" w:hAnsi="Arial"/>
          <w:sz w:val="14"/>
          <w:szCs w:val="14"/>
          <w:color w:val="auto"/>
        </w:rPr>
      </w:pPr>
      <w:r>
        <w:rPr>
          <w:rFonts w:ascii="Arial" w:cs="Arial" w:eastAsia="Arial" w:hAnsi="Arial"/>
          <w:sz w:val="14"/>
          <w:szCs w:val="14"/>
          <w:color w:val="auto"/>
        </w:rPr>
        <w:t>Formerly held roles of increasing responsibility in the Company’s finance department, including roles in financial reporting, financial planning and analysis, and real estate accounting (January 2003 to September 2014)</w:t>
      </w:r>
    </w:p>
    <w:p>
      <w:pPr>
        <w:spacing w:after="0" w:line="200" w:lineRule="exact"/>
        <w:rPr>
          <w:sz w:val="20"/>
          <w:szCs w:val="20"/>
          <w:color w:val="auto"/>
        </w:rPr>
      </w:pPr>
    </w:p>
    <w:p>
      <w:pPr>
        <w:spacing w:after="0" w:line="33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C7E65"/>
        </w:rPr>
        <w:t>Samir Desai, Executive Vice President, Chief Digital and Technology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2515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251585"/>
                    </a:xfrm>
                    <a:prstGeom prst="rect">
                      <a:avLst/>
                    </a:prstGeom>
                    <a:noFill/>
                  </pic:spPr>
                </pic:pic>
              </a:graphicData>
            </a:graphic>
          </wp:anchor>
        </w:drawing>
      </w:r>
    </w:p>
    <w:p>
      <w:pPr>
        <w:spacing w:after="0" w:line="44" w:lineRule="exact"/>
        <w:rPr>
          <w:sz w:val="20"/>
          <w:szCs w:val="20"/>
          <w:color w:val="auto"/>
        </w:rPr>
      </w:pPr>
    </w:p>
    <w:p>
      <w:pPr>
        <w:ind w:left="18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44</w:t>
      </w:r>
    </w:p>
    <w:p>
      <w:pPr>
        <w:spacing w:after="0" w:line="231" w:lineRule="exact"/>
        <w:rPr>
          <w:sz w:val="20"/>
          <w:szCs w:val="20"/>
          <w:color w:val="auto"/>
        </w:rPr>
      </w:pPr>
    </w:p>
    <w:p>
      <w:pPr>
        <w:ind w:left="1880"/>
        <w:spacing w:after="0"/>
        <w:rPr>
          <w:sz w:val="20"/>
          <w:szCs w:val="20"/>
          <w:color w:val="auto"/>
        </w:rPr>
      </w:pPr>
      <w:r>
        <w:rPr>
          <w:rFonts w:ascii="Arial" w:cs="Arial" w:eastAsia="Arial" w:hAnsi="Arial"/>
          <w:sz w:val="14"/>
          <w:szCs w:val="14"/>
          <w:b w:val="1"/>
          <w:bCs w:val="1"/>
          <w:color w:val="auto"/>
        </w:rPr>
        <w:t>Executive Roles:</w:t>
      </w:r>
    </w:p>
    <w:p>
      <w:pPr>
        <w:spacing w:after="0" w:line="42" w:lineRule="exact"/>
        <w:rPr>
          <w:sz w:val="20"/>
          <w:szCs w:val="20"/>
          <w:color w:val="auto"/>
        </w:rPr>
      </w:pPr>
    </w:p>
    <w:p>
      <w:pPr>
        <w:ind w:left="2200" w:hanging="163"/>
        <w:spacing w:after="0"/>
        <w:tabs>
          <w:tab w:leader="none" w:pos="22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Executive Vice President, Chief Digital and Technology Officer of the Company (July 2021 to present)</w:t>
      </w:r>
    </w:p>
    <w:p>
      <w:pPr>
        <w:spacing w:after="0" w:line="68" w:lineRule="exact"/>
        <w:rPr>
          <w:rFonts w:ascii="Arial" w:cs="Arial" w:eastAsia="Arial" w:hAnsi="Arial"/>
          <w:sz w:val="14"/>
          <w:szCs w:val="14"/>
          <w:color w:val="auto"/>
        </w:rPr>
      </w:pPr>
    </w:p>
    <w:p>
      <w:pPr>
        <w:ind w:left="2200" w:right="120" w:hanging="163"/>
        <w:spacing w:after="0" w:line="281" w:lineRule="auto"/>
        <w:tabs>
          <w:tab w:leader="none" w:pos="2196" w:val="left"/>
        </w:tabs>
        <w:numPr>
          <w:ilvl w:val="0"/>
          <w:numId w:val="13"/>
        </w:numPr>
        <w:rPr>
          <w:rFonts w:ascii="Arial" w:cs="Arial" w:eastAsia="Arial" w:hAnsi="Arial"/>
          <w:sz w:val="14"/>
          <w:szCs w:val="14"/>
          <w:color w:val="auto"/>
        </w:rPr>
      </w:pPr>
      <w:r>
        <w:rPr>
          <w:rFonts w:ascii="Arial" w:cs="Arial" w:eastAsia="Arial" w:hAnsi="Arial"/>
          <w:sz w:val="14"/>
          <w:szCs w:val="14"/>
          <w:color w:val="auto"/>
        </w:rPr>
        <w:t>Formerly held various leadership and technology positions at Equinox Group, a luxury fitness company that operates several lifestyle brands (October 2005 to June 2021), including: Chief Technology Officer (April 2016 to June 2021), Vice President, Technology (April 2013 to April 2016), Senior Director Technology (April 2011 to April 2013), Director Technology (October 2005 to April 2011)</w:t>
      </w:r>
    </w:p>
    <w:p>
      <w:pPr>
        <w:spacing w:after="0" w:line="1" w:lineRule="exact"/>
        <w:rPr>
          <w:rFonts w:ascii="Arial" w:cs="Arial" w:eastAsia="Arial" w:hAnsi="Arial"/>
          <w:sz w:val="14"/>
          <w:szCs w:val="14"/>
          <w:color w:val="auto"/>
        </w:rPr>
      </w:pPr>
    </w:p>
    <w:p>
      <w:pPr>
        <w:ind w:left="2200" w:right="320" w:hanging="163"/>
        <w:spacing w:after="0" w:line="305" w:lineRule="auto"/>
        <w:tabs>
          <w:tab w:leader="none" w:pos="2196" w:val="left"/>
        </w:tabs>
        <w:numPr>
          <w:ilvl w:val="0"/>
          <w:numId w:val="13"/>
        </w:numPr>
        <w:rPr>
          <w:rFonts w:ascii="Arial" w:cs="Arial" w:eastAsia="Arial" w:hAnsi="Arial"/>
          <w:sz w:val="14"/>
          <w:szCs w:val="14"/>
          <w:color w:val="auto"/>
        </w:rPr>
      </w:pPr>
      <w:r>
        <w:rPr>
          <w:rFonts w:ascii="Arial" w:cs="Arial" w:eastAsia="Arial" w:hAnsi="Arial"/>
          <w:sz w:val="14"/>
          <w:szCs w:val="14"/>
          <w:color w:val="auto"/>
        </w:rPr>
        <w:t>Formerly held technology roles at Intertex Apparel Group, a manufacturer and importer of branded and private label apparel (July 2002 to October 2005), including Director, Information Technology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10</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C7E65"/>
        </w:rPr>
        <w:t>Gregory J. Henchel, Executive Vice President, 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20955</wp:posOffset>
            </wp:positionV>
            <wp:extent cx="7115175" cy="15944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594485"/>
                    </a:xfrm>
                    <a:prstGeom prst="rect">
                      <a:avLst/>
                    </a:prstGeom>
                    <a:noFill/>
                  </pic:spPr>
                </pic:pic>
              </a:graphicData>
            </a:graphic>
          </wp:anchor>
        </w:drawing>
      </w:r>
    </w:p>
    <w:p>
      <w:pPr>
        <w:spacing w:after="0" w:line="30" w:lineRule="exact"/>
        <w:rPr>
          <w:sz w:val="20"/>
          <w:szCs w:val="20"/>
          <w:color w:val="auto"/>
        </w:rPr>
      </w:pPr>
    </w:p>
    <w:p>
      <w:pPr>
        <w:ind w:left="18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57</w:t>
      </w:r>
    </w:p>
    <w:p>
      <w:pPr>
        <w:spacing w:after="0" w:line="217" w:lineRule="exact"/>
        <w:rPr>
          <w:sz w:val="20"/>
          <w:szCs w:val="20"/>
          <w:color w:val="auto"/>
        </w:rPr>
      </w:pPr>
    </w:p>
    <w:p>
      <w:pPr>
        <w:ind w:left="1880"/>
        <w:spacing w:after="0"/>
        <w:rPr>
          <w:sz w:val="20"/>
          <w:szCs w:val="20"/>
          <w:color w:val="auto"/>
        </w:rPr>
      </w:pPr>
      <w:r>
        <w:rPr>
          <w:rFonts w:ascii="Arial" w:cs="Arial" w:eastAsia="Arial" w:hAnsi="Arial"/>
          <w:sz w:val="14"/>
          <w:szCs w:val="14"/>
          <w:b w:val="1"/>
          <w:bCs w:val="1"/>
          <w:color w:val="auto"/>
        </w:rPr>
        <w:t>Executive Roles:</w:t>
      </w:r>
    </w:p>
    <w:p>
      <w:pPr>
        <w:spacing w:after="0" w:line="42" w:lineRule="exact"/>
        <w:rPr>
          <w:sz w:val="20"/>
          <w:szCs w:val="20"/>
          <w:color w:val="auto"/>
        </w:rPr>
      </w:pPr>
    </w:p>
    <w:p>
      <w:pPr>
        <w:ind w:left="2200" w:hanging="163"/>
        <w:spacing w:after="0"/>
        <w:tabs>
          <w:tab w:leader="none" w:pos="22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Executive Vice President, General Counsel and Corporate Secretary of the Company (October 2021 to present)</w:t>
      </w:r>
    </w:p>
    <w:p>
      <w:pPr>
        <w:spacing w:after="0" w:line="41" w:lineRule="exact"/>
        <w:rPr>
          <w:rFonts w:ascii="Arial" w:cs="Arial" w:eastAsia="Arial" w:hAnsi="Arial"/>
          <w:sz w:val="14"/>
          <w:szCs w:val="14"/>
          <w:color w:val="auto"/>
        </w:rPr>
      </w:pPr>
    </w:p>
    <w:p>
      <w:pPr>
        <w:ind w:left="2200" w:hanging="163"/>
        <w:spacing w:after="0"/>
        <w:tabs>
          <w:tab w:leader="none" w:pos="22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Senior Vice President, General Counsel and Corporate Secretary of the Company (October 2018 to October 2021)</w:t>
      </w:r>
    </w:p>
    <w:p>
      <w:pPr>
        <w:spacing w:after="0" w:line="29" w:lineRule="exact"/>
        <w:rPr>
          <w:rFonts w:ascii="Arial" w:cs="Arial" w:eastAsia="Arial" w:hAnsi="Arial"/>
          <w:sz w:val="14"/>
          <w:szCs w:val="14"/>
          <w:color w:val="auto"/>
        </w:rPr>
      </w:pPr>
    </w:p>
    <w:p>
      <w:pPr>
        <w:ind w:left="2200" w:right="520" w:hanging="163"/>
        <w:spacing w:after="0" w:line="260" w:lineRule="auto"/>
        <w:tabs>
          <w:tab w:leader="none" w:pos="2196" w:val="left"/>
        </w:tabs>
        <w:numPr>
          <w:ilvl w:val="0"/>
          <w:numId w:val="14"/>
        </w:numPr>
        <w:rPr>
          <w:rFonts w:ascii="Arial" w:cs="Arial" w:eastAsia="Arial" w:hAnsi="Arial"/>
          <w:sz w:val="14"/>
          <w:szCs w:val="14"/>
          <w:color w:val="auto"/>
        </w:rPr>
      </w:pPr>
      <w:r>
        <w:rPr>
          <w:rFonts w:ascii="Arial" w:cs="Arial" w:eastAsia="Arial" w:hAnsi="Arial"/>
          <w:sz w:val="14"/>
          <w:szCs w:val="14"/>
          <w:color w:val="auto"/>
        </w:rPr>
        <w:t>Former Executive Vice President, Chief Legal Officer and Secretary of HSN, Inc., a $3+ billion multi-channel retailer (February 2010 to December 2017)</w:t>
      </w:r>
    </w:p>
    <w:p>
      <w:pPr>
        <w:ind w:left="2200" w:right="660" w:hanging="163"/>
        <w:spacing w:after="0" w:line="244" w:lineRule="auto"/>
        <w:tabs>
          <w:tab w:leader="none" w:pos="2196" w:val="left"/>
        </w:tabs>
        <w:numPr>
          <w:ilvl w:val="0"/>
          <w:numId w:val="14"/>
        </w:numPr>
        <w:rPr>
          <w:rFonts w:ascii="Arial" w:cs="Arial" w:eastAsia="Arial" w:hAnsi="Arial"/>
          <w:sz w:val="14"/>
          <w:szCs w:val="14"/>
          <w:color w:val="auto"/>
        </w:rPr>
      </w:pPr>
      <w:r>
        <w:rPr>
          <w:rFonts w:ascii="Arial" w:cs="Arial" w:eastAsia="Arial" w:hAnsi="Arial"/>
          <w:sz w:val="14"/>
          <w:szCs w:val="14"/>
          <w:color w:val="auto"/>
        </w:rPr>
        <w:t>Former Senior Vice President and General Counsel of Tween Brands, Inc., a specialty retailer (October 2005 to February 2010) and Secretary (August 2008 to February 2010)</w:t>
      </w:r>
    </w:p>
    <w:p>
      <w:pPr>
        <w:spacing w:after="0" w:line="10" w:lineRule="exact"/>
        <w:rPr>
          <w:rFonts w:ascii="Arial" w:cs="Arial" w:eastAsia="Arial" w:hAnsi="Arial"/>
          <w:sz w:val="14"/>
          <w:szCs w:val="14"/>
          <w:color w:val="auto"/>
        </w:rPr>
      </w:pPr>
    </w:p>
    <w:p>
      <w:pPr>
        <w:ind w:left="2200" w:right="180" w:hanging="163"/>
        <w:spacing w:after="0" w:line="252" w:lineRule="auto"/>
        <w:tabs>
          <w:tab w:leader="none" w:pos="2196" w:val="left"/>
        </w:tabs>
        <w:numPr>
          <w:ilvl w:val="0"/>
          <w:numId w:val="14"/>
        </w:numPr>
        <w:rPr>
          <w:rFonts w:ascii="Arial" w:cs="Arial" w:eastAsia="Arial" w:hAnsi="Arial"/>
          <w:sz w:val="14"/>
          <w:szCs w:val="14"/>
          <w:color w:val="auto"/>
        </w:rPr>
      </w:pPr>
      <w:r>
        <w:rPr>
          <w:rFonts w:ascii="Arial" w:cs="Arial" w:eastAsia="Arial" w:hAnsi="Arial"/>
          <w:sz w:val="14"/>
          <w:szCs w:val="14"/>
          <w:color w:val="auto"/>
        </w:rPr>
        <w:t>Formerly held various roles at Cardinal Health, Inc., a global medical device, pharmaceutical and healthcare technology company, including Assistant General Counsel (2001 to October 2005), and Senior Litigation Counsel (May 1998 to 2001)</w:t>
      </w:r>
    </w:p>
    <w:p>
      <w:pPr>
        <w:ind w:left="2200" w:hanging="163"/>
        <w:spacing w:after="0"/>
        <w:tabs>
          <w:tab w:leader="none" w:pos="22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Formerly held position as a litigation associate with the law firm of Jones Day (September 1993 to May 1998)</w:t>
      </w: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C7E65"/>
        </w:rPr>
        <w:t>Jay Rust, Executive Vice President, Global 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3201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20165"/>
                    </a:xfrm>
                    <a:prstGeom prst="rect">
                      <a:avLst/>
                    </a:prstGeom>
                    <a:noFill/>
                  </pic:spPr>
                </pic:pic>
              </a:graphicData>
            </a:graphic>
          </wp:anchor>
        </w:drawing>
      </w:r>
    </w:p>
    <w:p>
      <w:pPr>
        <w:spacing w:after="0" w:line="30" w:lineRule="exact"/>
        <w:rPr>
          <w:sz w:val="20"/>
          <w:szCs w:val="20"/>
          <w:color w:val="auto"/>
        </w:rPr>
      </w:pPr>
    </w:p>
    <w:p>
      <w:pPr>
        <w:ind w:left="18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38</w:t>
      </w:r>
    </w:p>
    <w:p>
      <w:pPr>
        <w:spacing w:after="0" w:line="231" w:lineRule="exact"/>
        <w:rPr>
          <w:sz w:val="20"/>
          <w:szCs w:val="20"/>
          <w:color w:val="auto"/>
        </w:rPr>
      </w:pPr>
    </w:p>
    <w:p>
      <w:pPr>
        <w:ind w:left="1880"/>
        <w:spacing w:after="0"/>
        <w:rPr>
          <w:sz w:val="20"/>
          <w:szCs w:val="20"/>
          <w:color w:val="auto"/>
        </w:rPr>
      </w:pPr>
      <w:r>
        <w:rPr>
          <w:rFonts w:ascii="Arial" w:cs="Arial" w:eastAsia="Arial" w:hAnsi="Arial"/>
          <w:sz w:val="14"/>
          <w:szCs w:val="14"/>
          <w:b w:val="1"/>
          <w:bCs w:val="1"/>
          <w:color w:val="auto"/>
        </w:rPr>
        <w:t>Executive Roles:</w:t>
      </w:r>
    </w:p>
    <w:p>
      <w:pPr>
        <w:spacing w:after="0" w:line="35" w:lineRule="exact"/>
        <w:rPr>
          <w:sz w:val="20"/>
          <w:szCs w:val="20"/>
          <w:color w:val="auto"/>
        </w:rPr>
      </w:pPr>
    </w:p>
    <w:p>
      <w:pPr>
        <w:ind w:left="2200" w:hanging="163"/>
        <w:spacing w:after="0"/>
        <w:tabs>
          <w:tab w:leader="none" w:pos="22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Executive Vice President, Global Human Resources of the Company (May 2023 to present)</w:t>
      </w:r>
    </w:p>
    <w:p>
      <w:pPr>
        <w:spacing w:after="0" w:line="34" w:lineRule="exact"/>
        <w:rPr>
          <w:rFonts w:ascii="Arial" w:cs="Arial" w:eastAsia="Arial" w:hAnsi="Arial"/>
          <w:sz w:val="14"/>
          <w:szCs w:val="14"/>
          <w:color w:val="auto"/>
        </w:rPr>
      </w:pPr>
    </w:p>
    <w:p>
      <w:pPr>
        <w:ind w:left="2200" w:hanging="163"/>
        <w:spacing w:after="0"/>
        <w:tabs>
          <w:tab w:leader="none" w:pos="22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Senior Vice President, Global Human Resources of the Company (March 2022 to May 2023)</w:t>
      </w:r>
    </w:p>
    <w:p>
      <w:pPr>
        <w:spacing w:after="0" w:line="41" w:lineRule="exact"/>
        <w:rPr>
          <w:rFonts w:ascii="Arial" w:cs="Arial" w:eastAsia="Arial" w:hAnsi="Arial"/>
          <w:sz w:val="14"/>
          <w:szCs w:val="14"/>
          <w:color w:val="auto"/>
        </w:rPr>
      </w:pPr>
    </w:p>
    <w:p>
      <w:pPr>
        <w:ind w:left="2200" w:hanging="163"/>
        <w:spacing w:after="0"/>
        <w:tabs>
          <w:tab w:leader="none" w:pos="22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Group Vice President, Interim Head of Global Human Resources of the Company (October 2021 to March 2022)</w:t>
      </w:r>
    </w:p>
    <w:p>
      <w:pPr>
        <w:spacing w:after="0" w:line="29" w:lineRule="exact"/>
        <w:rPr>
          <w:rFonts w:ascii="Arial" w:cs="Arial" w:eastAsia="Arial" w:hAnsi="Arial"/>
          <w:sz w:val="14"/>
          <w:szCs w:val="14"/>
          <w:color w:val="auto"/>
        </w:rPr>
      </w:pPr>
    </w:p>
    <w:p>
      <w:pPr>
        <w:ind w:left="2200" w:hanging="163"/>
        <w:spacing w:after="0"/>
        <w:tabs>
          <w:tab w:leader="none" w:pos="22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Vice President, Human Resources of the Company (June 2019 to October 2021)</w:t>
      </w:r>
    </w:p>
    <w:p>
      <w:pPr>
        <w:spacing w:after="0" w:line="40" w:lineRule="exact"/>
        <w:rPr>
          <w:rFonts w:ascii="Arial" w:cs="Arial" w:eastAsia="Arial" w:hAnsi="Arial"/>
          <w:sz w:val="14"/>
          <w:szCs w:val="14"/>
          <w:color w:val="auto"/>
        </w:rPr>
      </w:pPr>
    </w:p>
    <w:p>
      <w:pPr>
        <w:ind w:left="2200" w:right="20" w:hanging="163"/>
        <w:spacing w:after="0" w:line="252" w:lineRule="auto"/>
        <w:tabs>
          <w:tab w:leader="none" w:pos="2196" w:val="left"/>
        </w:tabs>
        <w:numPr>
          <w:ilvl w:val="0"/>
          <w:numId w:val="15"/>
        </w:numPr>
        <w:rPr>
          <w:rFonts w:ascii="Arial" w:cs="Arial" w:eastAsia="Arial" w:hAnsi="Arial"/>
          <w:sz w:val="14"/>
          <w:szCs w:val="14"/>
          <w:color w:val="auto"/>
        </w:rPr>
      </w:pPr>
      <w:r>
        <w:rPr>
          <w:rFonts w:ascii="Arial" w:cs="Arial" w:eastAsia="Arial" w:hAnsi="Arial"/>
          <w:sz w:val="14"/>
          <w:szCs w:val="14"/>
          <w:color w:val="auto"/>
        </w:rPr>
        <w:t>Formerly held various leadership roles of increasing responsibility in the Company’s human resources department since February 2013, including roles supporting employee relations, learning and development, talent acquisition, and other human resources functions</w:t>
      </w:r>
    </w:p>
    <w:p>
      <w:pPr>
        <w:ind w:left="2200" w:hanging="163"/>
        <w:spacing w:after="0"/>
        <w:tabs>
          <w:tab w:leader="none" w:pos="22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Formerly held roles in the Company’s merchandising department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AC7E65"/>
        </w:rPr>
        <w:t>GOVERNMENT REGULATIONS</w:t>
      </w:r>
    </w:p>
    <w:p>
      <w:pPr>
        <w:spacing w:after="0" w:line="24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As a global organization, the Company is subject to the laws and regulations of the U.S. and multiple foreign jurisdictions in which it operates. These laws and regulations include, but are not limited to: trade, transportation and logistic laws, including tariffs and import and export regulations; tax laws and regulations; product and consumer safety laws; anti-bribery and corruption laws; employment and labor laws; antitrust or competition laws; data privacy laws; and environmental regulations.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Laws and regulations have had, and may continue to have, a material impact on the Company’s operations as described further within “</w:t>
      </w:r>
      <w:r>
        <w:rPr>
          <w:rFonts w:ascii="Arial" w:cs="Arial" w:eastAsia="Arial" w:hAnsi="Arial"/>
          <w:sz w:val="16"/>
          <w:szCs w:val="16"/>
          <w:i w:val="1"/>
          <w:iCs w:val="1"/>
          <w:u w:val="single" w:color="auto"/>
          <w:color w:val="0000FF"/>
        </w:rPr>
        <w:t>ITEM 7.</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0000FF"/>
        </w:rPr>
        <w:t>MANAGEMENT’S DISCUSSION AND ANALYSIS OF FINANCIAL CONDITION AND RESULTS OF OPERATIONS</w:t>
      </w:r>
      <w:r>
        <w:rPr>
          <w:rFonts w:ascii="Arial" w:cs="Arial" w:eastAsia="Arial" w:hAnsi="Arial"/>
          <w:sz w:val="16"/>
          <w:szCs w:val="16"/>
          <w:color w:val="000000"/>
        </w:rPr>
        <w:t>" of this Annual Report on Form 10-K.</w:t>
      </w:r>
    </w:p>
    <w:p>
      <w:pPr>
        <w:spacing w:after="0" w:line="24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Refer to “</w:t>
      </w:r>
      <w:r>
        <w:rPr>
          <w:rFonts w:ascii="Arial" w:cs="Arial" w:eastAsia="Arial" w:hAnsi="Arial"/>
          <w:sz w:val="16"/>
          <w:szCs w:val="16"/>
          <w:i w:val="1"/>
          <w:iCs w:val="1"/>
          <w:u w:val="single" w:color="auto"/>
          <w:color w:val="0000FF"/>
        </w:rPr>
        <w:t>ITEM 1A. RISK FACTORS</w:t>
      </w:r>
      <w:r>
        <w:rPr>
          <w:rFonts w:ascii="Arial" w:cs="Arial" w:eastAsia="Arial" w:hAnsi="Arial"/>
          <w:sz w:val="16"/>
          <w:szCs w:val="16"/>
          <w:color w:val="auto"/>
        </w:rPr>
        <w:t>” of this Annual Report on Form 10-K for a discussion of the potential impacts regulatory matters may have on the Company in the future, including those related to environmental matters. Compliance with government laws and regulations has not had a material effect on the Company’s capital expenditures, earnings or competitive position.</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C7E65"/>
        </w:rPr>
        <w:t>OTHER INFORMATION</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A&amp;F makes available free of charge on its website, corporate.abercrombie.com, under the “Investors – Financials &amp; Filings - SEC Filings” section, its Annual Reports on Form 10-K, Quarterly Reports on Form 10-Q, Current Reports on Form 8-K and amendments to those reports filed or furnished pursuant to Section 13(a) or Section 15(d) of the Securities Exchange Act of 1934, as amended (the “Exchange Act”), as soon as reasonably practicable after A&amp;F electronically files such material with, or furnishes it to, the Securities and Exchange Commission (the “SEC”). A&amp;F also makes available free of charge in the same section of its website its definitive proxy materials filed pursuant to Section 14 of the Exchange Act, as soon as reasonably practicable after A&amp;F electronically files such proxy materials with the SEC. The SEC maintains a website that contains electronic filings by A&amp;F and other issuers at www.sec.gov.</w:t>
      </w:r>
    </w:p>
    <w:p>
      <w:pPr>
        <w:spacing w:after="0" w:line="21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A&amp;F has included certain of its website addresses throughout this filing as textual references only. Information on the A&amp;F websites shall not be deemed incorporated by reference into, and do not form any part of, this Annual Report on Form 10-K or any other report or document that A&amp;F files with or furnishes to the SEC.</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11</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9"/>
          <w:szCs w:val="29"/>
          <w:u w:val="single" w:color="auto"/>
          <w:color w:val="AC7E65"/>
        </w:rPr>
        <w:t>Item 1A. Risk Factors</w:t>
      </w:r>
    </w:p>
    <w:p>
      <w:pPr>
        <w:spacing w:after="0" w:line="4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Investing in our securities involves risk. The following risk factors should be read carefully in connection with evaluating our business and the forward-looking statements contained in this Annual Report on Form 10-K. Any of these risk factors could lead to material adverse effects on our business, operating results and financial condition. Additional risks and uncertainties not currently known to us or that we currently do not view as material may also become materially adverse to our business in future periods or if circumstances change.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C7E65"/>
        </w:rPr>
        <w:t>MACROECONOMIC AND INDUSTRY RISKS.</w:t>
      </w:r>
    </w:p>
    <w:p>
      <w:pPr>
        <w:spacing w:after="0" w:line="257"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i w:val="1"/>
          <w:iCs w:val="1"/>
          <w:u w:val="single" w:color="auto"/>
          <w:color w:val="auto"/>
        </w:rPr>
        <w:t>Failure to engage our customers, anticipate customer demand and changing fashion trends, and manage our inventory commensurately could have a material adverse impact on our business.</w:t>
      </w:r>
    </w:p>
    <w:p>
      <w:pPr>
        <w:spacing w:after="0" w:line="17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success largely depends on our ability to anticipate and gauge the fashion preferences of our customers and provide merchandise that satisfies constantly shifting demands in a timely manner. Because we may enter into agreements for the manufacture and purchase of merchandise well in advance of the applicable selling season, we are vulnerable to changes in consumer preferences and demand, pricing shifts, and the sub-optimal selection and timing of merchandise purchases. We expect continuously changing fashion-related trends and consumer tastes to influence future demand for our products. Changes in consumer tastes, fashion trends and brand reputation can have an impact on our financial performance.</w:t>
      </w:r>
    </w:p>
    <w:p>
      <w:pPr>
        <w:spacing w:after="0" w:line="186"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Moreover, there can be no assurance that we will continue to anticipate consumer demands and macroeconomic events or to be successful in accurately planning inventory in the future. Changing consumer preferences, spending patterns, and fashion trends, and our ability to anticipate, identify and swiftly respond to them, could adversely impact our sales. Inventory levels for certain merchandise styles no longer considered to be “on trend” may increase, leading to higher markdowns to sell through excess inventory and, therefore, lower than planned margins. Conversely, if we underestimate consumer demand for our merchandise, or if our manufacturers fail to supply quality products in a timely manner, we may experience inventory shortages that we cannot adequately mitigate through expedited inventory production and delivery, which may negatively impact customer relationships, diminish brand loyalty and result in lost sales.</w:t>
      </w:r>
    </w:p>
    <w:p>
      <w:pPr>
        <w:spacing w:after="0" w:line="21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could also be at a competitive disadvantage if we are unable to effectively leverage data analytics to retrieve timely, customer insights to appropriately respond to customer demands and improve customer engagement through efforts such as marketing activities. Any of these events could significantly harm our operating results and financial condition.</w:t>
      </w:r>
    </w:p>
    <w:p>
      <w:pPr>
        <w:spacing w:after="0" w:line="19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are also vulnerable to factors affecting inventory flow and availability of inventory. Impacts may be caused by natural disasters, unanticipated climate patterns and events, or inventory shrinkage due to theft (including by our employees, customers, or through organized retail crime). Such events may significantly impact anticipated customer demand or may impact availability of our inventory. If we are not able to adjust appropriately to such factors, our inventory management may be negatively affected, which could adversely impact our performance and our reputation.</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Our failure to operate effectively in a highly competitive and constantly evolving industry could have a material adverse impact on our business.</w:t>
      </w:r>
    </w:p>
    <w:p>
      <w:pPr>
        <w:spacing w:after="0" w:line="24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sale of apparel, personal care products and accessories for men, women and kids is a highly competitive business with numerous participants, including individual and chain specialty apparel retailers, local, regional, national and global department stores, discount stores, digitally-native brands, and online-exclusive businesses. Proliferation of the digital channel has encouraged the entry of many new competitors and an increase in competition from established companies. These increases in competition could reduce our ability to retain and grow sales, resulting in an adverse impact to our operating results and business.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We face a variety of challenges in the highly competitive and constantly evolving retail industry, including:</w:t>
      </w:r>
    </w:p>
    <w:p>
      <w:pPr>
        <w:spacing w:after="0" w:line="21" w:lineRule="exact"/>
        <w:rPr>
          <w:sz w:val="20"/>
          <w:szCs w:val="20"/>
          <w:color w:val="auto"/>
        </w:rPr>
      </w:pPr>
    </w:p>
    <w:p>
      <w:pPr>
        <w:ind w:left="520" w:hanging="310"/>
        <w:spacing w:after="0"/>
        <w:tabs>
          <w:tab w:leader="none" w:pos="5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Anticipating and responding to changing consumer shopping preferences more quickly than our competitors;</w:t>
      </w:r>
    </w:p>
    <w:p>
      <w:pPr>
        <w:spacing w:after="0" w:line="14" w:lineRule="exact"/>
        <w:rPr>
          <w:rFonts w:ascii="Arial" w:cs="Arial" w:eastAsia="Arial" w:hAnsi="Arial"/>
          <w:sz w:val="16"/>
          <w:szCs w:val="16"/>
          <w:color w:val="auto"/>
        </w:rPr>
      </w:pPr>
    </w:p>
    <w:p>
      <w:pPr>
        <w:ind w:left="520" w:hanging="310"/>
        <w:spacing w:after="0"/>
        <w:tabs>
          <w:tab w:leader="none" w:pos="5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Maintaining favorable brand recognition;</w:t>
      </w:r>
    </w:p>
    <w:p>
      <w:pPr>
        <w:spacing w:after="0" w:line="8" w:lineRule="exact"/>
        <w:rPr>
          <w:rFonts w:ascii="Arial" w:cs="Arial" w:eastAsia="Arial" w:hAnsi="Arial"/>
          <w:sz w:val="16"/>
          <w:szCs w:val="16"/>
          <w:color w:val="auto"/>
        </w:rPr>
      </w:pPr>
    </w:p>
    <w:p>
      <w:pPr>
        <w:jc w:val="both"/>
        <w:ind w:left="540" w:hanging="330"/>
        <w:spacing w:after="0" w:line="250" w:lineRule="auto"/>
        <w:tabs>
          <w:tab w:leader="none" w:pos="529" w:val="left"/>
        </w:tabs>
        <w:numPr>
          <w:ilvl w:val="0"/>
          <w:numId w:val="16"/>
        </w:numPr>
        <w:rPr>
          <w:rFonts w:ascii="Arial" w:cs="Arial" w:eastAsia="Arial" w:hAnsi="Arial"/>
          <w:sz w:val="16"/>
          <w:szCs w:val="16"/>
          <w:color w:val="auto"/>
        </w:rPr>
      </w:pPr>
      <w:r>
        <w:rPr>
          <w:rFonts w:ascii="Arial" w:cs="Arial" w:eastAsia="Arial" w:hAnsi="Arial"/>
          <w:sz w:val="16"/>
          <w:szCs w:val="16"/>
          <w:color w:val="auto"/>
        </w:rPr>
        <w:t>Effectively marketing our products to consumers across varying demographic markets, including through social media platforms which have become increasingly important in order to stay connected to our customers, as our digital sales penetration has increased. Individual country laws and regulations governing the use and availability of these social media platforms continue to evolve, and if we are unable to effectively use social media platforms as marketing tools our ability to retain or acquire customers and our financial condition may suffer;</w:t>
      </w:r>
    </w:p>
    <w:p>
      <w:pPr>
        <w:spacing w:after="0" w:line="2" w:lineRule="exact"/>
        <w:rPr>
          <w:rFonts w:ascii="Arial" w:cs="Arial" w:eastAsia="Arial" w:hAnsi="Arial"/>
          <w:sz w:val="16"/>
          <w:szCs w:val="16"/>
          <w:color w:val="auto"/>
        </w:rPr>
      </w:pPr>
    </w:p>
    <w:p>
      <w:pPr>
        <w:ind w:left="540" w:right="620" w:hanging="330"/>
        <w:spacing w:after="0" w:line="244" w:lineRule="auto"/>
        <w:tabs>
          <w:tab w:leader="none" w:pos="529" w:val="left"/>
        </w:tabs>
        <w:numPr>
          <w:ilvl w:val="0"/>
          <w:numId w:val="16"/>
        </w:numPr>
        <w:rPr>
          <w:rFonts w:ascii="Arial" w:cs="Arial" w:eastAsia="Arial" w:hAnsi="Arial"/>
          <w:sz w:val="16"/>
          <w:szCs w:val="16"/>
          <w:color w:val="auto"/>
        </w:rPr>
      </w:pPr>
      <w:r>
        <w:rPr>
          <w:rFonts w:ascii="Arial" w:cs="Arial" w:eastAsia="Arial" w:hAnsi="Arial"/>
          <w:sz w:val="16"/>
          <w:szCs w:val="16"/>
          <w:color w:val="auto"/>
        </w:rPr>
        <w:t>Effectively establishing and maintaining relationships with key brand representatives, influencers, athletes, and other celebrities as part of our marketing strategy to promote our brands and products;</w:t>
      </w:r>
    </w:p>
    <w:p>
      <w:pPr>
        <w:ind w:left="520" w:hanging="310"/>
        <w:spacing w:after="0"/>
        <w:tabs>
          <w:tab w:leader="none" w:pos="5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Retaining customers, including our loyalty club members, and the resulting increased marketing costs to acquire new customers;</w:t>
      </w:r>
    </w:p>
    <w:p>
      <w:pPr>
        <w:spacing w:after="0" w:line="8" w:lineRule="exact"/>
        <w:rPr>
          <w:rFonts w:ascii="Arial" w:cs="Arial" w:eastAsia="Arial" w:hAnsi="Arial"/>
          <w:sz w:val="16"/>
          <w:szCs w:val="16"/>
          <w:color w:val="auto"/>
        </w:rPr>
      </w:pPr>
    </w:p>
    <w:p>
      <w:pPr>
        <w:ind w:left="520" w:hanging="310"/>
        <w:spacing w:after="0"/>
        <w:tabs>
          <w:tab w:leader="none" w:pos="5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Developing innovative, high-quality merchandise in styles that appeal to consumers and in ways that favorably distinguish us from our competitors;</w:t>
      </w:r>
    </w:p>
    <w:p>
      <w:pPr>
        <w:spacing w:after="0" w:line="5" w:lineRule="exact"/>
        <w:rPr>
          <w:rFonts w:ascii="Arial" w:cs="Arial" w:eastAsia="Arial" w:hAnsi="Arial"/>
          <w:sz w:val="16"/>
          <w:szCs w:val="16"/>
          <w:color w:val="auto"/>
        </w:rPr>
      </w:pPr>
    </w:p>
    <w:p>
      <w:pPr>
        <w:ind w:left="520" w:hanging="310"/>
        <w:spacing w:after="0"/>
        <w:tabs>
          <w:tab w:leader="none" w:pos="5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Operating in a highly promotional retail environment;</w:t>
      </w:r>
    </w:p>
    <w:p>
      <w:pPr>
        <w:spacing w:after="0" w:line="200" w:lineRule="exact"/>
        <w:rPr>
          <w:sz w:val="20"/>
          <w:szCs w:val="20"/>
          <w:color w:val="auto"/>
        </w:rPr>
      </w:pPr>
    </w:p>
    <w:p>
      <w:pPr>
        <w:spacing w:after="0" w:line="280"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12</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ind w:left="540" w:hanging="330"/>
        <w:spacing w:after="0" w:line="263" w:lineRule="auto"/>
        <w:tabs>
          <w:tab w:leader="none" w:pos="529" w:val="left"/>
        </w:tabs>
        <w:numPr>
          <w:ilvl w:val="0"/>
          <w:numId w:val="17"/>
        </w:numPr>
        <w:rPr>
          <w:rFonts w:ascii="Arial" w:cs="Arial" w:eastAsia="Arial" w:hAnsi="Arial"/>
          <w:sz w:val="16"/>
          <w:szCs w:val="16"/>
          <w:color w:val="auto"/>
        </w:rPr>
      </w:pPr>
      <w:r>
        <w:rPr>
          <w:rFonts w:ascii="Arial" w:cs="Arial" w:eastAsia="Arial" w:hAnsi="Arial"/>
          <w:sz w:val="16"/>
          <w:szCs w:val="16"/>
          <w:color w:val="auto"/>
        </w:rPr>
        <w:t>Engaging in promotional activity and appropriately pricing our products without diminishing the aspirational nature of our brands and brand equity; and</w:t>
      </w:r>
    </w:p>
    <w:p>
      <w:pPr>
        <w:spacing w:after="0" w:line="201" w:lineRule="exact"/>
        <w:rPr>
          <w:rFonts w:ascii="Arial" w:cs="Arial" w:eastAsia="Arial" w:hAnsi="Arial"/>
          <w:sz w:val="16"/>
          <w:szCs w:val="16"/>
          <w:color w:val="auto"/>
        </w:rPr>
      </w:pPr>
    </w:p>
    <w:p>
      <w:pPr>
        <w:jc w:val="both"/>
        <w:ind w:left="540" w:hanging="330"/>
        <w:spacing w:after="0" w:line="260" w:lineRule="auto"/>
        <w:tabs>
          <w:tab w:leader="none" w:pos="529" w:val="left"/>
        </w:tabs>
        <w:numPr>
          <w:ilvl w:val="0"/>
          <w:numId w:val="17"/>
        </w:numPr>
        <w:rPr>
          <w:rFonts w:ascii="Arial" w:cs="Arial" w:eastAsia="Arial" w:hAnsi="Arial"/>
          <w:sz w:val="16"/>
          <w:szCs w:val="16"/>
          <w:color w:val="auto"/>
        </w:rPr>
      </w:pPr>
      <w:r>
        <w:rPr>
          <w:rFonts w:ascii="Arial" w:cs="Arial" w:eastAsia="Arial" w:hAnsi="Arial"/>
          <w:sz w:val="16"/>
          <w:szCs w:val="16"/>
          <w:color w:val="auto"/>
        </w:rPr>
        <w:t>Identifying and assessing disruptive innovation, by existing or new competitors, that could alter the competitive landscape by: improving the customer experience and heightening customer expectations; transforming supply chain and corporate operations through changes to digital technologies and innovations, including the use of artificial intelligence (“AI”) and machine learning; and enhancing management decision-making through use of data analytics to develop new, consumer insights.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In light of the competitive challenges we face, we may not be able to compete successfully in the future.</w:t>
      </w:r>
    </w:p>
    <w:p>
      <w:pPr>
        <w:spacing w:after="0" w:line="250"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i w:val="1"/>
          <w:iCs w:val="1"/>
          <w:u w:val="single" w:color="auto"/>
          <w:color w:val="auto"/>
        </w:rPr>
        <w:t>Changes in global economic and financial conditions, including the impact on consumer confidence and spending, could have a material adverse impact on our business.</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Uncertainty as to, and the state of, the global economy and global financial condition could have an adverse effect on our operating results and business. Our business is subject to factors that are impacted by worldwide economic conditions, including heightened inflation levels (which has occurred), unemployment levels, consumer credit availability, consumer debt levels, reductions in consumer net worth based on declines in the financial, residential real estate and mortgage markets, bank failures, sales and personal income tax rates, fuel and energy prices, global food supplies, rising or uncertain interest rates, new increased tariffs, trade disputes, consumer confidence in future economic and political conditions, consumer perceptions of personal well-being and security, the value of the U.S. dollar versus foreign currencies, geopolitical conflicts, and other macroeconomic factors. Changes in global economic and financial conditions could impact our ability to fund growth and our ability to access external financing in the credit and capital markets.</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addition, our business depends on consumer demand for our merchandise. Consumer confidence and discretionary spending habits, including purchases of our merchandise, can be adversely impacted by recessionary periods, inflation and other macroeconomic conditions adversely impacting levels of disposable income. We may not be able to accurately anticipate or predict consumer demand and behavior, such as taste and purchasing trends, in response to adverse economic conditions, which could result in lower sales, excess inventories and increased mark-downs, all of which could negatively impact our ability to achieve or maintain profitability. In the event that the U.S. and global economy worsens, or if there is a decline in consumer spending levels or other unfavorable conditions, we could experience lower than expected revenues, which could force us to delay or slow the implementation of our growth strategies and adversely impact our results of operations.</w:t>
      </w:r>
    </w:p>
    <w:p>
      <w:pPr>
        <w:spacing w:after="0" w:line="20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economic conditions and factors described above could adversely impact our results of operations, liquidity and capital resources, and may exacerbate other risks within this section of “ITEM 1A. RISK FACTORS”.</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u w:val="single" w:color="auto"/>
          <w:color w:val="auto"/>
        </w:rPr>
        <w:t>The impact of war, acts of terrorism, mass casualty events, social unrest, civil disturbance or disobedience could have a material adverse impact on our business.</w:t>
      </w:r>
    </w:p>
    <w:p>
      <w:pPr>
        <w:spacing w:after="0" w:line="17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the past, the impact of war, acts of terrorism, mass casualty events, social unrest, civil disturbance or disobedience and the associated heightened security measures taken in response to these events have disrupted commerce. Further events of this nature, domestic or abroad, including international and domestic unrest, may disrupt commerce and undermine consumer confidence and consumer spending by causing a decline in traffic, store closures and a decrease in digital demand adversely affecting our operating results.</w:t>
      </w:r>
    </w:p>
    <w:p>
      <w:pPr>
        <w:spacing w:after="0" w:line="200"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Furthermore, the existence or threat of any other unforeseen interruption of commerce, including as a result of geopolitical or armed conflict and the possible interference with international trade, supplier deliveries, freight costs, or tariffs, could negatively impact our business by interfering with the availability of raw materials or our ability to obtain merchandise from foreign manufacturers. With a substantial portion of our merchandise being imported from foreign countries, failure to obtain merchandise from our foreign manufacturers or substitute other manufacturers, at similar costs and in a timely manner, could adversely affect our operating results and financial condition.</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Fluctuations in foreign currency exchange rates and our ability to mitigate the effects of such volatility could have a material adverse impact on our business.</w:t>
      </w:r>
    </w:p>
    <w:p>
      <w:pPr>
        <w:spacing w:after="0" w:line="26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Due to our global operations, we are exposed to foreign currency exchange rate risk with respect to our sales, profits, assets and liabilities denominated in currencies other than the U.S. dollar. In addition, certain of our subsidiaries transact in currencies other than their functional currency, including intercompany transactions, which results in foreign currency transaction gains or losses. Furthermore, we purchase substantially all of our inventory in U.S. dollars. As a result, our sales, gross profit and gross profit rate from global operations will be negatively impacted during periods of a strengthened U.S. dollar relative to the functional currencies of our foreign subsidiaries. Additionally, changes in the effectiveness of our hedging instruments may negatively impact our ability to mitigate the risks associated with fluctuations in foreign currency exchange rates. For example, changes in inventory purchase assumptions have resulted in changes in the effectiveness to certain of our hedging instruments, and we could see similar impacts in future periods.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13</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Fluctuations in foreign currency exchange rates could adversely impact consumer spending, delay or prevent successful penetration into new markets or adversely affect the profitability of our global operations. Certain events could cause uncertainty with respect to trade policies, tariffs and government regulations and actions affecting trade between the U.S. and other countries, have increased global economic and political uncertainty in recent years and could result in volatility of foreign currency exchange rates as these events develop.</w:t>
      </w:r>
    </w:p>
    <w:p>
      <w:pPr>
        <w:spacing w:after="0" w:line="215"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i w:val="1"/>
          <w:iCs w:val="1"/>
          <w:u w:val="single" w:color="auto"/>
          <w:color w:val="auto"/>
        </w:rPr>
        <w:t>Our ability to attract customers to our stores depends, in part, on the success of the shopping malls or area attractions that our stores are located in or around.</w:t>
      </w: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stores are primarily located in shopping malls and other shopping centers. Our sales at these stores are partially dependent upon the volume of traffic in those shopping centers and the surrounding area which, for some centers, has been in decline. Our stores may benefit from the ability of a shopping center’s other tenants and area attractions to generate consumer traffic in the vicinity of our stores and the continuing popularity of the shopping center. We cannot control the loss of a significant tenant in a shopping mall or area attraction, the development of new shopping malls in the U.S. or around the world, the availability or cost of appropriate locations, the success of individual shopping malls, or the increasing impact of digital channels on shopping mall traffic and there is competition with other retailers for prominent locations.</w:t>
      </w:r>
    </w:p>
    <w:p>
      <w:pPr>
        <w:spacing w:after="0" w:line="21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All of these factors may impact our ability to meet our productivity or our growth objectives for our stores and could have a material adverse impact on our financial condition or results of operations. Part of our future growth is dependent on our ability to operate stores in desirable locations, with capital investment and lease costs providing the opportunity to earn a reasonable return. We cannot be sure when or whether such desirable locations will become available at reasonable costs.</w:t>
      </w:r>
    </w:p>
    <w:p>
      <w:pPr>
        <w:spacing w:after="0" w:line="188"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i w:val="1"/>
          <w:iCs w:val="1"/>
          <w:u w:val="single" w:color="auto"/>
          <w:color w:val="auto"/>
        </w:rPr>
        <w:t>The impact of natural disasters, negative climate patterns, public health crises, political crises and other unexpected and catastrophic events could result in interruptions to our operations, as well as to the operations of our third-party partners, and have a material adverse impact on our business.</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6"/>
          <w:szCs w:val="16"/>
          <w:color w:val="auto"/>
        </w:rPr>
        <w:t>Our retail stores, corporate offices, distribution centers, infrastructure projects and digital operations, as well as the operations of our vendors and manufacturers, are vulnerable to disruption from natural disasters, such as hurricanes, tornadoes, floods, earthquakes, extreme cold events, unseasonably warm weather, and other adverse weather events; negative climate patterns, such as those in domestic and global water-stressed regions; public health crises, such as pandemics and epidemics; political crises, such as terrorists attacks, war, geopolitical uncertainty, labor, unrest, and other political instability (including, without limitation, the ongoing conflict between Russia and Ukraine and the conflict in the Middle East); significant power interruptions or outages; and other unexpected, catastrophic events. These events could disrupt the operations of our corporate offices, global stores and supply chain and those of our third-party partners, including our vendors and manufacturers. In addition to immediate impacts on global operations, these events could result in a reduction in the availability and quality, and as a result pricing volatility of, raw materials used to manufacture our merchandise, delays in merchandise fulfillment and deliveries, loss of customers and revenues due to store closures and inability to respond to customer demand, increased costs to meet consumer demand (which we may not be able to pass on to customers), reduced consumer confidence or changes in consumers’ discretionary spending habits.</w:t>
      </w:r>
    </w:p>
    <w:p>
      <w:pPr>
        <w:spacing w:after="0" w:line="200" w:lineRule="exact"/>
        <w:rPr>
          <w:sz w:val="20"/>
          <w:szCs w:val="20"/>
          <w:color w:val="auto"/>
        </w:rPr>
      </w:pPr>
    </w:p>
    <w:p>
      <w:pPr>
        <w:spacing w:after="0" w:line="201"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Other factors that would negatively impact our ability to successfully operate due to the impact of natural disasters, negative climate patterns, public health crises, political crises, significant power interruptions or outages, and other unexpected, catastrophic events and other unexpected and other catastrophic events include, but are not limited to:</w:t>
      </w:r>
    </w:p>
    <w:p>
      <w:pPr>
        <w:ind w:left="640" w:hanging="308"/>
        <w:spacing w:after="0" w:line="231" w:lineRule="auto"/>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Supply chain delays due to closed or reduced capacity for trade routes and factories, reduced workforces, or scarcity of raw materials;</w:t>
      </w:r>
    </w:p>
    <w:p>
      <w:pPr>
        <w:ind w:left="660" w:right="20" w:hanging="328"/>
        <w:spacing w:after="0" w:line="237"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Physical losses to our stores, distribution centers or offices that may incur costs that exceed our applicable insurance coverage for any necessary repairs to damages or business disruptions caused by natural disasters or other unexpected and catastrophic events;</w:t>
      </w:r>
    </w:p>
    <w:p>
      <w:pPr>
        <w:spacing w:after="0" w:line="1" w:lineRule="exact"/>
        <w:rPr>
          <w:rFonts w:ascii="Arial" w:cs="Arial" w:eastAsia="Arial" w:hAnsi="Arial"/>
          <w:sz w:val="16"/>
          <w:szCs w:val="16"/>
          <w:color w:val="auto"/>
        </w:rPr>
      </w:pPr>
    </w:p>
    <w:p>
      <w:pPr>
        <w:ind w:left="660" w:hanging="328"/>
        <w:spacing w:after="0" w:line="246"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ability to keep our stores open if there are severe weather or climate conditions, stay-at-home orders, social distancing requirement, travel restrictions, or other concerns related to physical safety;</w:t>
      </w: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ability to attract customers to our stores, given the risks, or perceived risks, of gathering in public places;</w:t>
      </w:r>
    </w:p>
    <w:p>
      <w:pPr>
        <w:spacing w:after="0" w:line="14" w:lineRule="exact"/>
        <w:rPr>
          <w:rFonts w:ascii="Arial" w:cs="Arial" w:eastAsia="Arial" w:hAnsi="Arial"/>
          <w:sz w:val="16"/>
          <w:szCs w:val="16"/>
          <w:color w:val="auto"/>
        </w:rPr>
      </w:pPr>
    </w:p>
    <w:p>
      <w:pPr>
        <w:ind w:left="660" w:hanging="328"/>
        <w:spacing w:after="0" w:line="249"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Delays in, or our ability to complete, planned store openings on the expected terms or timing, or at all based on shortages in labor and materials and delays in the production and delivery of materials;</w:t>
      </w:r>
    </w:p>
    <w:p>
      <w:pPr>
        <w:ind w:left="660" w:hanging="328"/>
        <w:spacing w:after="0" w:line="255"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ability to preserve liquidity to be able to take advantage of market conditions during periods of uncertainty and instability in the global financial markets; and</w:t>
      </w:r>
    </w:p>
    <w:p>
      <w:pPr>
        <w:jc w:val="both"/>
        <w:ind w:left="660" w:hanging="328"/>
        <w:spacing w:after="0" w:line="264"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Difficulty accessing debt and equity capital on attractive terms, or at all, during periods of uncertainty and instability in the global financial markets, or a deterioration in credit and financing conditions may affect our access to capital necessary to fund business operations or address maturing liabilities.</w:t>
      </w:r>
    </w:p>
    <w:p>
      <w:pPr>
        <w:spacing w:after="0" w:line="20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Historically, our operations have been seasonal, and natural disasters or unseasonable weather conditions, may diminish demand for our seasonal merchandise and could also influence consumer preferences and fashion trends, consumer traffic and shopping habits. In addition, to the extent natural disasters cause physical losses to our stores, distribution centers or offices, we may incur costs that exceed our applicable insurance coverage for any necessary repairs to damages or business disruption.</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14</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C7E65"/>
        </w:rPr>
        <w:t>STRATEGIC RISKS.</w:t>
      </w:r>
    </w:p>
    <w:p>
      <w:pPr>
        <w:spacing w:after="0" w:line="257"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i w:val="1"/>
          <w:iCs w:val="1"/>
          <w:u w:val="single" w:color="auto"/>
          <w:color w:val="auto"/>
        </w:rPr>
        <w:t>Changes to our long-term business strategy or a failure to successfully execute on our long-term strategic plans could adversely impact our financial condition and reputation.</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While we have successfully executed certain goals in our Always Forward Plan, our continued ability to effectively execute on and maintain the results of our Always Forward Plan is subject to various risks and uncertainties as described herein. In addition, we may modify or adjust future long-term strategies to meet changes in our business environment.</w:t>
      </w:r>
    </w:p>
    <w:p>
      <w:pPr>
        <w:spacing w:after="0" w:line="192"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While we believe that our successful execution and ability to attain certain established goals and targets of our Always Forward Plan led to long-term revenue growth and profitability, there is no assurance regarding the extent to which we will realize the anticipated objectives or sustain the financial objectives, if at all, or regarding the timing of such anticipated benefits. Our failure to realize the anticipated objectives or sustain the financial objectives established in our long-term strategic plans, which may be due to our inability to execute established long-term target or goals, changes in consumer demand, competition, macroeconomic conditions (including inflation or tariffs), retention of key talent, and other risks described herein, could have a material adverse effect on our business.</w:t>
      </w:r>
    </w:p>
    <w:p>
      <w:pPr>
        <w:spacing w:after="0" w:line="23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If the continued execution and maintenance of our long-term business strategy is not successful, or we do not realize the full objectives to the extent or in the timeline that we anticipate, our financial condition and reputation could be adversely affected.</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Our failure to attract, retain, and effectively manage strategic partnerships with third parties could have a material adverse impact on our business.</w:t>
      </w:r>
    </w:p>
    <w:p>
      <w:pPr>
        <w:spacing w:after="0" w:line="24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order to compete in this highly competitive and constantly evolving industry, at times, we may enter into new strategic partnerships with third parties to expand our global brand reach, or we may launch new concepts or brands to expand our portfolio. Such strategic partnerships may include wholesale, franchise, or licensing arrangements in which we license our brands and intellectual property for use on products produced, marketed and/or sold by third parties, and licensing arrangements in which we license intellectual property from third parties. Such arrangements are subject to additional risks, including our ability to comply with obligations under license agreements that we have with third-party licensors, the abrupt termination of such arrangements, or actions taken by third-party wholesale, franchise, or licensee partners that may materially diminish the value of our intellectual property or our brands’ reputations.</w:t>
      </w:r>
    </w:p>
    <w:p>
      <w:pPr>
        <w:spacing w:after="0" w:line="200" w:lineRule="exact"/>
        <w:rPr>
          <w:sz w:val="20"/>
          <w:szCs w:val="20"/>
          <w:color w:val="auto"/>
        </w:rPr>
      </w:pP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These initiatives, and others that we may engage in to respond to the highly competitive and evolving industry in which we operate, could result in significant financial and operational investments that do not provide the anticipated benefits or desired rates of return and there can be no guarantee that pursuing these investments or strategic partnerships will result in improved operating results.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Our failure to evaluate and manage our global store network could have a material adverse impact on our business.</w:t>
      </w:r>
    </w:p>
    <w:p>
      <w:pPr>
        <w:spacing w:after="0" w:line="24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With the evolution of digital and omnichannel capabilities, customer expectations have shifted and there has been greater pressure for a seamless omnichannel experience across all channels. Through our multi-year global store network optimization initiative, we have taken actions to optimize our store productivity by remodeling, right-sizing or relocating stores to smaller square footage locations, and closing legacy stores. Modernizing and growing our store fleet is an important part of our business strategy and failure to evaluate and manage our global store network could have an adverse impact on our results of operations.</w:t>
      </w:r>
    </w:p>
    <w:p>
      <w:pPr>
        <w:spacing w:after="0" w:line="10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ability to modify existing leases, to remodel or repurpose existing locations, and to open new stores experiences requires partnership with our landlords. If our partnerships with our landlords were to deteriorate, this could adversely affect the pace of opening new store experiences and/or lead to an increase in store closures. In addition, if there is an increase in events such as landlord bankruptcies, or mall foreclosures, competition between retailers could increase for remaining suitable store locations. Pursuing the wrong opportunities and any delays, cost increases, disruptions or other uncertainties related to those opportunities could adversely affect our results of operations. If our investments in new stores or remodeling and right-sizing existing stores do not achieve appropriate returns, our financial condition and results of operations could be adversely affected.</w:t>
      </w:r>
    </w:p>
    <w:p>
      <w:pPr>
        <w:spacing w:after="0" w:line="20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Although we attempt to open new stores in prominent locations, it is possible that locations which were prominent when we opened our stores may lose favor over time.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15</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Our failure to realize the anticipated benefits of our recent transition to a regional-based organizational model could have a negative impact on our business.</w:t>
      </w:r>
    </w:p>
    <w:p>
      <w:pPr>
        <w:spacing w:after="0" w:line="300"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During the second quarter of Fiscal 2023, to drive ongoing brand growth and leverage the knowledge and experience of its regional teams, the Company reorganized its structure and now primarily manages its business on a geographic basis, consisting of three reportable segments: Americas; Europe; the Middle East and Africa (EMEA) and Asia-Pacific (APAC). As a result of our regional-based organizational model, we have decentralized execution of our commercial strategy in each international region from our global home office to our regional headquarters located in Shanghai, China and London, United Kingdom. Failure to realize the anticipated benefits of our recent transition to a regional-based organizational model could have a negative impact on our business. In addition, realization of the anticipated benefits of this new regional-based organizational model is dependent on the effectiveness of this new operating structure.</w:t>
      </w:r>
    </w:p>
    <w:p>
      <w:pPr>
        <w:spacing w:after="0" w:line="203"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i w:val="1"/>
          <w:iCs w:val="1"/>
          <w:u w:val="single" w:color="auto"/>
          <w:color w:val="auto"/>
        </w:rPr>
        <w:t>Our inability to effectively conduct business in global markets, including as a result of legal, tax, regulatory, political and economic risks could have a material adverse impact on our business.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operate on a global basis and are subject to risks associated with operating in different global markets that could have a material adverse effect on our reputation, business and results of operations if we fail to address them.</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Such risks include, but are not limited to, the following:</w:t>
      </w:r>
    </w:p>
    <w:p>
      <w:pPr>
        <w:spacing w:after="0" w:line="21" w:lineRule="exact"/>
        <w:rPr>
          <w:sz w:val="20"/>
          <w:szCs w:val="20"/>
          <w:color w:val="auto"/>
        </w:rPr>
      </w:pPr>
    </w:p>
    <w:p>
      <w:pPr>
        <w:ind w:left="540" w:hanging="330"/>
        <w:spacing w:after="0" w:line="255" w:lineRule="auto"/>
        <w:tabs>
          <w:tab w:leader="none" w:pos="529"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addressing the different operational requirements present in each country in which we operate, including those related to employment and labor, transportation, logistics, real estate, lease provisions and local reporting or legal requirements;</w:t>
      </w:r>
    </w:p>
    <w:p>
      <w:pPr>
        <w:ind w:left="540" w:hanging="330"/>
        <w:spacing w:after="0" w:line="252" w:lineRule="auto"/>
        <w:tabs>
          <w:tab w:leader="none" w:pos="529" w:val="left"/>
        </w:tabs>
        <w:numPr>
          <w:ilvl w:val="0"/>
          <w:numId w:val="19"/>
        </w:numPr>
        <w:rPr>
          <w:rFonts w:ascii="Arial" w:cs="Arial" w:eastAsia="Arial" w:hAnsi="Arial"/>
          <w:sz w:val="16"/>
          <w:szCs w:val="16"/>
          <w:color w:val="auto"/>
        </w:rPr>
      </w:pPr>
      <w:r>
        <w:rPr>
          <w:rFonts w:ascii="Arial" w:cs="Arial" w:eastAsia="Arial" w:hAnsi="Arial"/>
          <w:sz w:val="16"/>
          <w:szCs w:val="16"/>
          <w:color w:val="auto"/>
        </w:rPr>
        <w:t>supporting global growth by successfully implementing local customer and product-facing teams and certain corporate support functions at our regional headquarters located in Shanghai, China and London, United Kingdom;</w:t>
      </w:r>
    </w:p>
    <w:p>
      <w:pPr>
        <w:spacing w:after="0" w:line="1" w:lineRule="exact"/>
        <w:rPr>
          <w:rFonts w:ascii="Arial" w:cs="Arial" w:eastAsia="Arial" w:hAnsi="Arial"/>
          <w:sz w:val="16"/>
          <w:szCs w:val="16"/>
          <w:color w:val="auto"/>
        </w:rPr>
      </w:pPr>
    </w:p>
    <w:p>
      <w:pPr>
        <w:ind w:left="540" w:hanging="330"/>
        <w:spacing w:after="0" w:line="249" w:lineRule="auto"/>
        <w:tabs>
          <w:tab w:leader="none" w:pos="529" w:val="left"/>
        </w:tabs>
        <w:numPr>
          <w:ilvl w:val="0"/>
          <w:numId w:val="19"/>
        </w:numPr>
        <w:rPr>
          <w:rFonts w:ascii="Arial" w:cs="Arial" w:eastAsia="Arial" w:hAnsi="Arial"/>
          <w:sz w:val="16"/>
          <w:szCs w:val="16"/>
          <w:color w:val="auto"/>
        </w:rPr>
      </w:pPr>
      <w:r>
        <w:rPr>
          <w:rFonts w:ascii="Arial" w:cs="Arial" w:eastAsia="Arial" w:hAnsi="Arial"/>
          <w:sz w:val="16"/>
          <w:szCs w:val="16"/>
          <w:color w:val="auto"/>
        </w:rPr>
        <w:t>supporting global growth by decentralizing execution of our commercial strategy authority from our global home office to our regional headquarters located in Shanghai, China and London, United Kingdom;</w:t>
      </w:r>
    </w:p>
    <w:p>
      <w:pPr>
        <w:ind w:left="520" w:hanging="310"/>
        <w:spacing w:after="0"/>
        <w:tabs>
          <w:tab w:leader="none" w:pos="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hiring, training and retaining qualified personnel;</w:t>
      </w:r>
    </w:p>
    <w:p>
      <w:pPr>
        <w:spacing w:after="0" w:line="14" w:lineRule="exact"/>
        <w:rPr>
          <w:rFonts w:ascii="Arial" w:cs="Arial" w:eastAsia="Arial" w:hAnsi="Arial"/>
          <w:sz w:val="16"/>
          <w:szCs w:val="16"/>
          <w:color w:val="auto"/>
        </w:rPr>
      </w:pPr>
    </w:p>
    <w:p>
      <w:pPr>
        <w:ind w:left="520" w:hanging="310"/>
        <w:spacing w:after="0"/>
        <w:tabs>
          <w:tab w:leader="none" w:pos="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maintaining good labor relations with individual associates and groups of associates;</w:t>
      </w:r>
    </w:p>
    <w:p>
      <w:pPr>
        <w:spacing w:after="0" w:line="8" w:lineRule="exact"/>
        <w:rPr>
          <w:rFonts w:ascii="Arial" w:cs="Arial" w:eastAsia="Arial" w:hAnsi="Arial"/>
          <w:sz w:val="16"/>
          <w:szCs w:val="16"/>
          <w:color w:val="auto"/>
        </w:rPr>
      </w:pPr>
    </w:p>
    <w:p>
      <w:pPr>
        <w:ind w:left="540" w:right="400" w:hanging="330"/>
        <w:spacing w:after="0" w:line="255" w:lineRule="auto"/>
        <w:tabs>
          <w:tab w:leader="none" w:pos="529" w:val="left"/>
        </w:tabs>
        <w:numPr>
          <w:ilvl w:val="0"/>
          <w:numId w:val="19"/>
        </w:numPr>
        <w:rPr>
          <w:rFonts w:ascii="Arial" w:cs="Arial" w:eastAsia="Arial" w:hAnsi="Arial"/>
          <w:sz w:val="16"/>
          <w:szCs w:val="16"/>
          <w:color w:val="auto"/>
        </w:rPr>
      </w:pPr>
      <w:r>
        <w:rPr>
          <w:rFonts w:ascii="Arial" w:cs="Arial" w:eastAsia="Arial" w:hAnsi="Arial"/>
          <w:sz w:val="16"/>
          <w:szCs w:val="16"/>
          <w:color w:val="auto"/>
        </w:rPr>
        <w:t>avoiding work stoppages or other labor-related issues in our European stores, where some associates are represented by workers’ councils and unions;</w:t>
      </w:r>
    </w:p>
    <w:p>
      <w:pPr>
        <w:ind w:left="520" w:hanging="310"/>
        <w:spacing w:after="0"/>
        <w:tabs>
          <w:tab w:leader="none" w:pos="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retaining acceptance from local customers;</w:t>
      </w:r>
    </w:p>
    <w:p>
      <w:pPr>
        <w:spacing w:after="0" w:line="5" w:lineRule="exact"/>
        <w:rPr>
          <w:rFonts w:ascii="Arial" w:cs="Arial" w:eastAsia="Arial" w:hAnsi="Arial"/>
          <w:sz w:val="16"/>
          <w:szCs w:val="16"/>
          <w:color w:val="auto"/>
        </w:rPr>
      </w:pPr>
    </w:p>
    <w:p>
      <w:pPr>
        <w:ind w:left="520" w:hanging="310"/>
        <w:spacing w:after="0"/>
        <w:tabs>
          <w:tab w:leader="none" w:pos="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managing inventory effectively to meet the needs of existing stores on a timely basis;</w:t>
      </w:r>
    </w:p>
    <w:p>
      <w:pPr>
        <w:spacing w:after="0" w:line="14" w:lineRule="exact"/>
        <w:rPr>
          <w:rFonts w:ascii="Arial" w:cs="Arial" w:eastAsia="Arial" w:hAnsi="Arial"/>
          <w:sz w:val="16"/>
          <w:szCs w:val="16"/>
          <w:color w:val="auto"/>
        </w:rPr>
      </w:pPr>
    </w:p>
    <w:p>
      <w:pPr>
        <w:ind w:left="520" w:hanging="310"/>
        <w:spacing w:after="0"/>
        <w:tabs>
          <w:tab w:leader="none" w:pos="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political, civil and social unrest, such as the conflict between Russia and Ukraine or conflict in the Middle East;</w:t>
      </w:r>
    </w:p>
    <w:p>
      <w:pPr>
        <w:spacing w:after="0" w:line="8" w:lineRule="exact"/>
        <w:rPr>
          <w:rFonts w:ascii="Arial" w:cs="Arial" w:eastAsia="Arial" w:hAnsi="Arial"/>
          <w:sz w:val="16"/>
          <w:szCs w:val="16"/>
          <w:color w:val="auto"/>
        </w:rPr>
      </w:pPr>
    </w:p>
    <w:p>
      <w:pPr>
        <w:ind w:left="520" w:hanging="310"/>
        <w:spacing w:after="0"/>
        <w:tabs>
          <w:tab w:leader="none" w:pos="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government regulations affecting trade between the U.S. and other countries, including tariffs and customs laws;</w:t>
      </w:r>
    </w:p>
    <w:p>
      <w:pPr>
        <w:spacing w:after="0" w:line="5" w:lineRule="exact"/>
        <w:rPr>
          <w:rFonts w:ascii="Arial" w:cs="Arial" w:eastAsia="Arial" w:hAnsi="Arial"/>
          <w:sz w:val="16"/>
          <w:szCs w:val="16"/>
          <w:color w:val="auto"/>
        </w:rPr>
      </w:pPr>
    </w:p>
    <w:p>
      <w:pPr>
        <w:ind w:left="520" w:hanging="310"/>
        <w:spacing w:after="0"/>
        <w:tabs>
          <w:tab w:leader="none" w:pos="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tax rate volatility and our ability to realize tax benefits resulting from non-U.S. operations;</w:t>
      </w:r>
    </w:p>
    <w:p>
      <w:pPr>
        <w:spacing w:after="0" w:line="5" w:lineRule="exact"/>
        <w:rPr>
          <w:rFonts w:ascii="Arial" w:cs="Arial" w:eastAsia="Arial" w:hAnsi="Arial"/>
          <w:sz w:val="16"/>
          <w:szCs w:val="16"/>
          <w:color w:val="auto"/>
        </w:rPr>
      </w:pPr>
    </w:p>
    <w:p>
      <w:pPr>
        <w:ind w:left="520" w:hanging="310"/>
        <w:spacing w:after="0" w:line="228" w:lineRule="auto"/>
        <w:tabs>
          <w:tab w:leader="none" w:pos="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managing foreign currency exchange rate risks effectively;</w:t>
      </w:r>
    </w:p>
    <w:p>
      <w:pPr>
        <w:ind w:left="540" w:right="80" w:hanging="330"/>
        <w:spacing w:after="0" w:line="246" w:lineRule="auto"/>
        <w:tabs>
          <w:tab w:leader="none" w:pos="529" w:val="left"/>
        </w:tabs>
        <w:numPr>
          <w:ilvl w:val="0"/>
          <w:numId w:val="19"/>
        </w:numPr>
        <w:rPr>
          <w:rFonts w:ascii="Arial" w:cs="Arial" w:eastAsia="Arial" w:hAnsi="Arial"/>
          <w:sz w:val="16"/>
          <w:szCs w:val="16"/>
          <w:color w:val="auto"/>
        </w:rPr>
      </w:pPr>
      <w:r>
        <w:rPr>
          <w:rFonts w:ascii="Arial" w:cs="Arial" w:eastAsia="Arial" w:hAnsi="Arial"/>
          <w:sz w:val="16"/>
          <w:szCs w:val="16"/>
          <w:color w:val="auto"/>
        </w:rPr>
        <w:t>substantial investments of time and resources in our global operations may not result in achievement of acceptable levels of returns; for example, we have experienced year-over-year declines in revenues from our global operations; and</w:t>
      </w:r>
    </w:p>
    <w:p>
      <w:pPr>
        <w:ind w:left="540" w:right="220" w:hanging="330"/>
        <w:spacing w:after="0" w:line="248" w:lineRule="auto"/>
        <w:tabs>
          <w:tab w:leader="none" w:pos="529"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continued and sustained declines in our global revenues could lead to store closures, restructuring costs, and impairment losses, all of which could adversely impact our business, profitability, and results of operations.</w:t>
      </w:r>
    </w:p>
    <w:p>
      <w:pPr>
        <w:spacing w:after="0" w:line="211"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We are subject to domestic laws related to global operations, including the Foreign Corrupt Practices Act, in addition to the laws of the foreign countries in which we operate. If any of our overseas operations, or our associates or agents, violate such laws, we could become subject to sanctions or other penalties that could negatively affect our reputation, business and operating results.</w:t>
      </w:r>
    </w:p>
    <w:p>
      <w:pPr>
        <w:spacing w:after="0" w:line="207"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i w:val="1"/>
          <w:iCs w:val="1"/>
          <w:u w:val="single" w:color="auto"/>
          <w:color w:val="auto"/>
        </w:rPr>
        <w:t>Our failure to appropriately address environmental, social, and governance (ESG) topics could have a material adverse impact on our reputation and, as a result, our business.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There is increased focus from certain government regulators, investors, customers, associates, business partners and other stakeholders concerning ESG matters.</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expectations related to ESG matters continue to rapidly evolve and diverge. The focus by investors and other stakeholders on the ESG practices of publicly traded companies, like us, has included or may in the future include expanding mandatory and voluntary reporting, diligence, and disclosure on topics such as climate change, human capital, labor and risk oversight, and could expand the nature, scope, and complexity of matters that we are required to control, assess and report. Furthermore, if we announce certain initiatives and goals related to ESG matters we could fail, or be perceived to fail, to accurately set, meet or report our progress on such initiatives and goals and/or we could fail, or be perceived to fail, to act responsibly in our ESG efforts. In addition, we could be criticized for the speed of adoption of such initiatives and goals, or the scope of such initiatives or goals. As a result, we could suffer negative publicity and our reputation could be adversely impacted, which in turn could have a negative impact on investor perception and our products' acceptance by consumers. In addition, in recent years there has been a rise in the prevalence of the anti-ESG movement, and we could be criticized for the scope or nature of our ESG initiatives and goals or for any revisions to our goals. We may not be able to meet the diverging expectations and perspectives on these topics, and we could be subjected to negative responses by consumers (such as boycotts or negative publicity campaigns) that could adversely affect our reputation, results of operations, financial condition and cash flows. This may also impact our ability to attract and retain talent to compete in the marketplace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16</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There is also uncertainty regarding the implementation of laws, regulations, and policies related to ESG and global environmental sustainability matters, including disclosure obligations and reporting on such matters, and appropriately responding to potentially competing and/or contradictory regulatory requirements and expectations in the jurisdictions in which we operate. Changes in the legal or regulatory environment affecting ESG disclosure, responsible sourcing, supply chain transparency, or environmental protection, among others, including regulations to limit carbon dioxide and other greenhouse gas emissions, to discourage the use of plastic or to limit or to impose additional costs on commercial water use may result in increased costs for us and our business partners, all of which may negatively impact our results of operations, financial condition and cash flows.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C7E65"/>
        </w:rPr>
        <w:t>OPERATIONAL RISKS.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Failure to protect our reputation could have a material adverse impact on our business.</w:t>
      </w:r>
    </w:p>
    <w:p>
      <w:pPr>
        <w:spacing w:after="0" w:line="24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ability to maintain our reputation is critical and public perception about our products or operations, whether justified or not, could impair our reputation, involve us in litigation, damage our brands and have a material adverse impact on our business.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Events that could jeopardize our reputation, include, but are not limited to, the following:</w:t>
      </w:r>
    </w:p>
    <w:p>
      <w:pPr>
        <w:spacing w:after="0" w:line="21" w:lineRule="exact"/>
        <w:rPr>
          <w:sz w:val="20"/>
          <w:szCs w:val="20"/>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fail to maintain high standards for merchandise quality and integrity;</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fall victim to a cyber-attack, resulting in customer data being compromised;</w:t>
      </w:r>
    </w:p>
    <w:p>
      <w:pPr>
        <w:spacing w:after="0" w:line="8" w:lineRule="exact"/>
        <w:rPr>
          <w:rFonts w:ascii="Arial" w:cs="Arial" w:eastAsia="Arial" w:hAnsi="Arial"/>
          <w:sz w:val="16"/>
          <w:szCs w:val="16"/>
          <w:color w:val="auto"/>
        </w:rPr>
      </w:pPr>
    </w:p>
    <w:p>
      <w:pPr>
        <w:ind w:left="660" w:right="20" w:hanging="328"/>
        <w:spacing w:after="0" w:line="252"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fail to comply with ethical, social, product, labor, health and safety, legal, accounting or environmental standards, or related political considerations;</w:t>
      </w:r>
    </w:p>
    <w:p>
      <w:pPr>
        <w:spacing w:after="0" w:line="1" w:lineRule="exact"/>
        <w:rPr>
          <w:rFonts w:ascii="Arial" w:cs="Arial" w:eastAsia="Arial" w:hAnsi="Arial"/>
          <w:sz w:val="16"/>
          <w:szCs w:val="16"/>
          <w:color w:val="auto"/>
        </w:rPr>
      </w:pPr>
    </w:p>
    <w:p>
      <w:pPr>
        <w:jc w:val="both"/>
        <w:ind w:left="660" w:hanging="328"/>
        <w:spacing w:after="0" w:line="254"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Third parties with which we have a business relationship, including our brand representatives and influencer network, and our wholesale, franchise licensing, or marketplace partners, fail to represent our brands in a manner consistent with our brand image or act in a way that harms their reputation;</w:t>
      </w:r>
    </w:p>
    <w:p>
      <w:pPr>
        <w:ind w:left="660" w:hanging="328"/>
        <w:spacing w:after="0" w:line="252"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Misconduct or illegal activities by our current and former associates, directors, advisors, third-party business partners, or others affiliated, or perceived to be affiliated, with the Company;</w:t>
      </w:r>
    </w:p>
    <w:p>
      <w:pPr>
        <w:spacing w:after="0" w:line="1" w:lineRule="exact"/>
        <w:rPr>
          <w:rFonts w:ascii="Arial" w:cs="Arial" w:eastAsia="Arial" w:hAnsi="Arial"/>
          <w:sz w:val="16"/>
          <w:szCs w:val="16"/>
          <w:color w:val="auto"/>
        </w:rPr>
      </w:pPr>
    </w:p>
    <w:p>
      <w:pPr>
        <w:ind w:left="660" w:hanging="328"/>
        <w:spacing w:after="0" w:line="249"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Third-party vendors fail to comply with our Vendor Code of Conduct or any third parties with which we have a business relationship fail to represent our brands in a manner consistent with our brand image;</w:t>
      </w:r>
    </w:p>
    <w:p>
      <w:pPr>
        <w:ind w:left="660" w:hanging="328"/>
        <w:spacing w:after="0" w:line="255"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Unfavorable media publicity, influencer reviews on social media, or negative consumer perception of our products, operations, brand or experience; and</w:t>
      </w:r>
    </w:p>
    <w:p>
      <w:pPr>
        <w:ind w:left="660" w:right="20" w:hanging="328"/>
        <w:spacing w:after="0" w:line="283"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position or perceived lack of position on ESG topics, public policy or other similar issues and any perceived lack of transparency about those matters.</w:t>
      </w:r>
    </w:p>
    <w:p>
      <w:pPr>
        <w:spacing w:after="0" w:line="18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addition, in recent years there has been an increase in media platforms, particularly, social media and our use of social media platforms is an important element of our omnichannel marketing efforts. For example, we maintain various social media accounts for our brands, including Instagram, TikTok, Facebook, X (f/k/a Twitter), SnapChat, and Pinterest accounts. Negative publicity or actions taken by individuals that we partner with, such as brand representatives, influencers or our associates, that fail to represent our brands in a manner consistent with our brand image or act in a way that harms their reputation, whether through our social media accounts or their own, could harm our brand reputation and materially impact our business. Social media also allows for anyone to provide public feedback, which could influence perceptions of our brands and reduce demand for our merchandise.</w:t>
      </w:r>
    </w:p>
    <w:p>
      <w:pPr>
        <w:spacing w:after="0" w:line="20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Damage to our reputation and loss of consumer confidence for these or any other reasons could lead to adverse consumer actions, including boycotts, have negative impacts on investor perception and could impact our ability to attract and retain the talent necessary to compete in the marketplace or to attract or retain business partners for third-party relationships such as licensing or franchise arrangements, all of which could have a material adverse impact on our business, as well as require additional resources to rebuild our reputation.</w:t>
      </w:r>
    </w:p>
    <w:p>
      <w:pPr>
        <w:spacing w:after="0" w:line="19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u w:val="single" w:color="auto"/>
          <w:color w:val="auto"/>
        </w:rPr>
        <w:t>Failure to continue to successfully manage the complexities of our omnichannel operations and of our customers’ omnichannel shopping experience, or failure to continue to successfully invest in customer, digital and omnichannel initiatives could have a material adverse impact on our business.</w:t>
      </w:r>
    </w:p>
    <w:p>
      <w:pPr>
        <w:spacing w:after="0" w:line="19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As omnichannel retailing continues to evolve, our customers increasingly interact with our brands through a variety of digital and physical spaces, and expect seamless integration across all touchpoints. As our success depends on our ability to effectively manage the complexities of our omnichannel operations and of our customers’ omnichannel shopping experience, including our ability to respond to shifting consumer traffic patterns, receive and fulfill orders, and engage our customers, we have made significant investments and operational changes to develop our digital and omnichannel capabilities globally. Such investments and operational changes include the development of localized fulfillment, shipping and customer service operations, investments in digital media to attract new customers, and the rollout of omnichannel capabilities listed in “</w:t>
      </w:r>
      <w:r>
        <w:rPr>
          <w:rFonts w:ascii="Arial" w:cs="Arial" w:eastAsia="Arial" w:hAnsi="Arial"/>
          <w:sz w:val="16"/>
          <w:szCs w:val="16"/>
          <w:i w:val="1"/>
          <w:iCs w:val="1"/>
          <w:u w:val="single" w:color="auto"/>
          <w:color w:val="0000FF"/>
        </w:rPr>
        <w:t>ITEM 1. BUSINESS</w:t>
      </w:r>
      <w:r>
        <w:rPr>
          <w:rFonts w:ascii="Arial" w:cs="Arial" w:eastAsia="Arial" w:hAnsi="Arial"/>
          <w:sz w:val="16"/>
          <w:szCs w:val="16"/>
          <w:color w:val="auto"/>
        </w:rPr>
        <w: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17</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While we must keep up to date with technology trends in the retail environment in order to manage our successful omnichannel shopping experience, it is possible these initiatives may not provide the anticipated benefits or desired rates of return. For example, we could be at a competitive disadvantage if we are unable to effectively collect data and leverage data analytics to retrieve timely, customer insights to appropriately respond to customer demands and improve customer engagement across channels or if innovative digital products and features we develop are not utilized or received by customers as anticipated.</w:t>
      </w:r>
    </w:p>
    <w:p>
      <w:pPr>
        <w:spacing w:after="0" w:line="39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addition, digital operations are subject to numerous risks, including reliance on third-party computer hardware/software and service providers, data breaches, the variability of the rate of merchandise returns, violations of evolving government interpretations of laws and regulations, including those relating to online privacy, credit card fraud, telecommunication failures, electronic break-ins and similar compromises, and disruption of services. Changes in foreign governmental regulations and interpretations may also negatively impact our omnichannel operations, including our ability to accept orders and deliver product to our customers. Failure to successfully respond to these risks may adversely affect sales as well as damage the reputation of our brands.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If our information technology systems are disrupted or cease to operate effectively, it could have a material adverse impact on our business.</w:t>
      </w:r>
    </w:p>
    <w:p>
      <w:pPr>
        <w:spacing w:after="0" w:line="233"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We rely heavily on our own information technology systems and on third-party information technology systems in both our customer-facing and corporate operations to: operate our websites and mobile apps; record and process transactions; respond to customer inquiries; manage inventory; purchase, sell and ship merchandise on a timely basis; maintain cost-efficient operations; create a customer relationship management database through our loyalty programs; and complete other customer-facing and business objectives. Given the significant number of transactions that are completed annually, it is vital to maintain constant operation of our computer hardware, telecommunication systems and software systems, and maintain data security. Despite efforts to prevent such an occurrence, our information technology systems may be vulnerable, from time to time, to damage or interruption from computer viruses, power interruptions or outages or other system failures, third-party intrusions, inadvertent or intentional breaches by our associates, third-party service providers or business partners, or threat actors, and other technical malfunctions. Further, the sophistication, availability and use of AI by threat actors present an increased level of risk. If our systems are damaged, fail to function properly, or are outdated in comparison to those of our competition, we may have to make monetary investments to repairs or replace the systems and we could endure delays in our operations. We have made and expect to continue to make significant monetary investments and devote significant attention to modernizing our core systems, and the effectiveness of these investments can be less predictable than others and may fail to provide the expected benefits. Additionally, we rely on services provided by third-party vendors and platforms for certain information technology processes, including point-of-sale, digital operations, inventory management, supply chain, planning, sourcing, merchandising, payroll, scheduling, financial reporting, and managing third-party relationships, including our brand representatives and influencer network, and our wholesale, franchise licensing, or marketplace partners. This reliance on third parties makes our operations vulnerable to a failure by any one of these parties to perform adequately or maintain effective internal controls.</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regularly evaluate our information technology systems and requirements to ensure appropriate functionality and use in response to business demands. For example, in 2022, we began the multi-year process of upgrading our ERP system. We are continuing to execute this plan in Fiscal 2025 and currently anticipate implementation in Fiscal 2026. We are aware of the inherent risks associated with replacing and modifying these systems, including system disruptions, inaccurate system information, and user acceptance and understanding. Any material disruption or slowdown of our systems, including a disruption or slowdown caused by our failure to successfully upgrade or replace our systems could impact our ability to effectively manage and maintain our inventory, to ship products to customers on a timely basis, and may cause information to be lost or delayed, including data related to customer orders. Such a loss or delay, especially if the disruption or slowdown occurred during our peak selling seasons, could have a material adverse effect on our results of operations. In addition, the upgrading of our ERP system requires significant financial and operational investments, and such investments may not provide the anticipated benefits or desired rates of returns.</w:t>
      </w:r>
    </w:p>
    <w:p>
      <w:pPr>
        <w:spacing w:after="0" w:line="22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u w:val="single" w:color="auto"/>
          <w:color w:val="auto"/>
        </w:rPr>
        <w:t>We may be exposed to risks and costs associated with cyber-attacks, data protection, credit card fraud and identity theft that could have a material adverse impact on our business.</w:t>
      </w:r>
    </w:p>
    <w:p>
      <w:pPr>
        <w:spacing w:after="0" w:line="19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the standard course of business, we receive and maintain confidential information about customers, associates and other third parties. In addition, third parties also receive and maintain certain confidential information. The protection of this information is critical to our business and subjects us to numerous laws, rules and regulations domestically and in foreign jurisdictions. The retail industry in particular has been the target of many cyber-attacks and it is possible that an individual or group could defeat our security measures, or those of a third-party service provider or business partner, and access confidential information about our business, customers and associates. Further, like other companies in the retail industry, during the ordinary course of business, we and our vendors have in the past experienced, and we expect to continue to experience, cyber-attacks of varying degrees and types, including phishing, and other attempts to breach, or gain unauthorized access to, our systems. To date, cyber-attacks have not had a material impact on our operations, but we cannot provide assurance that cyber-attacks will not have a material impact in the future.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18</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have experienced, and expect to continue to experience, increased costs associated with protecting confidential information through the implementation of security technologies, processes and procedures, including training programs for associates to raise awareness about phishing, malware and other cyber risks, especially as we implement new technologies, such as new payment capabilities or updates to our mobile apps and websites. Additionally, the techniques and sophistication used to conduct cyber-attacks and breaches of information technology systems change frequently and increase in complexity and are often not recognized until such attacks are launched or have been in place for a period of time. We (or the third parties on which we rely) may not have the resources or technical sophistication to sufficiently anticipate, prevent, or immediately identify and remediate cyber-attacks.</w:t>
      </w:r>
    </w:p>
    <w:p>
      <w:pPr>
        <w:spacing w:after="0" w:line="20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Furthermore, the global regulatory environment is increasingly complex and demanding with frequent new and changing requirements surrounding information security and privacy, including new regulations applicable to public companies in the United States, China’s Cybersecurity Law, the California Consumer Privacy Act, and the European Union’s General Data Protection Regulation. We may incur significant costs related to compliance with these laws and failure to comply with these regulatory standards, and others, could have a material adverse impact on our business.</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have also implemented a flexible work policy allowing most of our corporate associates to work remotely, from time to time, as have certain of our third-party vendors. Offsite working by associates, which requires increased use of public internet connection, and use of office equipment off premises may make our business more vulnerable to cybersecurity breach attempts, phishing and other scams, fraud, money laundering, theft and other criminal activity.</w:t>
      </w:r>
    </w:p>
    <w:p>
      <w:pPr>
        <w:spacing w:after="0" w:line="19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If we, or a third-party who has access to our info, were to fall victim to a successful cyber-attack or suffer intentional or unintentional data and security breaches by associates or third-parties, it could have a material adverse impact on our business, especially an event that compromises customer data or results in the unauthorized release of confidential business or customer information. In addition, if we are unable to avert a denial of service attack that renders our website inoperable, it could result in negative consequences, such as lost sales and customer dissatisfaction. Additional negative consequences that could result from these and similar events may include, but are not limited to:</w:t>
      </w:r>
    </w:p>
    <w:p>
      <w:pPr>
        <w:spacing w:after="0" w:line="10" w:lineRule="exact"/>
        <w:rPr>
          <w:sz w:val="20"/>
          <w:szCs w:val="20"/>
          <w:color w:val="auto"/>
        </w:rPr>
      </w:pPr>
    </w:p>
    <w:p>
      <w:pPr>
        <w:ind w:left="660" w:hanging="328"/>
        <w:spacing w:after="0" w:line="263"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remediation costs, such as liability for stolen assets or information, potential legal settlements to affected parties, repairs of system damage, and incentives to customers or business partners in an effort to maintain relationships after an attack;</w:t>
      </w:r>
    </w:p>
    <w:p>
      <w:pPr>
        <w:ind w:left="660" w:hanging="328"/>
        <w:spacing w:after="0" w:line="255"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increased cybersecurity protection costs, which may include the costs of making organizational changes, deploying additional personnel and protection technologies, training associates, and engaging third party experts and consultants;</w:t>
      </w: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lost revenues resulting from the unauthorized use of proprietary information or the failure to retain or attract customers following an attack;</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litigation and legal risks, including costs of litigation and regulatory, fines, penalties or actions by domestic or international governmental authorities;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increased insurance premiums, or the ability to obtain insurance on commercially reasonable terms;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reputational damage that adversely affects customer or investor confidence; and</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damage to the Company’s competitiveness, stock price, and long-term shareholder value.</w:t>
      </w:r>
    </w:p>
    <w:p>
      <w:pPr>
        <w:spacing w:after="0" w:line="24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Although we maintain cybersecurity insurance, there can be no assurance that it will be sufficient for a specific cyber incident, or that insurance proceeds will be paid to us in a timely fashion.</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u w:val="single" w:color="auto"/>
          <w:color w:val="auto"/>
        </w:rPr>
        <w:t>Changes in the cost, availability and quality of raw materials, transportation and labor, including changes due to trade relations could have a material adverse impact on our business.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Changes in the cost, availability and quality of the fabrics or other raw materials used to manufacture our merchandise could have a material adverse effect on our cost of sales, or our ability to meet customer demand. The prices for such fabrics depend largely on the market prices for the raw materials used to produce them, particularly cotton. The price and availability of such raw materials may fluctuate significantly, depending on many factors, including crop yields, weather patterns and other unforeseen events. For example, significant inflationary pressures have and may continue to impact the cost of labor, cotton and other raw materials. Increased global uncertainty has also impacted and may in the future impact the cost, availability and quality of the fabrics or other raw materials used to manufacture our merchandise, and compliance with sanctions, customs trade orders and sourcing laws could impact the price of cotton in the marketplace and the global supply chain.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19</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Fluctuations in the cost of transportation could also have a material adverse effect on our cost of sales and ability to meet customer demand. We primarily use six contract carriers to ship merchandise and related materials to our North American customers, and several contract carriers for our global customers. If the shipping operations of these third parties were disrupted, and we are unable to respond in a quick and efficient manner, our ability to replace inventory in our stores and process digital and third-party orders could be interrupted, potentially resulting in adverse impacts to sales or increased costs. Furthermore, we are susceptible to increases in fuel costs which may increase the cost of distribution. If we are not able to pass this cost on to our customers, our financial condition and results of operations could be adversely affected.</w:t>
      </w:r>
    </w:p>
    <w:p>
      <w:pPr>
        <w:spacing w:after="0" w:line="20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addition, we have experienced increasing wage pressures in recent years related to the cost of labor at our third-party manufacturers, at our distribution centers and at our stores. For example, recent government initiatives in the U.S. or changes to existing laws, such as the adoption and implementation of national, state, or local government proposals relating to increases in minimum wage rates, may increase our costs of doing business and adversely affect our results of operations. We may not be able to pass all or a portion of higher labor costs on to our customers, which could adversely affect our gross margin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Changes in tax or tariff policy regarding merchandise produced in, and raw materials sourced from, certain countries could adversely affect our business.</w:t>
      </w:r>
    </w:p>
    <w:p>
      <w:pPr>
        <w:spacing w:after="0" w:line="246" w:lineRule="exact"/>
        <w:rPr>
          <w:sz w:val="20"/>
          <w:szCs w:val="20"/>
          <w:color w:val="auto"/>
        </w:rPr>
      </w:pPr>
    </w:p>
    <w:p>
      <w:pPr>
        <w:jc w:val="both"/>
        <w:spacing w:after="0"/>
        <w:rPr>
          <w:sz w:val="20"/>
          <w:szCs w:val="20"/>
          <w:color w:val="auto"/>
        </w:rPr>
      </w:pPr>
      <w:r>
        <w:rPr>
          <w:rFonts w:ascii="Arial" w:cs="Arial" w:eastAsia="Arial" w:hAnsi="Arial"/>
          <w:sz w:val="16"/>
          <w:szCs w:val="16"/>
          <w:color w:val="auto"/>
        </w:rPr>
        <w:t>A predominant portion of the merchandise we sell is originally manufactured in countries other than the United States. Refer to Note 6, “</w:t>
      </w:r>
      <w:r>
        <w:rPr>
          <w:rFonts w:ascii="Arial" w:cs="Arial" w:eastAsia="Arial" w:hAnsi="Arial"/>
          <w:sz w:val="16"/>
          <w:szCs w:val="16"/>
          <w:i w:val="1"/>
          <w:iCs w:val="1"/>
          <w:u w:val="single" w:color="auto"/>
          <w:color w:val="0000FF"/>
        </w:rPr>
        <w:t>INVENTORIES</w:t>
      </w:r>
      <w:r>
        <w:rPr>
          <w:rFonts w:ascii="Arial" w:cs="Arial" w:eastAsia="Arial" w:hAnsi="Arial"/>
          <w:sz w:val="16"/>
          <w:szCs w:val="16"/>
          <w:color w:val="auto"/>
        </w:rPr>
        <w:t xml:space="preserve">,” of the Notes to Consolidated Financial Statements included in </w:t>
      </w:r>
      <w:r>
        <w:rPr>
          <w:rFonts w:ascii="Arial" w:cs="Arial" w:eastAsia="Arial" w:hAnsi="Arial"/>
          <w:sz w:val="16"/>
          <w:szCs w:val="16"/>
          <w:i w:val="1"/>
          <w:iCs w:val="1"/>
          <w:u w:val="single" w:color="auto"/>
          <w:color w:val="0000FF"/>
        </w:rPr>
        <w:t>“ITEM 8. FINANCIAL STATEMENTS AND SUPPLEMENTARY DATA”</w:t>
      </w:r>
      <w:r>
        <w:rPr>
          <w:rFonts w:ascii="Arial" w:cs="Arial" w:eastAsia="Arial" w:hAnsi="Arial"/>
          <w:sz w:val="16"/>
          <w:szCs w:val="16"/>
          <w:color w:val="auto"/>
        </w:rPr>
        <w:t xml:space="preserve"> of this Annual Report on Form 10-K for a summary of inventory sourced based on vendor location during Fiscal 2024. Additionally, many of the raw materials used to manufacture our apparel is sourced internationally. International trade disputes that result in tariffs and other protectionist measures could adversely affect our business, including disruption and cost increases in our established patterns for sourcing raw materials and our merchandise and increased uncertainties in planning our sourcing strategies and forecasting our margins. For example, the United States has imposed significant new tariffs on China related to the importation of certain product categories. It is also possible that additional tariffs may be imposed on imports from other countries, including the foreign countries where our apparel is predominantly manufactured. The imposition of any such tariffs would likely increase the cost of our merchandise and negatively impact our operating results. Although such changes would have implications across the entire industry, we may fail to effectively adapt to and manage the adjustments in strategy that would be necessary in response to those changes. We are working with our current suppliers to mitigate our exposure to current or potential tariffs and seeking opportunities to engage other suppliers, but there can be no assurance that we will be able to offset any increased costs or secure other suppliers.</w:t>
      </w:r>
    </w:p>
    <w:p>
      <w:pPr>
        <w:spacing w:after="0" w:line="20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other countries may change their business and trade policies in anticipation of or in response to the U.S.’s increased import tariffs and other changes in U.S. trade policy and regulations already enacted or that may be enacted in the future.</w:t>
      </w:r>
    </w:p>
    <w:p>
      <w:pPr>
        <w:spacing w:after="0" w:line="18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addition to the general uncertainty and overall risk from potential changes in trade laws and policies, as we make business decisions in the face of such uncertainty, we may incorrectly anticipate the outcomes, miss out on business opportunities, or fail to effectively adapt our business strategies and manage the adjustments that are necessary in response to those changes. These risks could adversely affect our revenues, reduce our profitability, and negatively impact our business.</w:t>
      </w:r>
    </w:p>
    <w:p>
      <w:pPr>
        <w:spacing w:after="0" w:line="21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u w:val="single" w:color="auto"/>
          <w:color w:val="auto"/>
        </w:rPr>
        <w:t>We depend upon independent third parties for the manufacture and delivery of our merchandise, and a disruption of the manufacture or delivery of our merchandise could have a material adverse impact on our business.</w:t>
      </w:r>
    </w:p>
    <w:p>
      <w:pPr>
        <w:spacing w:after="0" w:line="185"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We depend on third parties for the manufacture and delivery of our merchandise. As a result, the continued success of our operations is tied to our timely receipt of quality merchandise from third-party manufacturers. We source the majority of our merchandise outside of the U.S. through arrangements with approximately 150 vendors, primarily located in southeast Asia. Political, social or economic instability in the regions in which our manufacturers are located could cause disruptions in trade, including exports to the U.S. and EMEA. In addition, the inability of vendors to access liquidity, or the insolvency of vendors, could lead to their failure to deliver merchandise to us. A manufacturer’s inability to ship orders in a timely manner or meet our quality standards could cause delays in responding to consumer demand and negatively affect consumer confidence or negatively impact our competitive position, any of which could have a material adverse effect on our financial condition and results of operations.</w:t>
      </w:r>
    </w:p>
    <w:p>
      <w:pPr>
        <w:spacing w:after="0" w:line="21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For example, the attacks on cargo vessels in the Red Sea have resulted in delayed deliveries and increased freight costs, and a prolonged or escalating armed conflict may result in additional costs, including any impact from using air freight instead of ocean freight to mitigate inventory delays. It is possible that the adverse impact of these and future attacks, including additional costs associated with mitigation efforts, could materially adversely affect our business and results of operation.</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All factories that we partner with are contractually required to adhere to the Company’s Vendor Code of Conduct, go through social audits which include on-site walk-throughs to appraise the physical working conditions and health and safety practices, and review payroll and age documentation. If these factories are unwilling or not able to meet the standards set forth within the Company’s Vendor Code of Conduct, it could limit the options available to us and could result in an increase of costs of manufacturing, which we may not be able to pass on to our customers.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20</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Other events that could disrupt the timely delivery of our merchandise include new trade law provisions or regulations, reliance on a limited number of shipping carriers and associated alliances, weather events, significant labor disputes, port congestion and other unexpected events.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Our reliance on our distribution centers makes us susceptible to disruptions or adverse conditions affecting our supply chain.</w:t>
      </w:r>
    </w:p>
    <w:p>
      <w:pPr>
        <w:spacing w:after="0" w:line="24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distribution center operations are susceptible to local and regional factors, such as system failures, accidents, labor disputes, economic and weather conditions, natural disasters, significant power interruptions or outages, demographic and population changes, and other unforeseen events and circumstances. We rely on both company-operated and third-party distribution centers to manage the receipt, storage, sorting, packing and distribution of our merchandise. If our distribution centers are not adequate to support our operations, including as a result of capacity constraints in response to an increase in digital sales or performance issues related to third-party management, the increased rate of merchandise returns, we could experience adverse impacts such as shipping delays and or customer dissatisfaction. In addition, if our distribution operations were disrupted due to, for example, labor shortages, natural disasters or power interruptions or outages, and we were unable to relocate operations or find other property adequate for conducting business, our ability to replace inventory in our stores and process digital and third-party orders could be interrupted, potentially resulting in adverse impacts to sales or increased costs. Refer to “</w:t>
      </w:r>
      <w:r>
        <w:rPr>
          <w:rFonts w:ascii="Arial" w:cs="Arial" w:eastAsia="Arial" w:hAnsi="Arial"/>
          <w:sz w:val="16"/>
          <w:szCs w:val="16"/>
          <w:i w:val="1"/>
          <w:iCs w:val="1"/>
          <w:u w:val="single" w:color="auto"/>
          <w:color w:val="0000FF"/>
        </w:rPr>
        <w:t>ITEM 1. BUSINESS</w:t>
      </w:r>
      <w:r>
        <w:rPr>
          <w:rFonts w:ascii="Arial" w:cs="Arial" w:eastAsia="Arial" w:hAnsi="Arial"/>
          <w:sz w:val="16"/>
          <w:szCs w:val="16"/>
          <w:color w:val="auto"/>
        </w:rPr>
        <w:t>” of this Annual Report on Form 10-K, for a listing of certain distribution centers on which we rely.</w:t>
      </w:r>
    </w:p>
    <w:p>
      <w:pPr>
        <w:spacing w:after="0" w:line="22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u w:val="single" w:color="auto"/>
          <w:color w:val="auto"/>
        </w:rPr>
        <w:t>We rely on the experience and skills of our executive officers and associates, and the failure to attract or retain this talent, effectively manage succession, and establish a workforce that can best serve the communities in which we operate could have a material adverse impact on our business.</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Our ability to succeed may be adversely impacted if we are not able to attract, retain and develop talent and future leaders, including our executive officers. We believe that the attraction, retention and management of qualified talent is integral to our success in advancing our strategies and key business priorities and avoiding disruptions in our business. We rely on our associates across the organization, including those at our corporate offices, stores and distribution centers, as well as their experience and expertise in the retail business.  </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executive officers closely supervise all aspects of our operations, have substantial experience and expertise in the retail business and have an integral role in the growth and success of our brands. If we were to lose the benefit of the involvement of our executive officers or other personnel, without adequate succession plans, our business could be adversely affected.</w:t>
      </w:r>
    </w:p>
    <w:p>
      <w:pPr>
        <w:spacing w:after="0" w:line="19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addition, if we are unable to attract and retain talent at the associate level, our business could be adversely impacted. Competition for such qualified talent is intense, and we cannot be sure that we will be able to attract, retain and develop a sufficient number of qualified individuals in future periods. In addition, we cannot guarantee that we will be able to find adequate temporary or seasonal personnel to staff our operations when needed. For example, as automation, AI and similar technological advancements continue to evolve, we may need to compete for talent that is familiar with these advancements in technologies in order to compete effectively with our industry peers. If we are not successful in these efforts, our business may be adversely affected.</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If we are not successful in these efforts or fail to successfully execute against the key human capital management initiatives discussed in “</w:t>
      </w:r>
      <w:r>
        <w:rPr>
          <w:rFonts w:ascii="Arial" w:cs="Arial" w:eastAsia="Arial" w:hAnsi="Arial"/>
          <w:sz w:val="16"/>
          <w:szCs w:val="16"/>
          <w:i w:val="1"/>
          <w:iCs w:val="1"/>
          <w:u w:val="single" w:color="auto"/>
          <w:color w:val="0000FF"/>
        </w:rPr>
        <w:t>ITEM 1.</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0000FF"/>
        </w:rPr>
        <w:t>BUSINESS</w:t>
      </w:r>
      <w:r>
        <w:rPr>
          <w:rFonts w:ascii="Arial" w:cs="Arial" w:eastAsia="Arial" w:hAnsi="Arial"/>
          <w:sz w:val="16"/>
          <w:szCs w:val="16"/>
          <w:color w:val="000000"/>
        </w:rPr>
        <w:t>” of this Annual Report on Form 10-K, our business could be adversely impacted.</w:t>
      </w:r>
    </w:p>
    <w:p>
      <w:pPr>
        <w:spacing w:after="0" w:line="23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u w:val="single" w:color="auto"/>
          <w:color w:val="19408E"/>
        </w:rPr>
        <w:t>I</w:t>
      </w:r>
      <w:r>
        <w:rPr>
          <w:rFonts w:ascii="Arial" w:cs="Arial" w:eastAsia="Arial" w:hAnsi="Arial"/>
          <w:sz w:val="16"/>
          <w:szCs w:val="16"/>
          <w:i w:val="1"/>
          <w:iCs w:val="1"/>
          <w:u w:val="single" w:color="auto"/>
          <w:color w:val="000000"/>
        </w:rPr>
        <w:t>f we identify a material weakness in our internal control over financial reporting, fail to remediate a material weakness, or fail to establish and maintain</w:t>
      </w:r>
      <w:r>
        <w:rPr>
          <w:rFonts w:ascii="Arial" w:cs="Arial" w:eastAsia="Arial" w:hAnsi="Arial"/>
          <w:sz w:val="16"/>
          <w:szCs w:val="16"/>
          <w:i w:val="1"/>
          <w:iCs w:val="1"/>
          <w:u w:val="single" w:color="auto"/>
          <w:color w:val="19408E"/>
        </w:rPr>
        <w:t xml:space="preserve"> </w:t>
      </w:r>
      <w:r>
        <w:rPr>
          <w:rFonts w:ascii="Arial" w:cs="Arial" w:eastAsia="Arial" w:hAnsi="Arial"/>
          <w:sz w:val="16"/>
          <w:szCs w:val="16"/>
          <w:i w:val="1"/>
          <w:iCs w:val="1"/>
          <w:u w:val="single" w:color="auto"/>
          <w:color w:val="000000"/>
        </w:rPr>
        <w:t>effective internal control over financial reporting, our ability to accurately and timely report our financial results could be adversely affected.</w:t>
      </w:r>
    </w:p>
    <w:p>
      <w:pPr>
        <w:spacing w:after="0" w:line="19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effectiveness of any controls or procedures is subject to certain inherent limitations, and as a result, there can be no assurance that our controls and procedures will prevent or detect misstatements. Even an effective system of internal control over financial reporting will provide only reasonable, not absolute, assurance with respect to financial statement preparation. Also, projections of any evaluations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1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If we fail to remediate a material weakness, or are otherwise unable to maintain effective internal control over financial reporting, management could be required to expend significant resources. Additionally, we could fail to meet our public reporting requirements on a timely basis, and be subject to fines, penalties, investigations or judgements, all of which could negatively affect investor confidence and adversely impact our stock price.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21</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C7E65"/>
        </w:rPr>
        <w:t>LEGAL, TAX, REGULATORY AND COMPLIANCE RISKS.</w:t>
      </w:r>
    </w:p>
    <w:p>
      <w:pPr>
        <w:spacing w:after="0" w:line="25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u w:val="single" w:color="auto"/>
          <w:color w:val="auto"/>
        </w:rPr>
        <w:t>Misconduct or illegal activities by our current and former associates, directors, advisers, third-party service providers or business partners, or others affiliated, or perceived to be affiliated, with the Company could subject to us to reputational harm, regulatory scrutiny or inquiries, or legal liability</w:t>
      </w:r>
      <w:r>
        <w:rPr>
          <w:rFonts w:ascii="Arial" w:cs="Arial" w:eastAsia="Arial" w:hAnsi="Arial"/>
          <w:sz w:val="16"/>
          <w:szCs w:val="16"/>
          <w:color w:val="auto"/>
        </w:rPr>
        <w:t>.</w:t>
      </w:r>
    </w:p>
    <w:p>
      <w:pPr>
        <w:spacing w:after="0" w:line="19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There is a risk that current or former associates, executives, directors, advisers, third party-service providers or business partners of the Company, or others who are actually or perceived to be affiliated with us, could engage, deliberately or recklessly, in misconduct or fraud that creates legal exposure for us and adversely affects our business. If such individuals were to engage, or be accused of engaging in, illegal or suspicious activities, sexual misconduct or harassment, racial or gender discrimination, improper use or disclosure of confidential information, fraud, payment or solicitation of bribes, or any other type of similar misconduct or violation of other laws and regulations, during their employment or service with us, we could suffer serious harm to our brand, reputation, be subject to penalties or sanctions, suffer serious harm to our financial position and current and future business relationships, and face potentially significant litigation or investigations.</w:t>
      </w:r>
    </w:p>
    <w:p>
      <w:pPr>
        <w:spacing w:after="0" w:line="203"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In particular, Michael Jeffries, who served as chief executive officer of the Company from 1992 to 2014, has been accused of sexual abuse and exploitation, which accusations include claims relating to behavior that is alleged to have occurred during his prior tenure with us. Criminal charges have been filed against Mr. Jeffries, and there are multiple pending civil actions against Mr. Jeffries and the Company that relate to this alleged behavior. Although we believe the claims against us are without merit, the allegations against this former executive, as well as the claims brought against us, have resulted in negative media attention and may result in additional litigation or may result in other adverse consequences to our reputation, brand, and business. In addition, in March 2024 and March 2025, the Delaware Court of Chancery ruled that Mr. Jeffries was entitled to advancement by the Company of his defense costs for the civil litigation and for his defense costs for the criminal prosecution against him, respectively.</w:t>
      </w:r>
    </w:p>
    <w:p>
      <w:pPr>
        <w:spacing w:after="0" w:line="23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u w:val="single" w:color="auto"/>
          <w:color w:val="auto"/>
        </w:rPr>
        <w:t>Fluctuations in our tax obligations and effective tax rate may result in volatility in our results of operations could have a material adverse impact on our business.</w:t>
      </w:r>
    </w:p>
    <w:p>
      <w:pPr>
        <w:spacing w:after="0" w:line="18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are subject to income taxes in many U.S. and foreign jurisdictions. In addition, our products are subject to import and excise duties and/or sales, consumption or value-added taxes (“VAT”) in many jurisdictions. We record tax expense based on our estimates of future payments, which include reserves for estimates of probable settlements of foreign and domestic tax audits. At any time, many tax years are subject to audit by various taxing jurisdictions. The results of these audits and negotiations with taxing authorities may affect the ultimate settlement of these issues. As a result, we expect that throughout the year, there could be ongoing variability in our quarterly tax rates as taxable events occur and exposures are evaluated. In addition, our effective tax rate in any given financial reporting period may be materially impacted by changes in the mix and level of earnings or losses by taxing jurisdictions or by changes to existing accounting rules or regulations. Fluctuations in duties could also have a material impact on our financial condition, results of operations or cash flows.</w:t>
      </w:r>
    </w:p>
    <w:p>
      <w:pPr>
        <w:spacing w:after="0" w:line="40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Organization for Economic Co-operation and Development (“OECD”), along with members of its inclusive framework, have, through the Base Erosion and Profit Shifting project, proposed changes to numerous long-standing tax principles (“Pillar Two Rules”). Although the U.S. effectively withdrew from the OECD global tax agreement in January 2025, other countries where the Company does business, including the U.K. and Germany, have enacted legislation implementing Pillar Two Rules, which are effective from January 1, 2024. The implementation of the Pillar Two Rules in each jurisdiction in which the Company operates did not have a material impact on its effective tax rate for Fiscal 2024, and the Company does not project a material impact on the effective tax rate for Fiscal 2025.</w:t>
      </w:r>
    </w:p>
    <w:p>
      <w:pPr>
        <w:spacing w:after="0" w:line="2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some global markets, we are required to withhold and remit VAT to the appropriate local tax authorities. Failure to correctly calculate or remit the appropriate amounts could subject us to substantial fines and penalties that could have an adverse effect on our financial condition, results of operations or cash flows.</w:t>
      </w:r>
    </w:p>
    <w:p>
      <w:pPr>
        <w:spacing w:after="0" w:line="383"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In the past, tax law has been enacted, domestically and abroad, impacting our current or future tax structure and effective tax rate, such as the Inflation Reduction Act in the U.S. Tax law may be enacted in the future, domestically or abroad, that impacts our current or future tax structure and effective tax rate.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Litigation and any future stockholder activism could have a material adverse impact on our business.</w:t>
      </w:r>
    </w:p>
    <w:p>
      <w:pPr>
        <w:spacing w:after="0" w:line="24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along with third parties we do business with, are involved, from time to time, in litigation arising in the ordinary course of business. Litigation matters may include, but are not limited to, contract disputes, employment-related actions, alleged misconduct by current or former associates, labor relations, commercial litigation, intellectual property rights, privacy litigation, product safety, environmental matters and shareholder actions.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22</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Litigation, in general, may be expensive and disruptive. We cannot predict with certainty the outcomes of these legal proceedings and other contingencies, and the costs incurred in litigation can be substantial, regardless of the outcome. Substantial unanticipated verdicts, fines and rulings do sometimes occur. As a result, we could, from time to time, incur judgments, enter into settlements, or revise our expectations regarding the outcome of certain matters, and such developments could have a material adverse effect on our results of operations in the period in which the amounts are accrued and/or our cash flows in the period in which the amounts are paid. The outcome of some of these legal proceedings and other contingencies could require us to take, or refrain from taking, actions which could negatively affect our operations and, depending on the nature of the allegations, could negatively impact our reputation. Additionally, defending against these legal proceedings may involve significant expense and diversion of management’s attention and resources.</w:t>
      </w:r>
    </w:p>
    <w:p>
      <w:pPr>
        <w:spacing w:after="0" w:line="21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Stockholder activism, which could take many forms or arise in a variety of situations, remains popular with many public investors. Due to the volatility of our stock price and for a variety of other reasons, we may become the target of securities litigation or stockholder activism. Responding to stockholder activists’ campaigns may involve significant expense and diversion of management’s attention and resources without yielding any improvement in our results of operations or financial condition.</w:t>
      </w:r>
    </w:p>
    <w:p>
      <w:pPr>
        <w:spacing w:after="0" w:line="188" w:lineRule="exact"/>
        <w:rPr>
          <w:sz w:val="20"/>
          <w:szCs w:val="20"/>
          <w:color w:val="auto"/>
        </w:rPr>
      </w:pPr>
    </w:p>
    <w:p>
      <w:pPr>
        <w:jc w:val="both"/>
        <w:ind w:right="120"/>
        <w:spacing w:after="0" w:line="265" w:lineRule="auto"/>
        <w:rPr>
          <w:sz w:val="20"/>
          <w:szCs w:val="20"/>
          <w:color w:val="auto"/>
        </w:rPr>
      </w:pPr>
      <w:r>
        <w:rPr>
          <w:rFonts w:ascii="Arial" w:cs="Arial" w:eastAsia="Arial" w:hAnsi="Arial"/>
          <w:sz w:val="16"/>
          <w:szCs w:val="16"/>
          <w:i w:val="1"/>
          <w:iCs w:val="1"/>
          <w:u w:val="single" w:color="auto"/>
          <w:color w:val="auto"/>
        </w:rPr>
        <w:t>Failure to adequately protect and enforce our intellectual property, or failure to adequately ensure that we are not infringing the intellectual property rights of others, could have a negative impact on our brand image and limit our ability to penetrate new markets which could have a material adverse impact on our business.</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believe our core trademarks, Abercrombie &amp; Fitch</w:t>
      </w:r>
      <w:r>
        <w:rPr>
          <w:rFonts w:ascii="Arial" w:cs="Arial" w:eastAsia="Arial" w:hAnsi="Arial"/>
          <w:sz w:val="21"/>
          <w:szCs w:val="21"/>
          <w:color w:val="auto"/>
          <w:vertAlign w:val="superscript"/>
        </w:rPr>
        <w:t>®</w:t>
      </w:r>
      <w:r>
        <w:rPr>
          <w:rFonts w:ascii="Arial" w:cs="Arial" w:eastAsia="Arial" w:hAnsi="Arial"/>
          <w:sz w:val="16"/>
          <w:szCs w:val="16"/>
          <w:color w:val="auto"/>
        </w:rPr>
        <w:t>, abercrombie</w:t>
      </w:r>
      <w:r>
        <w:rPr>
          <w:rFonts w:ascii="Arial" w:cs="Arial" w:eastAsia="Arial" w:hAnsi="Arial"/>
          <w:sz w:val="21"/>
          <w:szCs w:val="21"/>
          <w:color w:val="auto"/>
          <w:vertAlign w:val="superscript"/>
        </w:rPr>
        <w:t>®</w:t>
      </w:r>
      <w:r>
        <w:rPr>
          <w:rFonts w:ascii="Arial" w:cs="Arial" w:eastAsia="Arial" w:hAnsi="Arial"/>
          <w:sz w:val="16"/>
          <w:szCs w:val="16"/>
          <w:color w:val="auto"/>
        </w:rPr>
        <w:t>, Hollister</w:t>
      </w:r>
      <w:r>
        <w:rPr>
          <w:rFonts w:ascii="Arial" w:cs="Arial" w:eastAsia="Arial" w:hAnsi="Arial"/>
          <w:sz w:val="21"/>
          <w:szCs w:val="21"/>
          <w:color w:val="auto"/>
          <w:vertAlign w:val="superscript"/>
        </w:rPr>
        <w:t>®</w:t>
      </w:r>
      <w:r>
        <w:rPr>
          <w:rFonts w:ascii="Arial" w:cs="Arial" w:eastAsia="Arial" w:hAnsi="Arial"/>
          <w:sz w:val="16"/>
          <w:szCs w:val="16"/>
          <w:color w:val="auto"/>
        </w:rPr>
        <w:t>, Gilly Hicks</w:t>
      </w:r>
      <w:r>
        <w:rPr>
          <w:rFonts w:ascii="Arial" w:cs="Arial" w:eastAsia="Arial" w:hAnsi="Arial"/>
          <w:sz w:val="21"/>
          <w:szCs w:val="21"/>
          <w:color w:val="auto"/>
          <w:vertAlign w:val="superscript"/>
        </w:rPr>
        <w:t>®</w:t>
      </w:r>
      <w:r>
        <w:rPr>
          <w:rFonts w:ascii="Arial" w:cs="Arial" w:eastAsia="Arial" w:hAnsi="Arial"/>
          <w:sz w:val="16"/>
          <w:szCs w:val="16"/>
          <w:color w:val="auto"/>
        </w:rPr>
        <w:t>, and the “Moose” and “Seagull” logos, are essential to the effective implementation of our strategy. We have obtained or applied for federal registration of these trademarks with the U.S. Patent and Trademark Office and the registries of countries in key markets within the Company’s owned and operated sales and distribution channels, and those in which the Company’s franchise, wholesale, and licensing partners have sales and distribution rights. In addition, these trademarks are either registered, or the Company has applications for registration pending, with the registries of many of the foreign countries in which the manufacturers of the Company’s products are located. There can be no assurance that we will obtain registrations that have been applied for or that the registrations we obtain will prevent the imitation of our products or infringement of our intellectual property rights by others. Although brand security initiatives are in place, we cannot guarantee that our efforts against the infringement or counterfeiting of our brands will be successful. If a third party copies our products in a manner that projects lesser quality or carries a negative connotation, our brand image could be materially adversely affected.</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Because we have not yet registered all of our trademarks in all categories, or in all foreign countries in which we source or offer our merchandise now, or may in the future, our global expansion and our merchandising of products using these marks could be limited. The pending applications for international registration of various trademarks could be challenged or rejected in those countries because third parties of whom we are not currently aware have already registered similar marks in those countries. Accordingly, it may be possible, in those foreign countries where the status of various applications is pending or unclear, for a third-party owner of the national trademark registration for a similar mark to prohibit the manufacture, sale or exportation of branded goods in or from that country. Failure to register our trademarks or purchase or license the right to use our trademarks or logos in these jurisdictions could limit our ability to obtain supplies from, or manufacture in, less costly markets or penetrate new markets should our business plan include selling our merchandise or granting rights to our franchise, wholesale, and licensing partners in those non-U.S. jurisdictions.</w:t>
      </w:r>
    </w:p>
    <w:p>
      <w:pPr>
        <w:spacing w:after="0" w:line="19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In addition, if third parties successfully claim we infringe their intellectual property rights, we may be subject to liability, be prevented from using our trademarks or other intellectual property rights, or be obligated to remove this merchandise from our inventory, which could have an adverse effect on our financial conditions and operations. Defending infringement claims could be expensive and time consuming and might result in our incurring additional costs, entering into costly license agreements, actions to recover unpaid royalty fees, or other settlement agreements. These risks may be magnified if we increase our use of licensing arrangements or partnerships with third parties.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Changes in the regulatory or compliance landscape could have a material adverse impact on our business.</w:t>
      </w:r>
    </w:p>
    <w:p>
      <w:pPr>
        <w:spacing w:after="0" w:line="24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are subject to numerous domestic and foreign laws and regulations, including those related to customs, truth-in-advertising, securities, environmental and social disclosures, consumer protection, general privacy, health information privacy, identity theft, online privacy, general employment, employee health and safety, minimum wages, unsolicited commercial communication and zoning and occupancy laws, as well as ordinances that regulate retailers generally and/or govern the importation, intellectual property, promotion and sale of merchandise and the operation of retail stores, digital operations and distribution centers. If these laws and regulations were to change, or were violated by our management, associates, suppliers, vendors or other parties with whom we do business, the costs of certain merchandise could increase, or we could experience delays in shipments of our merchandise, be subject to fines or penalties, temporary or permanent store closures, or increased regulatory scrutiny or suffer reputational harm, which could reduce demand for our merchandise and adversely affect our business and results of operations. Any changes in regulations, the imposition of additional regulations, or the enactment of any new or more stringent legislation including the areas referenced above, could adversely affect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23</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Laws and regulations at the local, state, federal and various global levels frequently change, and the ultimate cost of compliance cannot be precisely estimated. Changes in the legal or regulatory environment affecting responsible sourcing, supply chain transparency, or environmental protection, among others, may result in increased compliance costs for us and our business partners. Additionally, we may face regulatory challenges in complying with applicable global sanctions and trade regulations and reputational challenges with our consumers and other stakeholders if we are unable to sufficiently verify the origins of material sourced for the manufacture of our products.</w:t>
      </w:r>
    </w:p>
    <w:p>
      <w:pPr>
        <w:spacing w:after="0" w:line="19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addition, we are subject to a variety of regulatory and reporting requirements, including, but not limited to, those related to corporate governance and public disclosure. Stockholder activism, the current political environment, financial reform legislation, government intervention and regulatory reform may lead to substantial new regulations and disclosure obligations. New requirements or changes in current regulatory reporting requirements may introduce additional complexities, lead to additional compliance costs, divert management’s time and attention from strategic business activities, and could have a significant effect on our reported results for the affected periods. Failure to comply with such regulations could result in fines, penalties, or lawsuits and could have a material adverse impact on our business.</w:t>
      </w:r>
    </w:p>
    <w:p>
      <w:pPr>
        <w:spacing w:after="0" w:line="20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u w:val="single" w:color="auto"/>
          <w:color w:val="auto"/>
        </w:rPr>
        <w:t>The agreements related to A&amp;F Management’s senior secured asset-based revolving credit facility includes restrictive covenants that limit our flexibility in operating our business and our inability to obtain additional credit on reasonable terms in the future could have an adverse impact on our business.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Amended and Restated Credit Agreement (as amended, the “ABL Credit Agreement”) of Abercrombie &amp; Fitch Management Co. (“A&amp;F Management”), a wholly-owned indirect subsidiary of A&amp;F, provides for a senior secured asset-based revolving credit facility of up to $500 million (the “ABL Facility”), which matures on August 2, 2029. The agreements related to the ABL Facility contain restrictive covenants that, subject to specified exemptions, restrict, among other things, the ability of the Company and its subsidiaries to: incur, assume or guarantee additional indebtedness; grant or incur liens; sell or otherwise dispose of assets, including capital stock of subsidiaries; make investments in certain subsidiaries; pay dividends or make distributions on our capital stock; redeem or repurchase capital stock; change the nature of our business; and consolidate or merge with or into, or sell substantially all of the assets of the Company or A&amp;F Management to another entity.</w:t>
      </w:r>
    </w:p>
    <w:p>
      <w:pPr>
        <w:spacing w:after="0" w:line="21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If an event of default under either related agreement occurs, any outstanding obligations under the ABL Facility could be declared immediately due and payable or the lenders or noteholders could foreclose on or exercise other remedies with respect to the assets securing the indebtedness under the ABL Facility. In addition, there is no assurance that we would have the cash resources available to repay such accelerated obligations. Moreover, the ABL Facility is secured by certain of our real property, inventory, intellectual property, general intangibles and receivables, among other things, and lenders may exercise remedies against the collateral in an event of default.</w:t>
      </w:r>
    </w:p>
    <w:p>
      <w:pPr>
        <w:spacing w:after="0" w:line="21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may, from time to time, incur indebtedness. There can be no assurance that we would be able to obtain sufficient funds to enable us to repay or refinance any future obligations on commercially reasonable terms, or at all. Changes in market conditions could potentially impact the size and terms of a replacement facility or facilities in the future. The inability to obtain credit on commercially reasonable terms in the future could adversely impact our liquidity and results of operations as well as limit our ability to take advantage of business opportunities that may arise.</w:t>
      </w:r>
    </w:p>
    <w:p>
      <w:pPr>
        <w:spacing w:after="0" w:line="202" w:lineRule="exact"/>
        <w:rPr>
          <w:sz w:val="20"/>
          <w:szCs w:val="20"/>
          <w:color w:val="auto"/>
        </w:rPr>
      </w:pPr>
    </w:p>
    <w:p>
      <w:pPr>
        <w:jc w:val="both"/>
        <w:spacing w:after="0" w:line="274" w:lineRule="auto"/>
        <w:rPr>
          <w:sz w:val="20"/>
          <w:szCs w:val="20"/>
          <w:color w:val="auto"/>
        </w:rPr>
      </w:pPr>
      <w:r>
        <w:rPr>
          <w:rFonts w:ascii="Arial" w:cs="Arial" w:eastAsia="Arial" w:hAnsi="Arial"/>
          <w:sz w:val="16"/>
          <w:szCs w:val="16"/>
          <w:i w:val="1"/>
          <w:iCs w:val="1"/>
          <w:u w:val="single" w:color="auto"/>
          <w:color w:val="auto"/>
        </w:rPr>
        <w:t>Our amended and restated bylaws provide that certain courts in the State of Delaware or the federal district courts of the United States will be the sole and exclusive forum for substantially all disputes between us and our stockholders, which could limit our shareholders’ ability to obtain a favorable judicial forum for disputes with us or our directors, officers, or employees.</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Our amended and restated bylaws provide that, unless we consent in writing to the selection of an alternative forum, the Court of Chancery located within the State of Delaware will be the sole and exclusive forum for any derivative action or proceeding brought on our behalf, any action asserting a claim of breach of a fiduciary duty owed by any current or former director, officer, other employee or shareholder to us or our shareholders, any action asserting a claim arising pursuant to any provision of the General Corporation Law of the State of Delaware, our certificate of incorporation or our bylaws (as either may be amended or restated) or as to which the General Corporation Law of the State of Delaware confers jurisdiction on the Court of Chancery of the State of Delaware, or any action asserting a claim governed by the internal affairs doctrine of the law of the State of Delaware. However, if the Court of Chancery within the State of Delaware lacks jurisdiction over such action, the action may be brought in the United States District Court for the District of Delaware. Additionally, unless we consent in writing to the selection of an alternative forum, the federal district courts of the United States of America shall be the exclusive forum for the resolution of any complaint asserting a cause of action arising under the Securities Act of 1933, as amended (the “Securities Act”). The exclusive forum provisions will be applicable to the fullest extent permitted by applicable law, subject to certain exceptions. Section 27 of the Exchange Act creates exclusive federal jurisdiction over all suits brought to enforce any duty or liability created by the Exchange Act or the rules and regulations thereunder. As a result, the exclusive forum provisions will not apply to suits brought to enforce any duty or liability created by the Exchange Act or any other claim for which the federal courts have exclusive jurisdiction. There is, however, uncertainty as to whether a court would enforce the exclusive forum provisions, and investors cannot waive compliance with the federal securities laws and the rules and regulations thereunder. Furthermore, Section 22 of the Securities Act creates concurrent jurisdiction for state and federal courts over all suits brought to enforce any duty or liability created by the Securities Act or the rules and regulations thereunder.</w:t>
      </w:r>
    </w:p>
    <w:p>
      <w:pPr>
        <w:spacing w:after="0" w:line="200" w:lineRule="exact"/>
        <w:rPr>
          <w:sz w:val="20"/>
          <w:szCs w:val="20"/>
          <w:color w:val="auto"/>
        </w:rPr>
      </w:pPr>
    </w:p>
    <w:p>
      <w:pPr>
        <w:spacing w:after="0" w:line="255"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24</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9"/>
          <w:szCs w:val="29"/>
          <w:u w:val="single" w:color="auto"/>
          <w:color w:val="AC7E65"/>
        </w:rPr>
        <w:t>Item 1B. Unresolved Staff Comments</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9"/>
          <w:szCs w:val="29"/>
          <w:u w:val="single" w:color="auto"/>
          <w:color w:val="AC7E65"/>
        </w:rPr>
        <w:t>Item 1C. Cybersecurity</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Risk Management and Strategy</w:t>
      </w:r>
    </w:p>
    <w:p>
      <w:pPr>
        <w:spacing w:after="0" w:line="24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has established an information security program and related processes for assessing, identifying, and managing material risks from cybersecurity threats to the Company, including governance at the executive and Board level of the Company’s cyber risk management strategy and the controls designed to protect its operations. The Company’s information security program is managed at the executive level, with regular reporting to, and oversight by, the Board as described below. The Company’s program includes multi-layered governance by management, the Audit and Finance Committee of the Board and the Board, as described in greater detail below.</w:t>
      </w:r>
    </w:p>
    <w:p>
      <w:pPr>
        <w:spacing w:after="0" w:line="186"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The Company’s policies and procedures identify how cybersecurity measures and controls are developed, implemented, and regularly reviewed and updated. The Company implements and maintains a set of controls to manage information risk, establishes guidelines for the use of information technology, and defines standards for identifying and mitigating information risks. The controls are developed based on risk assessments and a review of controls from multiple security frameworks, such as the Center for Internet Security’s Critical Security Control and the Payment Card Industry Data Security Standard. The Company, internally and through third parties, conducts multiple information risk assessments each year. Risks identified in such assessments are considered and evaluated for inclusion in the Company’s information risk portfolio and are then prioritized and addressed where appropriate to update the Company’s information security programs. Assessments, along with risk-based analysis and judgment, are used by the Company to determine how it should manage these risks.</w:t>
      </w:r>
    </w:p>
    <w:p>
      <w:pPr>
        <w:spacing w:after="0" w:line="20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In addition, the Company’s Incident Response Plan (“IRP”) provides an outline for the Company on how to identify and address a significant cybersecurity incident. The IRP includes certain steps to be taken by the Information Security team to, among other things, assess the severity of an incident, determine the appropriate escalation, and mitigate or remediate the incident. The IRP is intended to serve as a framework to aid the Information Security team and other corporate functions in coordinating the Company’s response to an incident in order to minimize the impact on the Company’s business and operations, as well as the affected parties.</w:t>
      </w:r>
    </w:p>
    <w:p>
      <w:pPr>
        <w:spacing w:after="0" w:line="214"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The Company also conducts cybersecurity exercises and training. For example, certain corporate associates and management-level associates in our stores and distribution centers must complete cybersecurity training on an at least annual basis, which educates the associates on the Company’s policies and procedures for the handling of customer and employee personal data, incident reporting, and avoiding common cybersecurity threats such as phishing attacks. In addition, targeted training for corporate associates occurs throughout the year, and regular audiences include associates on the Company’s marketing, data analytics, and user experience teams. The Company’s management holds annual executive data incident tabletop exercises and the information security team holds more frequent technical tabletop exercises.</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leverages third-party security firms in different capacities to implement or operate various aspects of the Company’s information assets and information security program, including to conduct risk assessments and penetration testing. The Company uses a variety of processes to address cybersecurity threats associated with third parties, including our use of third-party technology and services, such as conducting risk assessments and reviewing contractual requirements where the Company has determined it to be appropriate.</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Company (or the third parties on which it relies) may not be able to fully, continuously, and effectively implement security controls as intended. As described above, we utilize a risk-based approach and judgment to determine the security controls to implement and it is possible we may not implement sufficient controls if we do not recognize or underestimate a particular risk. In addition, security controls, no matter how well designed or implemented, may only partially mitigate and not fully eliminate risks. Events, when detected by security tools or third parties, may not always be immediately understood or acted upon.</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Board Governance and Management</w:t>
      </w:r>
    </w:p>
    <w:p>
      <w:pPr>
        <w:spacing w:after="0" w:line="246"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Cybersecurity risk is managed as an enterprise risk in the Company’s enterprise risk management process. Responsibility for risk oversight and management generally lies with the Company’s Board. To manage oversight of our cybersecurity risk management practices, since 2019 the Board has delegated such responsibility to the Company’s Audit and Finance Committee. The Company’s Chief Information Security Officer (“CISO”) and the Information Security team provide reports to either the Audit and Finance Committee or the Board on a quarterly basis on various matters, such as current and emerging cybersecurity risks to the Company, risks and incidents that were escalated to management during the prior quarter (including those that did not require immediate escalation to the Audit and Finance Committee and/or full Board), internal and external assessments of the Company’s information security program, and a roadmap of projects and major initiatives to manage its information security posture.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25</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At the executive and management level, the CISO has primary responsibility for the architecture, implementation, and management of the Company’s information security program. The CISO has approximately two decades of experience in technology risk management, including over a decade with the Company, and has passed examinations and received certifications as a SANS Global Information Security Leader and a Certified Information Systems Auditor. The CISO reports directly to the Company’s Chief Digital and Technology Officer. The Company’s Information Security team, under the direction of the CISO, implements and provides governance and functional oversight for cybersecurity controls and services. Information Security processes include escalation of certain risks and incidents, including those that originate or occur at third parties, to the CISO and the executive team as appropriate based on the severity or potential severity. In addition, regular updates from the Information Security team, in conjunction with real-time escalation on an as-needed basis, are also used to assess the risk landscape and adjust the Company’s strategy and roadmap to address such risk.</w:t>
      </w:r>
    </w:p>
    <w:p>
      <w:pPr>
        <w:spacing w:after="0" w:line="23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Although the risks from cybersecurity threats have not materially affected our business strategy, results of operations, or financial condition to date, they may in the future and we continue to closely monitor cyber risk. See “</w:t>
      </w:r>
      <w:r>
        <w:rPr>
          <w:rFonts w:ascii="Arial" w:cs="Arial" w:eastAsia="Arial" w:hAnsi="Arial"/>
          <w:sz w:val="16"/>
          <w:szCs w:val="16"/>
          <w:u w:val="single" w:color="auto"/>
          <w:color w:val="0000FF"/>
        </w:rPr>
        <w:t>ITEM 1A. RISK FACTORS</w:t>
      </w:r>
      <w:r>
        <w:rPr>
          <w:rFonts w:ascii="Arial" w:cs="Arial" w:eastAsia="Arial" w:hAnsi="Arial"/>
          <w:sz w:val="16"/>
          <w:szCs w:val="16"/>
          <w:color w:val="auto"/>
        </w:rPr>
        <w:t>” for additional information regarding the Company’s cybersecurity risks and which should be read in conjunction with this Item 1C.</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9"/>
          <w:szCs w:val="29"/>
          <w:u w:val="single" w:color="auto"/>
          <w:color w:val="AC7E65"/>
        </w:rPr>
        <w:t>Item 2. Properties</w:t>
      </w:r>
    </w:p>
    <w:p>
      <w:pPr>
        <w:spacing w:after="0" w:line="26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Company’s global headquarters are located on a campus-like setting in New Albany, Ohio, which is owned by the Company. The Company’s global headquarters also include Company-owned distribution centers that support distribution to all domestic stores and the majority of domestic digital orders. The Company also leases property for its regional headquarters located in London, United Kingdom and Shanghai, China. In addition, the Company owns or leases facilities both domestically and internationally to support the Company’s operations, such as its distribution centers and various support centers.</w:t>
      </w:r>
    </w:p>
    <w:p>
      <w:pPr>
        <w:spacing w:after="0" w:line="2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does not believe any individual regional headquarters, third-party distribution center or support center lease is material as, if necessary or desirable to relocate an operation, other suitable property could be found. These properties are utilized by both of the Company’s operating segments and are currently suitable and adequate for conducting the Company’s business.</w:t>
      </w:r>
    </w:p>
    <w:p>
      <w:pPr>
        <w:spacing w:after="0" w:line="19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As of February 1, 2025, the Company operated 789 retail stores across its brands. The Company does not believe that any individual store lease is material; however, certain geographic areas may have a higher concentration of store locations.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9"/>
          <w:szCs w:val="29"/>
          <w:u w:val="single" w:color="auto"/>
          <w:color w:val="AC7E65"/>
        </w:rPr>
        <w:t>Item 3. Legal Proceedings</w:t>
      </w:r>
    </w:p>
    <w:p>
      <w:pPr>
        <w:spacing w:after="0" w:line="252"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Company and its affiliates are parties to lawsuits and other adversary proceedings that may range from individual actions involving a single plaintiff to class action lawsuits. The Company’s legal costs incurred in connection with the resolution of claims and lawsuits are generally expensed as incurred, and the Company establishes estimated liabilities for the outcome of litigation where losses are deemed probable and the amount of loss, or range of loss, is reasonably estimable. The Company also determines estimates of reasonably possible losses or ranges of reasonably possible losses in excess of related accrued liabilities, if any, when it has determined that a loss is reasonably possible, and it is able to determine such estimates. For information regarding legal proceedings, see Note 18 “</w:t>
      </w:r>
      <w:r>
        <w:rPr>
          <w:rFonts w:ascii="Arial" w:cs="Arial" w:eastAsia="Arial" w:hAnsi="Arial"/>
          <w:sz w:val="16"/>
          <w:szCs w:val="16"/>
          <w:i w:val="1"/>
          <w:iCs w:val="1"/>
          <w:u w:val="single" w:color="auto"/>
          <w:color w:val="0000FF"/>
        </w:rPr>
        <w:t>CONTINGENCIES</w:t>
      </w:r>
      <w:r>
        <w:rPr>
          <w:rFonts w:ascii="Arial" w:cs="Arial" w:eastAsia="Arial" w:hAnsi="Arial"/>
          <w:sz w:val="16"/>
          <w:szCs w:val="16"/>
          <w:color w:val="auto"/>
        </w:rPr>
        <w:t>” to the Consolidated Financial Statements included in this Annual report on Form 10-K. The Company’s accrued charges for certain legal contingencies are classified within accrued expenses on the Consolidated Balance Sheets included in “</w:t>
      </w:r>
      <w:r>
        <w:rPr>
          <w:rFonts w:ascii="Arial" w:cs="Arial" w:eastAsia="Arial" w:hAnsi="Arial"/>
          <w:sz w:val="16"/>
          <w:szCs w:val="16"/>
          <w:i w:val="1"/>
          <w:iCs w:val="1"/>
          <w:u w:val="single" w:color="auto"/>
          <w:color w:val="0000FF"/>
        </w:rPr>
        <w:t>ITEM 8.</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0000FF"/>
        </w:rPr>
        <w:t>FINANCIAL STATEMENTS AND SUPPLEMENTARY DATA</w:t>
      </w:r>
      <w:r>
        <w:rPr>
          <w:rFonts w:ascii="Arial" w:cs="Arial" w:eastAsia="Arial" w:hAnsi="Arial"/>
          <w:sz w:val="16"/>
          <w:szCs w:val="16"/>
          <w:color w:val="000000"/>
        </w:rPr>
        <w:t>,” of this Annual Report on Form 10-K. Based on currently available information, the Company</w:t>
      </w:r>
      <w:r>
        <w:rPr>
          <w:rFonts w:ascii="Arial" w:cs="Arial" w:eastAsia="Arial" w:hAnsi="Arial"/>
          <w:sz w:val="16"/>
          <w:szCs w:val="16"/>
          <w:i w:val="1"/>
          <w:iCs w:val="1"/>
          <w:color w:val="0000FF"/>
        </w:rPr>
        <w:t xml:space="preserve"> </w:t>
      </w:r>
      <w:r>
        <w:rPr>
          <w:rFonts w:ascii="Arial" w:cs="Arial" w:eastAsia="Arial" w:hAnsi="Arial"/>
          <w:sz w:val="16"/>
          <w:szCs w:val="16"/>
          <w:color w:val="000000"/>
        </w:rPr>
        <w:t>cannot estimate a range of reasonably possible losses in excess of the accrued charges for legal contingencies. In addition, the Company has not established accruals for certain claims and legal proceedings pending against the Company where it is not possible to reasonably estimate the outcome or potential liability, and the Company cannot estimate a range of reasonably possible losses for these legal matters. Actual liabilities may differ from the amounts recorded, due to uncertainties regarding final settlement agreement negotiations and the terms of any approval by the courts, and there can be no assurance that the final resolution of legal matters will not have a material adverse effect on the Company’s financial condition, results of operations, or cash flows. The Company’s assessment of the current exposure could change in the event of the discovery of additional facts.</w:t>
      </w:r>
    </w:p>
    <w:p>
      <w:pPr>
        <w:spacing w:after="0" w:line="23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addition, pursuant to Item 103(c)(3)(iii) of Regulation S-K under the Exchange Act, the Company is required to disclose certain information about environmental proceedings to which a governmental authority is a party if the Company reasonably believes such proceedings may result in monetary sanctions, exclusive of interest and costs, above a stated threshold. The Company has elected to apply a threshold of $1 million for purposes of determining whether disclosure of any such proceedings is required.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9"/>
          <w:szCs w:val="29"/>
          <w:u w:val="single" w:color="auto"/>
          <w:color w:val="AC7E65"/>
        </w:rPr>
        <w:t>Item 4. Mine Safety Disclosures</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26</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32"/>
          <w:szCs w:val="32"/>
          <w:b w:val="1"/>
          <w:bCs w:val="1"/>
          <w:color w:val="AC7E65"/>
        </w:rPr>
        <w:t>PART II</w:t>
      </w:r>
    </w:p>
    <w:p>
      <w:pPr>
        <w:spacing w:after="0" w:line="211" w:lineRule="exact"/>
        <w:rPr>
          <w:sz w:val="20"/>
          <w:szCs w:val="20"/>
          <w:color w:val="auto"/>
        </w:rPr>
      </w:pPr>
    </w:p>
    <w:p>
      <w:pPr>
        <w:ind w:right="60"/>
        <w:spacing w:after="0" w:line="286" w:lineRule="auto"/>
        <w:rPr>
          <w:sz w:val="20"/>
          <w:szCs w:val="20"/>
          <w:color w:val="auto"/>
        </w:rPr>
      </w:pPr>
      <w:r>
        <w:rPr>
          <w:rFonts w:ascii="Arial" w:cs="Arial" w:eastAsia="Arial" w:hAnsi="Arial"/>
          <w:sz w:val="29"/>
          <w:szCs w:val="29"/>
          <w:u w:val="single" w:color="auto"/>
          <w:color w:val="AC7E65"/>
        </w:rPr>
        <w:t>Item 5. Market for Registrant’s Common Equity, Related Stockholder Matters and Issuer Purchases of Equity Securities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78971"/>
        </w:rPr>
        <w:t>Market Information and Holders</w:t>
      </w:r>
    </w:p>
    <w:p>
      <w:pPr>
        <w:spacing w:after="0" w:line="26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A&amp;F’s Class A Common Stock, $0.01 par value (“Common Stock”) is traded on the New York Stock Exchange under the symbol “ANF.” As of March 31, 2025, there were approximately 2,200 stockholders of record. However, when including investors holding shares of Common Stock in broker accounts under street name, A&amp;F estimates that there were approximately 215,300 stockholders.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78971"/>
        </w:rPr>
        <w:t>Performance Graph</w:t>
      </w:r>
    </w:p>
    <w:p>
      <w:pPr>
        <w:spacing w:after="0" w:line="24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following graph shows the changes, over the five-year period ended February 1, 2025 (the last day of A&amp;F’s Fiscal 2024) in the value of $100 invested in (i) shares of Common Stock; (ii) Standard &amp; Poor’s 500 Stock Index (the “S&amp;P 500”); and (iii) Standard &amp; Poor’s Apparel Retail Composite Index (the “S&amp;P Apparel Retail”), including reinvestment of dividends. The plotted points represent the closing price on the last trading day of the fiscal year indicated.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PERFORMANCE GRAPH </w:t>
      </w:r>
      <w:r>
        <w:rPr>
          <w:rFonts w:ascii="Arial" w:cs="Arial" w:eastAsia="Arial" w:hAnsi="Arial"/>
          <w:sz w:val="23"/>
          <w:szCs w:val="23"/>
          <w:b w:val="1"/>
          <w:bCs w:val="1"/>
          <w:color w:val="auto"/>
          <w:vertAlign w:val="superscript"/>
        </w:rPr>
        <w:t>(1)</w:t>
      </w:r>
    </w:p>
    <w:p>
      <w:pPr>
        <w:jc w:val="center"/>
        <w:ind w:right="-19"/>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Among A&amp;F, the S&amp;P 500 Index and the S&amp;P Apparel Retail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6350</wp:posOffset>
            </wp:positionV>
            <wp:extent cx="5777865" cy="32575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7786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4720" w:type="dxa"/>
            <w:vAlign w:val="bottom"/>
            <w:tcBorders>
              <w:bottom w:val="single" w:sz="8" w:color="F5F5F5"/>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color w:val="auto"/>
              </w:rPr>
              <w:t>02/01/20</w:t>
            </w:r>
          </w:p>
        </w:tc>
        <w:tc>
          <w:tcPr>
            <w:tcW w:w="120" w:type="dxa"/>
            <w:vAlign w:val="bottom"/>
            <w:tcBorders>
              <w:bottom w:val="single" w:sz="8" w:color="F5F5F5"/>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01/30/21</w:t>
            </w:r>
          </w:p>
        </w:tc>
        <w:tc>
          <w:tcPr>
            <w:tcW w:w="100" w:type="dxa"/>
            <w:vAlign w:val="bottom"/>
            <w:tcBorders>
              <w:bottom w:val="single" w:sz="8" w:color="F5F5F5"/>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color w:val="auto"/>
              </w:rPr>
              <w:t>01/29/22</w:t>
            </w:r>
          </w:p>
        </w:tc>
        <w:tc>
          <w:tcPr>
            <w:tcW w:w="100" w:type="dxa"/>
            <w:vAlign w:val="bottom"/>
            <w:tcBorders>
              <w:bottom w:val="single" w:sz="8" w:color="F5F5F5"/>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color w:val="auto"/>
              </w:rPr>
              <w:t>01/28/23</w:t>
            </w:r>
          </w:p>
        </w:tc>
        <w:tc>
          <w:tcPr>
            <w:tcW w:w="120" w:type="dxa"/>
            <w:vAlign w:val="bottom"/>
            <w:tcBorders>
              <w:bottom w:val="single" w:sz="8" w:color="F5F5F5"/>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color w:val="auto"/>
              </w:rPr>
              <w:t>02/03/24</w:t>
            </w:r>
          </w:p>
        </w:tc>
        <w:tc>
          <w:tcPr>
            <w:tcW w:w="100" w:type="dxa"/>
            <w:vAlign w:val="bottom"/>
            <w:tcBorders>
              <w:bottom w:val="single" w:sz="8" w:color="F5F5F5"/>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color w:val="auto"/>
              </w:rPr>
              <w:t>02/01/25</w:t>
            </w:r>
          </w:p>
        </w:tc>
      </w:tr>
      <w:tr>
        <w:trPr>
          <w:trHeight w:val="200"/>
        </w:trPr>
        <w:tc>
          <w:tcPr>
            <w:tcW w:w="4720" w:type="dxa"/>
            <w:vAlign w:val="bottom"/>
            <w:shd w:val="clear" w:color="auto" w:fill="F5F5F5"/>
          </w:tcPr>
          <w:p>
            <w:pPr>
              <w:ind w:left="20"/>
              <w:spacing w:after="0"/>
              <w:rPr>
                <w:sz w:val="20"/>
                <w:szCs w:val="20"/>
                <w:color w:val="auto"/>
              </w:rPr>
            </w:pPr>
            <w:r>
              <w:rPr>
                <w:rFonts w:ascii="Arial" w:cs="Arial" w:eastAsia="Arial" w:hAnsi="Arial"/>
                <w:sz w:val="14"/>
                <w:szCs w:val="14"/>
                <w:color w:val="auto"/>
              </w:rPr>
              <w:t>A&amp;F</w:t>
            </w:r>
          </w:p>
        </w:tc>
        <w:tc>
          <w:tcPr>
            <w:tcW w:w="240" w:type="dxa"/>
            <w:vAlign w:val="bottom"/>
            <w:shd w:val="clear" w:color="auto" w:fill="F5F5F5"/>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shd w:val="clear" w:color="auto" w:fill="F5F5F5"/>
          </w:tcPr>
          <w:p>
            <w:pPr>
              <w:jc w:val="center"/>
              <w:ind w:left="108"/>
              <w:spacing w:after="0"/>
              <w:rPr>
                <w:sz w:val="20"/>
                <w:szCs w:val="20"/>
                <w:color w:val="auto"/>
              </w:rPr>
            </w:pPr>
            <w:r>
              <w:rPr>
                <w:rFonts w:ascii="Arial" w:cs="Arial" w:eastAsia="Arial" w:hAnsi="Arial"/>
                <w:sz w:val="14"/>
                <w:szCs w:val="14"/>
                <w:color w:val="auto"/>
              </w:rPr>
              <w:t>100.00</w:t>
            </w:r>
          </w:p>
        </w:tc>
        <w:tc>
          <w:tcPr>
            <w:tcW w:w="120" w:type="dxa"/>
            <w:vAlign w:val="bottom"/>
            <w:shd w:val="clear" w:color="auto" w:fill="F5F5F5"/>
          </w:tcPr>
          <w:p>
            <w:pPr>
              <w:spacing w:after="0"/>
              <w:rPr>
                <w:sz w:val="17"/>
                <w:szCs w:val="17"/>
                <w:color w:val="auto"/>
              </w:rPr>
            </w:pPr>
          </w:p>
        </w:tc>
        <w:tc>
          <w:tcPr>
            <w:tcW w:w="240" w:type="dxa"/>
            <w:vAlign w:val="bottom"/>
            <w:shd w:val="clear" w:color="auto" w:fill="F5F5F5"/>
          </w:tcPr>
          <w:p>
            <w:pPr>
              <w:jc w:val="right"/>
              <w:ind w:right="8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143.43</w:t>
            </w:r>
          </w:p>
        </w:tc>
        <w:tc>
          <w:tcPr>
            <w:tcW w:w="100" w:type="dxa"/>
            <w:vAlign w:val="bottom"/>
            <w:shd w:val="clear" w:color="auto" w:fill="F5F5F5"/>
          </w:tcPr>
          <w:p>
            <w:pPr>
              <w:spacing w:after="0"/>
              <w:rPr>
                <w:sz w:val="17"/>
                <w:szCs w:val="17"/>
                <w:color w:val="auto"/>
              </w:rPr>
            </w:pPr>
          </w:p>
        </w:tc>
        <w:tc>
          <w:tcPr>
            <w:tcW w:w="260" w:type="dxa"/>
            <w:vAlign w:val="bottom"/>
            <w:shd w:val="clear" w:color="auto" w:fill="F5F5F5"/>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shd w:val="clear" w:color="auto" w:fill="F5F5F5"/>
          </w:tcPr>
          <w:p>
            <w:pPr>
              <w:jc w:val="center"/>
              <w:ind w:left="68"/>
              <w:spacing w:after="0"/>
              <w:rPr>
                <w:sz w:val="20"/>
                <w:szCs w:val="20"/>
                <w:color w:val="auto"/>
              </w:rPr>
            </w:pPr>
            <w:r>
              <w:rPr>
                <w:rFonts w:ascii="Arial" w:cs="Arial" w:eastAsia="Arial" w:hAnsi="Arial"/>
                <w:sz w:val="14"/>
                <w:szCs w:val="14"/>
                <w:color w:val="auto"/>
              </w:rPr>
              <w:t>226.87</w:t>
            </w:r>
          </w:p>
        </w:tc>
        <w:tc>
          <w:tcPr>
            <w:tcW w:w="100" w:type="dxa"/>
            <w:vAlign w:val="bottom"/>
            <w:shd w:val="clear" w:color="auto" w:fill="F5F5F5"/>
          </w:tcPr>
          <w:p>
            <w:pPr>
              <w:spacing w:after="0"/>
              <w:rPr>
                <w:sz w:val="17"/>
                <w:szCs w:val="17"/>
                <w:color w:val="auto"/>
              </w:rPr>
            </w:pPr>
          </w:p>
        </w:tc>
        <w:tc>
          <w:tcPr>
            <w:tcW w:w="240" w:type="dxa"/>
            <w:vAlign w:val="bottom"/>
            <w:shd w:val="clear" w:color="auto" w:fill="F5F5F5"/>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shd w:val="clear" w:color="auto" w:fill="F5F5F5"/>
          </w:tcPr>
          <w:p>
            <w:pPr>
              <w:jc w:val="center"/>
              <w:ind w:left="108"/>
              <w:spacing w:after="0"/>
              <w:rPr>
                <w:sz w:val="20"/>
                <w:szCs w:val="20"/>
                <w:color w:val="auto"/>
              </w:rPr>
            </w:pPr>
            <w:r>
              <w:rPr>
                <w:rFonts w:ascii="Arial" w:cs="Arial" w:eastAsia="Arial" w:hAnsi="Arial"/>
                <w:sz w:val="14"/>
                <w:szCs w:val="14"/>
                <w:color w:val="auto"/>
              </w:rPr>
              <w:t>169.79</w:t>
            </w:r>
          </w:p>
        </w:tc>
        <w:tc>
          <w:tcPr>
            <w:tcW w:w="120" w:type="dxa"/>
            <w:vAlign w:val="bottom"/>
            <w:shd w:val="clear" w:color="auto" w:fill="F5F5F5"/>
          </w:tcPr>
          <w:p>
            <w:pPr>
              <w:spacing w:after="0"/>
              <w:rPr>
                <w:sz w:val="17"/>
                <w:szCs w:val="17"/>
                <w:color w:val="auto"/>
              </w:rPr>
            </w:pPr>
          </w:p>
        </w:tc>
        <w:tc>
          <w:tcPr>
            <w:tcW w:w="240" w:type="dxa"/>
            <w:vAlign w:val="bottom"/>
            <w:shd w:val="clear" w:color="auto" w:fill="F5F5F5"/>
          </w:tcPr>
          <w:p>
            <w:pPr>
              <w:jc w:val="right"/>
              <w:ind w:right="8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F5F5F5"/>
          </w:tcPr>
          <w:p>
            <w:pPr>
              <w:jc w:val="center"/>
              <w:ind w:left="68"/>
              <w:spacing w:after="0"/>
              <w:rPr>
                <w:sz w:val="20"/>
                <w:szCs w:val="20"/>
                <w:color w:val="auto"/>
              </w:rPr>
            </w:pPr>
            <w:r>
              <w:rPr>
                <w:rFonts w:ascii="Arial" w:cs="Arial" w:eastAsia="Arial" w:hAnsi="Arial"/>
                <w:sz w:val="14"/>
                <w:szCs w:val="14"/>
                <w:color w:val="auto"/>
              </w:rPr>
              <w:t>680.60</w:t>
            </w:r>
          </w:p>
        </w:tc>
        <w:tc>
          <w:tcPr>
            <w:tcW w:w="100" w:type="dxa"/>
            <w:vAlign w:val="bottom"/>
            <w:shd w:val="clear" w:color="auto" w:fill="F5F5F5"/>
          </w:tcPr>
          <w:p>
            <w:pPr>
              <w:spacing w:after="0"/>
              <w:rPr>
                <w:sz w:val="17"/>
                <w:szCs w:val="17"/>
                <w:color w:val="auto"/>
              </w:rPr>
            </w:pPr>
          </w:p>
        </w:tc>
        <w:tc>
          <w:tcPr>
            <w:tcW w:w="260" w:type="dxa"/>
            <w:vAlign w:val="bottom"/>
            <w:shd w:val="clear" w:color="auto" w:fill="F5F5F5"/>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shd w:val="clear" w:color="auto" w:fill="F5F5F5"/>
          </w:tcPr>
          <w:p>
            <w:pPr>
              <w:jc w:val="center"/>
              <w:ind w:left="68"/>
              <w:spacing w:after="0"/>
              <w:rPr>
                <w:sz w:val="20"/>
                <w:szCs w:val="20"/>
                <w:color w:val="auto"/>
              </w:rPr>
            </w:pPr>
            <w:r>
              <w:rPr>
                <w:rFonts w:ascii="Arial" w:cs="Arial" w:eastAsia="Arial" w:hAnsi="Arial"/>
                <w:sz w:val="14"/>
                <w:szCs w:val="14"/>
                <w:color w:val="auto"/>
              </w:rPr>
              <w:t>742.21</w:t>
            </w:r>
          </w:p>
        </w:tc>
      </w:tr>
      <w:tr>
        <w:trPr>
          <w:trHeight w:val="198"/>
        </w:trPr>
        <w:tc>
          <w:tcPr>
            <w:tcW w:w="4720" w:type="dxa"/>
            <w:vAlign w:val="bottom"/>
          </w:tcPr>
          <w:p>
            <w:pPr>
              <w:ind w:left="20"/>
              <w:spacing w:after="0"/>
              <w:rPr>
                <w:sz w:val="20"/>
                <w:szCs w:val="20"/>
                <w:color w:val="auto"/>
              </w:rPr>
            </w:pPr>
            <w:r>
              <w:rPr>
                <w:rFonts w:ascii="Arial" w:cs="Arial" w:eastAsia="Arial" w:hAnsi="Arial"/>
                <w:sz w:val="14"/>
                <w:szCs w:val="14"/>
                <w:color w:val="auto"/>
              </w:rPr>
              <w:t>S&amp;P 500</w:t>
            </w:r>
          </w:p>
        </w:tc>
        <w:tc>
          <w:tcPr>
            <w:tcW w:w="240" w:type="dxa"/>
            <w:vAlign w:val="bottom"/>
          </w:tcPr>
          <w:p>
            <w:pPr>
              <w:spacing w:after="0"/>
              <w:rPr>
                <w:sz w:val="17"/>
                <w:szCs w:val="17"/>
                <w:color w:val="auto"/>
              </w:rPr>
            </w:pPr>
          </w:p>
        </w:tc>
        <w:tc>
          <w:tcPr>
            <w:tcW w:w="740" w:type="dxa"/>
            <w:vAlign w:val="bottom"/>
          </w:tcPr>
          <w:p>
            <w:pPr>
              <w:jc w:val="center"/>
              <w:ind w:left="108"/>
              <w:spacing w:after="0"/>
              <w:rPr>
                <w:sz w:val="20"/>
                <w:szCs w:val="20"/>
                <w:color w:val="auto"/>
              </w:rPr>
            </w:pPr>
            <w:r>
              <w:rPr>
                <w:rFonts w:ascii="Arial" w:cs="Arial" w:eastAsia="Arial" w:hAnsi="Arial"/>
                <w:sz w:val="14"/>
                <w:szCs w:val="14"/>
                <w:color w:val="auto"/>
              </w:rPr>
              <w:t>100.00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117.23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center"/>
              <w:ind w:left="68"/>
              <w:spacing w:after="0"/>
              <w:rPr>
                <w:sz w:val="20"/>
                <w:szCs w:val="20"/>
                <w:color w:val="auto"/>
              </w:rPr>
            </w:pPr>
            <w:r>
              <w:rPr>
                <w:rFonts w:ascii="Arial" w:cs="Arial" w:eastAsia="Arial" w:hAnsi="Arial"/>
                <w:sz w:val="14"/>
                <w:szCs w:val="14"/>
                <w:color w:val="auto"/>
              </w:rPr>
              <w:t>141.84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center"/>
              <w:ind w:left="108"/>
              <w:spacing w:after="0"/>
              <w:rPr>
                <w:sz w:val="20"/>
                <w:szCs w:val="20"/>
                <w:color w:val="auto"/>
              </w:rPr>
            </w:pPr>
            <w:r>
              <w:rPr>
                <w:rFonts w:ascii="Arial" w:cs="Arial" w:eastAsia="Arial" w:hAnsi="Arial"/>
                <w:sz w:val="14"/>
                <w:szCs w:val="14"/>
                <w:color w:val="auto"/>
              </w:rPr>
              <w:t>132.41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center"/>
              <w:ind w:left="68"/>
              <w:spacing w:after="0"/>
              <w:rPr>
                <w:sz w:val="20"/>
                <w:szCs w:val="20"/>
                <w:color w:val="auto"/>
              </w:rPr>
            </w:pPr>
            <w:r>
              <w:rPr>
                <w:rFonts w:ascii="Arial" w:cs="Arial" w:eastAsia="Arial" w:hAnsi="Arial"/>
                <w:sz w:val="14"/>
                <w:szCs w:val="14"/>
                <w:color w:val="auto"/>
              </w:rPr>
              <w:t>163.95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center"/>
              <w:ind w:left="68"/>
              <w:spacing w:after="0"/>
              <w:rPr>
                <w:sz w:val="20"/>
                <w:szCs w:val="20"/>
                <w:color w:val="auto"/>
              </w:rPr>
            </w:pPr>
            <w:r>
              <w:rPr>
                <w:rFonts w:ascii="Arial" w:cs="Arial" w:eastAsia="Arial" w:hAnsi="Arial"/>
                <w:sz w:val="14"/>
                <w:szCs w:val="14"/>
                <w:color w:val="auto"/>
              </w:rPr>
              <w:t>202.41</w:t>
            </w:r>
          </w:p>
        </w:tc>
      </w:tr>
      <w:tr>
        <w:trPr>
          <w:trHeight w:val="207"/>
        </w:trPr>
        <w:tc>
          <w:tcPr>
            <w:tcW w:w="4720" w:type="dxa"/>
            <w:vAlign w:val="bottom"/>
            <w:shd w:val="clear" w:color="auto" w:fill="F5F5F5"/>
          </w:tcPr>
          <w:p>
            <w:pPr>
              <w:ind w:left="20"/>
              <w:spacing w:after="0"/>
              <w:rPr>
                <w:sz w:val="20"/>
                <w:szCs w:val="20"/>
                <w:color w:val="auto"/>
              </w:rPr>
            </w:pPr>
            <w:r>
              <w:rPr>
                <w:rFonts w:ascii="Arial" w:cs="Arial" w:eastAsia="Arial" w:hAnsi="Arial"/>
                <w:sz w:val="14"/>
                <w:szCs w:val="14"/>
                <w:color w:val="auto"/>
              </w:rPr>
              <w:t>S&amp;P Apparel Retail</w:t>
            </w:r>
          </w:p>
        </w:tc>
        <w:tc>
          <w:tcPr>
            <w:tcW w:w="240" w:type="dxa"/>
            <w:vAlign w:val="bottom"/>
            <w:shd w:val="clear" w:color="auto" w:fill="F5F5F5"/>
          </w:tcPr>
          <w:p>
            <w:pPr>
              <w:spacing w:after="0"/>
              <w:rPr>
                <w:sz w:val="17"/>
                <w:szCs w:val="17"/>
                <w:color w:val="auto"/>
              </w:rPr>
            </w:pPr>
          </w:p>
        </w:tc>
        <w:tc>
          <w:tcPr>
            <w:tcW w:w="740" w:type="dxa"/>
            <w:vAlign w:val="bottom"/>
            <w:shd w:val="clear" w:color="auto" w:fill="F5F5F5"/>
          </w:tcPr>
          <w:p>
            <w:pPr>
              <w:jc w:val="center"/>
              <w:ind w:left="108"/>
              <w:spacing w:after="0"/>
              <w:rPr>
                <w:sz w:val="20"/>
                <w:szCs w:val="20"/>
                <w:color w:val="auto"/>
              </w:rPr>
            </w:pPr>
            <w:r>
              <w:rPr>
                <w:rFonts w:ascii="Arial" w:cs="Arial" w:eastAsia="Arial" w:hAnsi="Arial"/>
                <w:sz w:val="14"/>
                <w:szCs w:val="14"/>
                <w:color w:val="auto"/>
              </w:rPr>
              <w:t>100.00</w:t>
            </w:r>
          </w:p>
        </w:tc>
        <w:tc>
          <w:tcPr>
            <w:tcW w:w="120" w:type="dxa"/>
            <w:vAlign w:val="bottom"/>
            <w:shd w:val="clear" w:color="auto" w:fill="F5F5F5"/>
          </w:tcPr>
          <w:p>
            <w:pPr>
              <w:spacing w:after="0"/>
              <w:rPr>
                <w:sz w:val="17"/>
                <w:szCs w:val="17"/>
                <w:color w:val="auto"/>
              </w:rPr>
            </w:pPr>
          </w:p>
        </w:tc>
        <w:tc>
          <w:tcPr>
            <w:tcW w:w="240" w:type="dxa"/>
            <w:vAlign w:val="bottom"/>
            <w:shd w:val="clear" w:color="auto" w:fill="F5F5F5"/>
          </w:tcPr>
          <w:p>
            <w:pPr>
              <w:spacing w:after="0"/>
              <w:rPr>
                <w:sz w:val="17"/>
                <w:szCs w:val="17"/>
                <w:color w:val="auto"/>
              </w:rPr>
            </w:pPr>
          </w:p>
        </w:tc>
        <w:tc>
          <w:tcPr>
            <w:tcW w:w="74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109.13</w:t>
            </w:r>
          </w:p>
        </w:tc>
        <w:tc>
          <w:tcPr>
            <w:tcW w:w="100" w:type="dxa"/>
            <w:vAlign w:val="bottom"/>
            <w:shd w:val="clear" w:color="auto" w:fill="F5F5F5"/>
          </w:tcPr>
          <w:p>
            <w:pPr>
              <w:spacing w:after="0"/>
              <w:rPr>
                <w:sz w:val="17"/>
                <w:szCs w:val="17"/>
                <w:color w:val="auto"/>
              </w:rPr>
            </w:pPr>
          </w:p>
        </w:tc>
        <w:tc>
          <w:tcPr>
            <w:tcW w:w="260" w:type="dxa"/>
            <w:vAlign w:val="bottom"/>
            <w:shd w:val="clear" w:color="auto" w:fill="F5F5F5"/>
          </w:tcPr>
          <w:p>
            <w:pPr>
              <w:spacing w:after="0"/>
              <w:rPr>
                <w:sz w:val="17"/>
                <w:szCs w:val="17"/>
                <w:color w:val="auto"/>
              </w:rPr>
            </w:pPr>
          </w:p>
        </w:tc>
        <w:tc>
          <w:tcPr>
            <w:tcW w:w="740" w:type="dxa"/>
            <w:vAlign w:val="bottom"/>
            <w:shd w:val="clear" w:color="auto" w:fill="F5F5F5"/>
          </w:tcPr>
          <w:p>
            <w:pPr>
              <w:jc w:val="center"/>
              <w:ind w:left="68"/>
              <w:spacing w:after="0"/>
              <w:rPr>
                <w:sz w:val="20"/>
                <w:szCs w:val="20"/>
                <w:color w:val="auto"/>
              </w:rPr>
            </w:pPr>
            <w:r>
              <w:rPr>
                <w:rFonts w:ascii="Arial" w:cs="Arial" w:eastAsia="Arial" w:hAnsi="Arial"/>
                <w:sz w:val="14"/>
                <w:szCs w:val="14"/>
                <w:color w:val="auto"/>
              </w:rPr>
              <w:t>120.83</w:t>
            </w:r>
          </w:p>
        </w:tc>
        <w:tc>
          <w:tcPr>
            <w:tcW w:w="100" w:type="dxa"/>
            <w:vAlign w:val="bottom"/>
            <w:shd w:val="clear" w:color="auto" w:fill="F5F5F5"/>
          </w:tcPr>
          <w:p>
            <w:pPr>
              <w:spacing w:after="0"/>
              <w:rPr>
                <w:sz w:val="17"/>
                <w:szCs w:val="17"/>
                <w:color w:val="auto"/>
              </w:rPr>
            </w:pPr>
          </w:p>
        </w:tc>
        <w:tc>
          <w:tcPr>
            <w:tcW w:w="240" w:type="dxa"/>
            <w:vAlign w:val="bottom"/>
            <w:shd w:val="clear" w:color="auto" w:fill="F5F5F5"/>
          </w:tcPr>
          <w:p>
            <w:pPr>
              <w:spacing w:after="0"/>
              <w:rPr>
                <w:sz w:val="17"/>
                <w:szCs w:val="17"/>
                <w:color w:val="auto"/>
              </w:rPr>
            </w:pPr>
          </w:p>
        </w:tc>
        <w:tc>
          <w:tcPr>
            <w:tcW w:w="740" w:type="dxa"/>
            <w:vAlign w:val="bottom"/>
            <w:shd w:val="clear" w:color="auto" w:fill="F5F5F5"/>
          </w:tcPr>
          <w:p>
            <w:pPr>
              <w:jc w:val="center"/>
              <w:ind w:left="108"/>
              <w:spacing w:after="0"/>
              <w:rPr>
                <w:sz w:val="20"/>
                <w:szCs w:val="20"/>
                <w:color w:val="auto"/>
              </w:rPr>
            </w:pPr>
            <w:r>
              <w:rPr>
                <w:rFonts w:ascii="Arial" w:cs="Arial" w:eastAsia="Arial" w:hAnsi="Arial"/>
                <w:sz w:val="14"/>
                <w:szCs w:val="14"/>
                <w:color w:val="auto"/>
              </w:rPr>
              <w:t>144.39</w:t>
            </w:r>
          </w:p>
        </w:tc>
        <w:tc>
          <w:tcPr>
            <w:tcW w:w="120" w:type="dxa"/>
            <w:vAlign w:val="bottom"/>
            <w:shd w:val="clear" w:color="auto" w:fill="F5F5F5"/>
          </w:tcPr>
          <w:p>
            <w:pPr>
              <w:spacing w:after="0"/>
              <w:rPr>
                <w:sz w:val="17"/>
                <w:szCs w:val="17"/>
                <w:color w:val="auto"/>
              </w:rPr>
            </w:pPr>
          </w:p>
        </w:tc>
        <w:tc>
          <w:tcPr>
            <w:tcW w:w="240" w:type="dxa"/>
            <w:vAlign w:val="bottom"/>
            <w:shd w:val="clear" w:color="auto" w:fill="F5F5F5"/>
          </w:tcPr>
          <w:p>
            <w:pPr>
              <w:spacing w:after="0"/>
              <w:rPr>
                <w:sz w:val="17"/>
                <w:szCs w:val="17"/>
                <w:color w:val="auto"/>
              </w:rPr>
            </w:pPr>
          </w:p>
        </w:tc>
        <w:tc>
          <w:tcPr>
            <w:tcW w:w="740" w:type="dxa"/>
            <w:vAlign w:val="bottom"/>
            <w:shd w:val="clear" w:color="auto" w:fill="F5F5F5"/>
          </w:tcPr>
          <w:p>
            <w:pPr>
              <w:jc w:val="center"/>
              <w:ind w:left="68"/>
              <w:spacing w:after="0"/>
              <w:rPr>
                <w:sz w:val="20"/>
                <w:szCs w:val="20"/>
                <w:color w:val="auto"/>
              </w:rPr>
            </w:pPr>
            <w:r>
              <w:rPr>
                <w:rFonts w:ascii="Arial" w:cs="Arial" w:eastAsia="Arial" w:hAnsi="Arial"/>
                <w:sz w:val="14"/>
                <w:szCs w:val="14"/>
                <w:color w:val="auto"/>
              </w:rPr>
              <w:t>174.93</w:t>
            </w:r>
          </w:p>
        </w:tc>
        <w:tc>
          <w:tcPr>
            <w:tcW w:w="100" w:type="dxa"/>
            <w:vAlign w:val="bottom"/>
            <w:shd w:val="clear" w:color="auto" w:fill="F5F5F5"/>
          </w:tcPr>
          <w:p>
            <w:pPr>
              <w:spacing w:after="0"/>
              <w:rPr>
                <w:sz w:val="17"/>
                <w:szCs w:val="17"/>
                <w:color w:val="auto"/>
              </w:rPr>
            </w:pPr>
          </w:p>
        </w:tc>
        <w:tc>
          <w:tcPr>
            <w:tcW w:w="260" w:type="dxa"/>
            <w:vAlign w:val="bottom"/>
            <w:shd w:val="clear" w:color="auto" w:fill="F5F5F5"/>
          </w:tcPr>
          <w:p>
            <w:pPr>
              <w:spacing w:after="0"/>
              <w:rPr>
                <w:sz w:val="17"/>
                <w:szCs w:val="17"/>
                <w:color w:val="auto"/>
              </w:rPr>
            </w:pPr>
          </w:p>
        </w:tc>
        <w:tc>
          <w:tcPr>
            <w:tcW w:w="740" w:type="dxa"/>
            <w:vAlign w:val="bottom"/>
            <w:shd w:val="clear" w:color="auto" w:fill="F5F5F5"/>
          </w:tcPr>
          <w:p>
            <w:pPr>
              <w:jc w:val="center"/>
              <w:ind w:left="68"/>
              <w:spacing w:after="0"/>
              <w:rPr>
                <w:sz w:val="20"/>
                <w:szCs w:val="20"/>
                <w:color w:val="auto"/>
              </w:rPr>
            </w:pPr>
            <w:r>
              <w:rPr>
                <w:rFonts w:ascii="Arial" w:cs="Arial" w:eastAsia="Arial" w:hAnsi="Arial"/>
                <w:sz w:val="14"/>
                <w:szCs w:val="14"/>
                <w:color w:val="auto"/>
              </w:rPr>
              <w:t>214.25</w:t>
            </w:r>
          </w:p>
        </w:tc>
      </w:tr>
    </w:tbl>
    <w:p>
      <w:pPr>
        <w:spacing w:after="0" w:line="325" w:lineRule="exact"/>
        <w:rPr>
          <w:sz w:val="20"/>
          <w:szCs w:val="20"/>
          <w:color w:val="auto"/>
        </w:rPr>
      </w:pPr>
    </w:p>
    <w:p>
      <w:pPr>
        <w:ind w:left="340" w:right="6040" w:hanging="332"/>
        <w:spacing w:after="0" w:line="302" w:lineRule="auto"/>
        <w:tabs>
          <w:tab w:leader="none" w:pos="219" w:val="left"/>
        </w:tabs>
        <w:numPr>
          <w:ilvl w:val="0"/>
          <w:numId w:val="22"/>
        </w:numPr>
        <w:rPr>
          <w:rFonts w:ascii="Arial" w:cs="Arial" w:eastAsia="Arial" w:hAnsi="Arial"/>
          <w:sz w:val="13"/>
          <w:szCs w:val="13"/>
          <w:color w:val="auto"/>
        </w:rPr>
      </w:pPr>
      <w:r>
        <w:rPr>
          <w:rFonts w:ascii="Arial" w:cs="Arial" w:eastAsia="Arial" w:hAnsi="Arial"/>
          <w:sz w:val="13"/>
          <w:szCs w:val="13"/>
          <w:color w:val="auto"/>
        </w:rPr>
        <w:t xml:space="preserve">$100 invested on February 01, 2020, including reinvestment of dividends. </w:t>
      </w:r>
      <w:r>
        <w:rPr>
          <w:rFonts w:ascii="Arial" w:cs="Arial" w:eastAsia="Arial" w:hAnsi="Arial"/>
          <w:sz w:val="13"/>
          <w:szCs w:val="13"/>
          <w:i w:val="1"/>
          <w:iCs w:val="1"/>
          <w:color w:val="auto"/>
        </w:rPr>
        <w:t>Copyright© 2025 Standard &amp; Poor’s, a division of S&amp;P Global. 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19030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38" w:lineRule="exact"/>
        <w:rPr>
          <w:sz w:val="20"/>
          <w:szCs w:val="20"/>
          <w:color w:val="auto"/>
        </w:rPr>
      </w:pPr>
    </w:p>
    <w:p>
      <w:pPr>
        <w:ind w:left="340" w:hanging="332"/>
        <w:spacing w:after="0" w:line="237" w:lineRule="auto"/>
        <w:tabs>
          <w:tab w:leader="none" w:pos="271" w:val="left"/>
        </w:tabs>
        <w:numPr>
          <w:ilvl w:val="0"/>
          <w:numId w:val="23"/>
        </w:numPr>
        <w:rPr>
          <w:rFonts w:ascii="Arial" w:cs="Arial" w:eastAsia="Arial" w:hAnsi="Arial"/>
          <w:sz w:val="18"/>
          <w:szCs w:val="18"/>
          <w:color w:val="auto"/>
          <w:vertAlign w:val="superscript"/>
        </w:rPr>
      </w:pPr>
      <w:r>
        <w:rPr>
          <w:rFonts w:ascii="Arial" w:cs="Arial" w:eastAsia="Arial" w:hAnsi="Arial"/>
          <w:sz w:val="13"/>
          <w:szCs w:val="13"/>
          <w:color w:val="auto"/>
        </w:rPr>
        <w:t>This performance graph shall not be deemed to be “soliciting material” or to be “filed” with the SEC or subject to Regulation 14A or to the liabilities of Section 18 of the Exchange Act, except to the extent that A&amp;F specifically requests that the performance graph be treated as soliciting material or specifically incorporates it by reference into a filing under the Securities Act or the Exchange Act.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27</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i w:val="1"/>
          <w:iCs w:val="1"/>
          <w:color w:val="A78971"/>
        </w:rPr>
        <w:t>Equity Securities</w:t>
      </w:r>
    </w:p>
    <w:p>
      <w:pPr>
        <w:spacing w:after="0" w:line="1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following table provides information regarding the purchase of shares of Common Stock made by or on behalf of A&amp;F or any “affiliated purchaser” as defined in Rule 10b-18(a)(3) under the Exchange Act during each fiscal month of the thirteen weeks ended February 1, 2025:</w:t>
      </w:r>
    </w:p>
    <w:p>
      <w:pPr>
        <w:sectPr>
          <w:pgSz w:w="11900" w:h="16838" w:orient="portrait"/>
          <w:cols w:equalWidth="0" w:num="1">
            <w:col w:w="11240"/>
          </w:cols>
          <w:pgMar w:left="320" w:top="125" w:right="339" w:bottom="1440" w:gutter="0" w:footer="0" w:header="0"/>
        </w:sectPr>
      </w:pPr>
    </w:p>
    <w:p>
      <w:pPr>
        <w:spacing w:after="0" w:line="34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660" w:type="dxa"/>
            <w:vAlign w:val="bottom"/>
            <w:vMerge w:val="restart"/>
          </w:tcPr>
          <w:p>
            <w:pPr>
              <w:spacing w:after="0"/>
              <w:rPr>
                <w:sz w:val="20"/>
                <w:szCs w:val="20"/>
                <w:color w:val="auto"/>
              </w:rPr>
            </w:pPr>
            <w:r>
              <w:rPr>
                <w:rFonts w:ascii="Arial" w:cs="Arial" w:eastAsia="Arial" w:hAnsi="Arial"/>
                <w:sz w:val="14"/>
                <w:szCs w:val="14"/>
                <w:color w:val="auto"/>
              </w:rPr>
              <w:t>Period (fiscal month)</w:t>
            </w:r>
          </w:p>
        </w:tc>
        <w:tc>
          <w:tcPr>
            <w:tcW w:w="2680" w:type="dxa"/>
            <w:vAlign w:val="bottom"/>
          </w:tcPr>
          <w:p>
            <w:pPr>
              <w:jc w:val="center"/>
              <w:ind w:left="1268"/>
              <w:spacing w:after="0"/>
              <w:rPr>
                <w:sz w:val="20"/>
                <w:szCs w:val="20"/>
                <w:color w:val="auto"/>
              </w:rPr>
            </w:pPr>
            <w:r>
              <w:rPr>
                <w:rFonts w:ascii="Arial" w:cs="Arial" w:eastAsia="Arial" w:hAnsi="Arial"/>
                <w:sz w:val="14"/>
                <w:szCs w:val="14"/>
                <w:color w:val="auto"/>
              </w:rPr>
              <w:t>Total Number of</w:t>
            </w:r>
          </w:p>
        </w:tc>
        <w:tc>
          <w:tcPr>
            <w:tcW w:w="0" w:type="dxa"/>
            <w:vAlign w:val="bottom"/>
          </w:tcPr>
          <w:p>
            <w:pPr>
              <w:spacing w:after="0"/>
              <w:rPr>
                <w:sz w:val="1"/>
                <w:szCs w:val="1"/>
                <w:color w:val="auto"/>
              </w:rPr>
            </w:pPr>
          </w:p>
        </w:tc>
      </w:tr>
      <w:tr>
        <w:trPr>
          <w:trHeight w:val="194"/>
        </w:trPr>
        <w:tc>
          <w:tcPr>
            <w:tcW w:w="2660" w:type="dxa"/>
            <w:vAlign w:val="bottom"/>
            <w:vMerge w:val="continue"/>
          </w:tcPr>
          <w:p>
            <w:pPr>
              <w:spacing w:after="0"/>
              <w:rPr>
                <w:sz w:val="16"/>
                <w:szCs w:val="16"/>
                <w:color w:val="auto"/>
              </w:rPr>
            </w:pPr>
          </w:p>
        </w:tc>
        <w:tc>
          <w:tcPr>
            <w:tcW w:w="2680" w:type="dxa"/>
            <w:vAlign w:val="bottom"/>
          </w:tcPr>
          <w:p>
            <w:pPr>
              <w:jc w:val="center"/>
              <w:ind w:left="1268"/>
              <w:spacing w:after="0"/>
              <w:rPr>
                <w:sz w:val="20"/>
                <w:szCs w:val="20"/>
                <w:color w:val="auto"/>
              </w:rPr>
            </w:pPr>
            <w:r>
              <w:rPr>
                <w:rFonts w:ascii="Arial" w:cs="Arial" w:eastAsia="Arial" w:hAnsi="Arial"/>
                <w:sz w:val="14"/>
                <w:szCs w:val="14"/>
                <w:color w:val="auto"/>
              </w:rPr>
              <w:t xml:space="preserve">Shares Purchased </w:t>
            </w:r>
            <w:r>
              <w:rPr>
                <w:rFonts w:ascii="Arial" w:cs="Arial" w:eastAsia="Arial" w:hAnsi="Arial"/>
                <w:sz w:val="9"/>
                <w:szCs w:val="9"/>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2180" w:type="dxa"/>
            <w:vAlign w:val="bottom"/>
            <w:vMerge w:val="restart"/>
          </w:tcPr>
          <w:p>
            <w:pPr>
              <w:jc w:val="center"/>
              <w:spacing w:after="0"/>
              <w:rPr>
                <w:sz w:val="20"/>
                <w:szCs w:val="20"/>
                <w:color w:val="auto"/>
              </w:rPr>
            </w:pPr>
            <w:r>
              <w:rPr>
                <w:rFonts w:ascii="Arial" w:cs="Arial" w:eastAsia="Arial" w:hAnsi="Arial"/>
                <w:sz w:val="14"/>
                <w:szCs w:val="14"/>
                <w:color w:val="auto"/>
              </w:rPr>
              <w:t>Total Number of Shares</w:t>
            </w:r>
          </w:p>
        </w:tc>
        <w:tc>
          <w:tcPr>
            <w:tcW w:w="2140" w:type="dxa"/>
            <w:vAlign w:val="bottom"/>
          </w:tcPr>
          <w:p>
            <w:pPr>
              <w:jc w:val="center"/>
              <w:ind w:left="29"/>
              <w:spacing w:after="0"/>
              <w:rPr>
                <w:sz w:val="20"/>
                <w:szCs w:val="20"/>
                <w:color w:val="auto"/>
              </w:rPr>
            </w:pPr>
            <w:r>
              <w:rPr>
                <w:rFonts w:ascii="Arial" w:cs="Arial" w:eastAsia="Arial" w:hAnsi="Arial"/>
                <w:sz w:val="14"/>
                <w:szCs w:val="14"/>
                <w:color w:val="auto"/>
              </w:rPr>
              <w:t>Maximum Number of Shares (or</w:t>
            </w:r>
          </w:p>
        </w:tc>
        <w:tc>
          <w:tcPr>
            <w:tcW w:w="0" w:type="dxa"/>
            <w:vAlign w:val="bottom"/>
          </w:tcPr>
          <w:p>
            <w:pPr>
              <w:spacing w:after="0"/>
              <w:rPr>
                <w:sz w:val="1"/>
                <w:szCs w:val="1"/>
                <w:color w:val="auto"/>
              </w:rPr>
            </w:pPr>
          </w:p>
        </w:tc>
      </w:tr>
      <w:tr>
        <w:trPr>
          <w:trHeight w:val="54"/>
        </w:trPr>
        <w:tc>
          <w:tcPr>
            <w:tcW w:w="1340" w:type="dxa"/>
            <w:vAlign w:val="bottom"/>
          </w:tcPr>
          <w:p>
            <w:pPr>
              <w:spacing w:after="0"/>
              <w:rPr>
                <w:sz w:val="4"/>
                <w:szCs w:val="4"/>
                <w:color w:val="auto"/>
              </w:rPr>
            </w:pPr>
          </w:p>
        </w:tc>
        <w:tc>
          <w:tcPr>
            <w:tcW w:w="2180" w:type="dxa"/>
            <w:vAlign w:val="bottom"/>
            <w:vMerge w:val="continue"/>
          </w:tcPr>
          <w:p>
            <w:pPr>
              <w:spacing w:after="0"/>
              <w:rPr>
                <w:sz w:val="4"/>
                <w:szCs w:val="4"/>
                <w:color w:val="auto"/>
              </w:rPr>
            </w:pPr>
          </w:p>
        </w:tc>
        <w:tc>
          <w:tcPr>
            <w:tcW w:w="2140" w:type="dxa"/>
            <w:vAlign w:val="bottom"/>
            <w:vMerge w:val="restart"/>
          </w:tcPr>
          <w:p>
            <w:pPr>
              <w:jc w:val="center"/>
              <w:ind w:left="9"/>
              <w:spacing w:after="0" w:line="139" w:lineRule="exact"/>
              <w:rPr>
                <w:sz w:val="20"/>
                <w:szCs w:val="20"/>
                <w:color w:val="auto"/>
              </w:rPr>
            </w:pPr>
            <w:r>
              <w:rPr>
                <w:rFonts w:ascii="Arial" w:cs="Arial" w:eastAsia="Arial" w:hAnsi="Arial"/>
                <w:sz w:val="14"/>
                <w:szCs w:val="14"/>
                <w:color w:val="auto"/>
              </w:rPr>
              <w:t>Approximate Dollar Value) that</w:t>
            </w:r>
          </w:p>
        </w:tc>
        <w:tc>
          <w:tcPr>
            <w:tcW w:w="0" w:type="dxa"/>
            <w:vAlign w:val="bottom"/>
          </w:tcPr>
          <w:p>
            <w:pPr>
              <w:spacing w:after="0"/>
              <w:rPr>
                <w:sz w:val="1"/>
                <w:szCs w:val="1"/>
                <w:color w:val="auto"/>
              </w:rPr>
            </w:pPr>
          </w:p>
        </w:tc>
      </w:tr>
      <w:tr>
        <w:trPr>
          <w:trHeight w:val="85"/>
        </w:trPr>
        <w:tc>
          <w:tcPr>
            <w:tcW w:w="1340" w:type="dxa"/>
            <w:vAlign w:val="bottom"/>
          </w:tcPr>
          <w:p>
            <w:pPr>
              <w:spacing w:after="0"/>
              <w:rPr>
                <w:sz w:val="7"/>
                <w:szCs w:val="7"/>
                <w:color w:val="auto"/>
              </w:rPr>
            </w:pPr>
          </w:p>
        </w:tc>
        <w:tc>
          <w:tcPr>
            <w:tcW w:w="2180" w:type="dxa"/>
            <w:vAlign w:val="bottom"/>
            <w:vMerge w:val="restart"/>
          </w:tcPr>
          <w:p>
            <w:pPr>
              <w:jc w:val="center"/>
              <w:spacing w:after="0" w:line="139" w:lineRule="exact"/>
              <w:rPr>
                <w:sz w:val="20"/>
                <w:szCs w:val="20"/>
                <w:color w:val="auto"/>
              </w:rPr>
            </w:pPr>
            <w:r>
              <w:rPr>
                <w:rFonts w:ascii="Arial" w:cs="Arial" w:eastAsia="Arial" w:hAnsi="Arial"/>
                <w:sz w:val="14"/>
                <w:szCs w:val="14"/>
                <w:color w:val="auto"/>
              </w:rPr>
              <w:t>Purchased as Part of Publicly</w:t>
            </w:r>
          </w:p>
        </w:tc>
        <w:tc>
          <w:tcPr>
            <w:tcW w:w="2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340" w:type="dxa"/>
            <w:vAlign w:val="bottom"/>
            <w:vMerge w:val="restart"/>
          </w:tcPr>
          <w:p>
            <w:pPr>
              <w:jc w:val="center"/>
              <w:ind w:right="28"/>
              <w:spacing w:after="0"/>
              <w:rPr>
                <w:sz w:val="20"/>
                <w:szCs w:val="20"/>
                <w:color w:val="auto"/>
              </w:rPr>
            </w:pPr>
            <w:r>
              <w:rPr>
                <w:rFonts w:ascii="Arial" w:cs="Arial" w:eastAsia="Arial" w:hAnsi="Arial"/>
                <w:sz w:val="14"/>
                <w:szCs w:val="14"/>
                <w:color w:val="auto"/>
              </w:rPr>
              <w:t>Average Price Paid</w:t>
            </w:r>
          </w:p>
        </w:tc>
        <w:tc>
          <w:tcPr>
            <w:tcW w:w="2180" w:type="dxa"/>
            <w:vAlign w:val="bottom"/>
            <w:vMerge w:val="continue"/>
          </w:tcPr>
          <w:p>
            <w:pPr>
              <w:spacing w:after="0"/>
              <w:rPr>
                <w:sz w:val="4"/>
                <w:szCs w:val="4"/>
                <w:color w:val="auto"/>
              </w:rPr>
            </w:pPr>
          </w:p>
        </w:tc>
        <w:tc>
          <w:tcPr>
            <w:tcW w:w="2140" w:type="dxa"/>
            <w:vAlign w:val="bottom"/>
            <w:vMerge w:val="restart"/>
          </w:tcPr>
          <w:p>
            <w:pPr>
              <w:jc w:val="center"/>
              <w:ind w:left="9"/>
              <w:spacing w:after="0"/>
              <w:rPr>
                <w:sz w:val="20"/>
                <w:szCs w:val="20"/>
                <w:color w:val="auto"/>
              </w:rPr>
            </w:pPr>
            <w:r>
              <w:rPr>
                <w:rFonts w:ascii="Arial" w:cs="Arial" w:eastAsia="Arial" w:hAnsi="Arial"/>
                <w:sz w:val="14"/>
                <w:szCs w:val="14"/>
                <w:color w:val="auto"/>
              </w:rPr>
              <w:t>May Yet Be Purchased Under</w:t>
            </w:r>
          </w:p>
        </w:tc>
        <w:tc>
          <w:tcPr>
            <w:tcW w:w="0" w:type="dxa"/>
            <w:vAlign w:val="bottom"/>
          </w:tcPr>
          <w:p>
            <w:pPr>
              <w:spacing w:after="0"/>
              <w:rPr>
                <w:sz w:val="1"/>
                <w:szCs w:val="1"/>
                <w:color w:val="auto"/>
              </w:rPr>
            </w:pPr>
          </w:p>
        </w:tc>
      </w:tr>
      <w:tr>
        <w:trPr>
          <w:trHeight w:val="144"/>
        </w:trPr>
        <w:tc>
          <w:tcPr>
            <w:tcW w:w="1340" w:type="dxa"/>
            <w:vAlign w:val="bottom"/>
            <w:vMerge w:val="continue"/>
          </w:tcPr>
          <w:p>
            <w:pPr>
              <w:spacing w:after="0"/>
              <w:rPr>
                <w:sz w:val="12"/>
                <w:szCs w:val="12"/>
                <w:color w:val="auto"/>
              </w:rPr>
            </w:pPr>
          </w:p>
        </w:tc>
        <w:tc>
          <w:tcPr>
            <w:tcW w:w="2180" w:type="dxa"/>
            <w:vAlign w:val="bottom"/>
          </w:tcPr>
          <w:p>
            <w:pPr>
              <w:jc w:val="center"/>
              <w:spacing w:after="0" w:line="145" w:lineRule="exact"/>
              <w:rPr>
                <w:sz w:val="20"/>
                <w:szCs w:val="20"/>
                <w:color w:val="auto"/>
              </w:rPr>
            </w:pPr>
            <w:r>
              <w:rPr>
                <w:rFonts w:ascii="Arial" w:cs="Arial" w:eastAsia="Arial" w:hAnsi="Arial"/>
                <w:sz w:val="14"/>
                <w:szCs w:val="14"/>
                <w:color w:val="auto"/>
              </w:rPr>
              <w:t>Announced Plans or Programs</w:t>
            </w:r>
          </w:p>
        </w:tc>
        <w:tc>
          <w:tcPr>
            <w:tcW w:w="2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tcPr>
          <w:p>
            <w:pPr>
              <w:jc w:val="center"/>
              <w:ind w:right="28"/>
              <w:spacing w:after="0" w:line="149" w:lineRule="exact"/>
              <w:rPr>
                <w:sz w:val="20"/>
                <w:szCs w:val="20"/>
                <w:color w:val="auto"/>
              </w:rPr>
            </w:pPr>
            <w:r>
              <w:rPr>
                <w:rFonts w:ascii="Arial" w:cs="Arial" w:eastAsia="Arial" w:hAnsi="Arial"/>
                <w:sz w:val="14"/>
                <w:szCs w:val="14"/>
                <w:color w:val="auto"/>
              </w:rPr>
              <w:t>per Share</w:t>
            </w:r>
          </w:p>
        </w:tc>
        <w:tc>
          <w:tcPr>
            <w:tcW w:w="2180" w:type="dxa"/>
            <w:vAlign w:val="bottom"/>
          </w:tcPr>
          <w:p>
            <w:pPr>
              <w:jc w:val="center"/>
              <w:spacing w:after="0"/>
              <w:rPr>
                <w:sz w:val="20"/>
                <w:szCs w:val="20"/>
                <w:color w:val="auto"/>
              </w:rPr>
            </w:pPr>
            <w:r>
              <w:rPr>
                <w:rFonts w:ascii="Arial" w:cs="Arial" w:eastAsia="Arial" w:hAnsi="Arial"/>
                <w:sz w:val="9"/>
                <w:szCs w:val="9"/>
                <w:color w:val="auto"/>
              </w:rPr>
              <w:t>(2)</w:t>
            </w:r>
          </w:p>
        </w:tc>
        <w:tc>
          <w:tcPr>
            <w:tcW w:w="2140" w:type="dxa"/>
            <w:vAlign w:val="bottom"/>
          </w:tcPr>
          <w:p>
            <w:pPr>
              <w:jc w:val="center"/>
              <w:ind w:left="9"/>
              <w:spacing w:after="0" w:line="149" w:lineRule="exact"/>
              <w:rPr>
                <w:sz w:val="20"/>
                <w:szCs w:val="20"/>
                <w:color w:val="auto"/>
              </w:rPr>
            </w:pPr>
            <w:r>
              <w:rPr>
                <w:rFonts w:ascii="Arial" w:cs="Arial" w:eastAsia="Arial" w:hAnsi="Arial"/>
                <w:sz w:val="14"/>
                <w:szCs w:val="14"/>
                <w:color w:val="auto"/>
              </w:rPr>
              <w:t xml:space="preserve">the Plans or Programs </w:t>
            </w:r>
            <w:r>
              <w:rPr>
                <w:rFonts w:ascii="Arial" w:cs="Arial" w:eastAsia="Arial" w:hAnsi="Arial"/>
                <w:sz w:val="17"/>
                <w:szCs w:val="17"/>
                <w:color w:val="auto"/>
                <w:vertAlign w:val="superscript"/>
              </w:rPr>
              <w:t>(3)</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5360" w:space="200"/>
            <w:col w:w="568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3840" w:type="dxa"/>
            <w:vAlign w:val="bottom"/>
            <w:shd w:val="clear" w:color="auto" w:fill="000000"/>
          </w:tcPr>
          <w:p>
            <w:pPr>
              <w:spacing w:after="0" w:line="20" w:lineRule="exact"/>
              <w:rPr>
                <w:sz w:val="1"/>
                <w:szCs w:val="1"/>
                <w:color w:val="auto"/>
              </w:rPr>
            </w:pPr>
          </w:p>
        </w:tc>
        <w:tc>
          <w:tcPr>
            <w:tcW w:w="100" w:type="dxa"/>
            <w:vAlign w:val="bottom"/>
            <w:shd w:val="clear" w:color="auto" w:fill="F5F5F5"/>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F5F5F5"/>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F5F5F5"/>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0" w:type="dxa"/>
            <w:vAlign w:val="bottom"/>
            <w:shd w:val="clear" w:color="auto" w:fill="F5F5F5"/>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r>
        <w:trPr>
          <w:trHeight w:val="176"/>
        </w:trPr>
        <w:tc>
          <w:tcPr>
            <w:tcW w:w="3840" w:type="dxa"/>
            <w:vAlign w:val="bottom"/>
            <w:shd w:val="clear" w:color="auto" w:fill="F5F5F5"/>
          </w:tcPr>
          <w:p>
            <w:pPr>
              <w:ind w:left="20"/>
              <w:spacing w:after="0"/>
              <w:rPr>
                <w:sz w:val="20"/>
                <w:szCs w:val="20"/>
                <w:color w:val="auto"/>
              </w:rPr>
            </w:pPr>
            <w:r>
              <w:rPr>
                <w:rFonts w:ascii="Arial" w:cs="Arial" w:eastAsia="Arial" w:hAnsi="Arial"/>
                <w:sz w:val="14"/>
                <w:szCs w:val="14"/>
                <w:color w:val="auto"/>
              </w:rPr>
              <w:t>November 3, 2024 through November 30, 2024</w:t>
            </w:r>
          </w:p>
        </w:tc>
        <w:tc>
          <w:tcPr>
            <w:tcW w:w="100" w:type="dxa"/>
            <w:vAlign w:val="bottom"/>
            <w:shd w:val="clear" w:color="auto" w:fill="F5F5F5"/>
          </w:tcPr>
          <w:p>
            <w:pPr>
              <w:spacing w:after="0"/>
              <w:rPr>
                <w:sz w:val="15"/>
                <w:szCs w:val="15"/>
                <w:color w:val="auto"/>
              </w:rPr>
            </w:pPr>
          </w:p>
        </w:tc>
        <w:tc>
          <w:tcPr>
            <w:tcW w:w="14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887</w:t>
            </w:r>
          </w:p>
        </w:tc>
        <w:tc>
          <w:tcPr>
            <w:tcW w:w="100" w:type="dxa"/>
            <w:vAlign w:val="bottom"/>
            <w:shd w:val="clear" w:color="auto" w:fill="F5F5F5"/>
          </w:tcPr>
          <w:p>
            <w:pPr>
              <w:spacing w:after="0"/>
              <w:rPr>
                <w:sz w:val="15"/>
                <w:szCs w:val="15"/>
                <w:color w:val="auto"/>
              </w:rPr>
            </w:pPr>
          </w:p>
        </w:tc>
        <w:tc>
          <w:tcPr>
            <w:tcW w:w="460" w:type="dxa"/>
            <w:vAlign w:val="bottom"/>
            <w:shd w:val="clear" w:color="auto" w:fill="F5F5F5"/>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144.64</w:t>
            </w:r>
          </w:p>
        </w:tc>
        <w:tc>
          <w:tcPr>
            <w:tcW w:w="100" w:type="dxa"/>
            <w:vAlign w:val="bottom"/>
            <w:shd w:val="clear" w:color="auto" w:fill="F5F5F5"/>
          </w:tcPr>
          <w:p>
            <w:pPr>
              <w:spacing w:after="0"/>
              <w:rPr>
                <w:sz w:val="15"/>
                <w:szCs w:val="15"/>
                <w:color w:val="auto"/>
              </w:rPr>
            </w:pPr>
          </w:p>
        </w:tc>
        <w:tc>
          <w:tcPr>
            <w:tcW w:w="2860" w:type="dxa"/>
            <w:vAlign w:val="bottom"/>
            <w:gridSpan w:val="3"/>
            <w:shd w:val="clear" w:color="auto" w:fill="F5F5F5"/>
          </w:tcPr>
          <w:p>
            <w:pPr>
              <w:ind w:left="1880"/>
              <w:spacing w:after="0"/>
              <w:rPr>
                <w:sz w:val="20"/>
                <w:szCs w:val="20"/>
                <w:color w:val="auto"/>
              </w:rPr>
            </w:pPr>
            <w:r>
              <w:rPr>
                <w:rFonts w:ascii="Arial" w:cs="Arial" w:eastAsia="Arial" w:hAnsi="Arial"/>
                <w:sz w:val="14"/>
                <w:szCs w:val="14"/>
                <w:color w:val="auto"/>
              </w:rPr>
              <w:t>—   $</w:t>
            </w:r>
          </w:p>
        </w:tc>
        <w:tc>
          <w:tcPr>
            <w:tcW w:w="144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102,378,203</w:t>
            </w:r>
          </w:p>
        </w:tc>
      </w:tr>
      <w:tr>
        <w:trPr>
          <w:trHeight w:val="198"/>
        </w:trPr>
        <w:tc>
          <w:tcPr>
            <w:tcW w:w="3940" w:type="dxa"/>
            <w:vAlign w:val="bottom"/>
            <w:gridSpan w:val="2"/>
          </w:tcPr>
          <w:p>
            <w:pPr>
              <w:ind w:left="20"/>
              <w:spacing w:after="0"/>
              <w:rPr>
                <w:sz w:val="20"/>
                <w:szCs w:val="20"/>
                <w:color w:val="auto"/>
              </w:rPr>
            </w:pPr>
            <w:r>
              <w:rPr>
                <w:rFonts w:ascii="Arial" w:cs="Arial" w:eastAsia="Arial" w:hAnsi="Arial"/>
                <w:sz w:val="14"/>
                <w:szCs w:val="14"/>
                <w:color w:val="auto"/>
              </w:rPr>
              <w:t>December 1, 2024 through January 4, 2024</w:t>
            </w:r>
          </w:p>
        </w:tc>
        <w:tc>
          <w:tcPr>
            <w:tcW w:w="1480" w:type="dxa"/>
            <w:vAlign w:val="bottom"/>
          </w:tcPr>
          <w:p>
            <w:pPr>
              <w:jc w:val="right"/>
              <w:spacing w:after="0"/>
              <w:rPr>
                <w:sz w:val="20"/>
                <w:szCs w:val="20"/>
                <w:color w:val="auto"/>
              </w:rPr>
            </w:pPr>
            <w:r>
              <w:rPr>
                <w:rFonts w:ascii="Arial" w:cs="Arial" w:eastAsia="Arial" w:hAnsi="Arial"/>
                <w:sz w:val="14"/>
                <w:szCs w:val="14"/>
                <w:color w:val="auto"/>
              </w:rPr>
              <w:t>395,178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148.05</w:t>
            </w:r>
          </w:p>
        </w:tc>
        <w:tc>
          <w:tcPr>
            <w:tcW w:w="10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Arial" w:cs="Arial" w:eastAsia="Arial" w:hAnsi="Arial"/>
                <w:sz w:val="14"/>
                <w:szCs w:val="14"/>
                <w:color w:val="auto"/>
              </w:rPr>
              <w:t>391,975</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44,342,876</w:t>
            </w:r>
          </w:p>
        </w:tc>
      </w:tr>
      <w:tr>
        <w:trPr>
          <w:trHeight w:val="207"/>
        </w:trPr>
        <w:tc>
          <w:tcPr>
            <w:tcW w:w="3940" w:type="dxa"/>
            <w:vAlign w:val="bottom"/>
            <w:gridSpan w:val="2"/>
            <w:shd w:val="clear" w:color="auto" w:fill="F5F5F5"/>
          </w:tcPr>
          <w:p>
            <w:pPr>
              <w:ind w:left="20"/>
              <w:spacing w:after="0"/>
              <w:rPr>
                <w:sz w:val="20"/>
                <w:szCs w:val="20"/>
                <w:color w:val="auto"/>
              </w:rPr>
            </w:pPr>
            <w:r>
              <w:rPr>
                <w:rFonts w:ascii="Arial" w:cs="Arial" w:eastAsia="Arial" w:hAnsi="Arial"/>
                <w:sz w:val="14"/>
                <w:szCs w:val="14"/>
                <w:color w:val="auto"/>
              </w:rPr>
              <w:t>January 5, 2024 through February 1, 2025</w:t>
            </w:r>
          </w:p>
        </w:tc>
        <w:tc>
          <w:tcPr>
            <w:tcW w:w="148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300,172</w:t>
            </w:r>
          </w:p>
        </w:tc>
        <w:tc>
          <w:tcPr>
            <w:tcW w:w="100" w:type="dxa"/>
            <w:vAlign w:val="bottom"/>
            <w:shd w:val="clear" w:color="auto" w:fill="F5F5F5"/>
          </w:tcPr>
          <w:p>
            <w:pPr>
              <w:spacing w:after="0"/>
              <w:rPr>
                <w:sz w:val="17"/>
                <w:szCs w:val="17"/>
                <w:color w:val="auto"/>
              </w:rPr>
            </w:pPr>
          </w:p>
        </w:tc>
        <w:tc>
          <w:tcPr>
            <w:tcW w:w="460" w:type="dxa"/>
            <w:vAlign w:val="bottom"/>
            <w:tcBorders>
              <w:bottom w:val="single" w:sz="8" w:color="auto"/>
            </w:tcBorders>
            <w:shd w:val="clear" w:color="auto" w:fill="F5F5F5"/>
          </w:tcPr>
          <w:p>
            <w:pPr>
              <w:spacing w:after="0"/>
              <w:rPr>
                <w:sz w:val="17"/>
                <w:szCs w:val="17"/>
                <w:color w:val="auto"/>
              </w:rPr>
            </w:pPr>
          </w:p>
        </w:tc>
        <w:tc>
          <w:tcPr>
            <w:tcW w:w="86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139.80</w:t>
            </w:r>
          </w:p>
        </w:tc>
        <w:tc>
          <w:tcPr>
            <w:tcW w:w="100" w:type="dxa"/>
            <w:vAlign w:val="bottom"/>
            <w:shd w:val="clear" w:color="auto" w:fill="F5F5F5"/>
          </w:tcPr>
          <w:p>
            <w:pPr>
              <w:spacing w:after="0"/>
              <w:rPr>
                <w:sz w:val="17"/>
                <w:szCs w:val="17"/>
                <w:color w:val="auto"/>
              </w:rPr>
            </w:pPr>
          </w:p>
        </w:tc>
        <w:tc>
          <w:tcPr>
            <w:tcW w:w="210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300,172</w:t>
            </w:r>
          </w:p>
        </w:tc>
        <w:tc>
          <w:tcPr>
            <w:tcW w:w="100" w:type="dxa"/>
            <w:vAlign w:val="bottom"/>
            <w:shd w:val="clear" w:color="auto" w:fill="F5F5F5"/>
          </w:tcPr>
          <w:p>
            <w:pPr>
              <w:spacing w:after="0"/>
              <w:rPr>
                <w:sz w:val="17"/>
                <w:szCs w:val="17"/>
                <w:color w:val="auto"/>
              </w:rPr>
            </w:pPr>
          </w:p>
        </w:tc>
        <w:tc>
          <w:tcPr>
            <w:tcW w:w="660" w:type="dxa"/>
            <w:vAlign w:val="bottom"/>
            <w:shd w:val="clear" w:color="auto" w:fill="F5F5F5"/>
          </w:tcPr>
          <w:p>
            <w:pPr>
              <w:spacing w:after="0"/>
              <w:rPr>
                <w:sz w:val="17"/>
                <w:szCs w:val="17"/>
                <w:color w:val="auto"/>
              </w:rPr>
            </w:pPr>
          </w:p>
        </w:tc>
        <w:tc>
          <w:tcPr>
            <w:tcW w:w="1440" w:type="dxa"/>
            <w:vAlign w:val="bottom"/>
            <w:shd w:val="clear" w:color="auto" w:fill="F5F5F5"/>
          </w:tcPr>
          <w:p>
            <w:pPr>
              <w:jc w:val="right"/>
              <w:spacing w:after="0"/>
              <w:rPr>
                <w:sz w:val="20"/>
                <w:szCs w:val="20"/>
                <w:color w:val="auto"/>
              </w:rPr>
            </w:pPr>
            <w:r>
              <w:rPr>
                <w:rFonts w:ascii="Arial" w:cs="Arial" w:eastAsia="Arial" w:hAnsi="Arial"/>
                <w:sz w:val="14"/>
                <w:szCs w:val="14"/>
                <w:color w:val="auto"/>
              </w:rPr>
              <w:t>2,378,213</w:t>
            </w:r>
          </w:p>
        </w:tc>
      </w:tr>
      <w:tr>
        <w:trPr>
          <w:trHeight w:val="196"/>
        </w:trPr>
        <w:tc>
          <w:tcPr>
            <w:tcW w:w="394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696,237</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144.49</w:t>
            </w:r>
          </w:p>
        </w:tc>
        <w:tc>
          <w:tcPr>
            <w:tcW w:w="100" w:type="dxa"/>
            <w:vAlign w:val="bottom"/>
          </w:tcPr>
          <w:p>
            <w:pPr>
              <w:spacing w:after="0"/>
              <w:rPr>
                <w:sz w:val="17"/>
                <w:szCs w:val="17"/>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692,147</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2,378,213</w:t>
            </w:r>
          </w:p>
        </w:tc>
      </w:tr>
      <w:tr>
        <w:trPr>
          <w:trHeight w:val="21"/>
        </w:trPr>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311" w:lineRule="exact"/>
        <w:rPr>
          <w:sz w:val="20"/>
          <w:szCs w:val="20"/>
          <w:color w:val="auto"/>
        </w:rPr>
      </w:pPr>
    </w:p>
    <w:p>
      <w:pPr>
        <w:ind w:left="460" w:right="20" w:hanging="331"/>
        <w:spacing w:after="0" w:line="226" w:lineRule="auto"/>
        <w:tabs>
          <w:tab w:leader="none" w:pos="459" w:val="left"/>
        </w:tabs>
        <w:numPr>
          <w:ilvl w:val="0"/>
          <w:numId w:val="24"/>
        </w:numPr>
        <w:rPr>
          <w:rFonts w:ascii="Arial" w:cs="Arial" w:eastAsia="Arial" w:hAnsi="Arial"/>
          <w:sz w:val="18"/>
          <w:szCs w:val="18"/>
          <w:color w:val="auto"/>
          <w:vertAlign w:val="superscript"/>
        </w:rPr>
      </w:pPr>
      <w:r>
        <w:rPr>
          <w:rFonts w:ascii="Arial" w:cs="Arial" w:eastAsia="Arial" w:hAnsi="Arial"/>
          <w:sz w:val="13"/>
          <w:szCs w:val="13"/>
          <w:color w:val="auto"/>
        </w:rPr>
        <w:t>An aggregate of 4,090 shares of A&amp;F’s Common Stock purchased during the thirteen weeks ended February 1, 2025 were withheld for tax payments due upon the vesting of employee restricted stock units.</w:t>
      </w:r>
    </w:p>
    <w:p>
      <w:pPr>
        <w:ind w:left="460" w:hanging="331"/>
        <w:spacing w:after="0" w:line="187" w:lineRule="auto"/>
        <w:tabs>
          <w:tab w:leader="none" w:pos="460" w:val="left"/>
        </w:tabs>
        <w:numPr>
          <w:ilvl w:val="0"/>
          <w:numId w:val="24"/>
        </w:numPr>
        <w:rPr>
          <w:rFonts w:ascii="Arial" w:cs="Arial" w:eastAsia="Arial" w:hAnsi="Arial"/>
          <w:sz w:val="18"/>
          <w:szCs w:val="18"/>
          <w:color w:val="auto"/>
          <w:vertAlign w:val="superscript"/>
        </w:rPr>
      </w:pPr>
      <w:r>
        <w:rPr>
          <w:rFonts w:ascii="Arial" w:cs="Arial" w:eastAsia="Arial" w:hAnsi="Arial"/>
          <w:sz w:val="13"/>
          <w:szCs w:val="13"/>
          <w:color w:val="auto"/>
        </w:rPr>
        <w:t>On November 23, 2021, we announced that the Board of Directors approved a $500 million share repurchase authorization (the “2021 Authorization”).</w:t>
      </w:r>
    </w:p>
    <w:p>
      <w:pPr>
        <w:jc w:val="both"/>
        <w:ind w:left="460" w:hanging="331"/>
        <w:spacing w:after="0" w:line="231" w:lineRule="auto"/>
        <w:tabs>
          <w:tab w:leader="none" w:pos="459" w:val="left"/>
        </w:tabs>
        <w:numPr>
          <w:ilvl w:val="0"/>
          <w:numId w:val="24"/>
        </w:numPr>
        <w:rPr>
          <w:rFonts w:ascii="Arial" w:cs="Arial" w:eastAsia="Arial" w:hAnsi="Arial"/>
          <w:sz w:val="18"/>
          <w:szCs w:val="18"/>
          <w:color w:val="auto"/>
          <w:vertAlign w:val="superscript"/>
        </w:rPr>
      </w:pPr>
      <w:r>
        <w:rPr>
          <w:rFonts w:ascii="Arial" w:cs="Arial" w:eastAsia="Arial" w:hAnsi="Arial"/>
          <w:sz w:val="13"/>
          <w:szCs w:val="13"/>
          <w:color w:val="auto"/>
        </w:rPr>
        <w:t>The number shown represents, as of the end of each period, the approximate dollar value of Common Stock that may yet be purchased under A&amp;F’s publicly announced stock repurchase authorization described in footnote 2 above. As described below, on March 5, 2025, the Company announced that the Board of Directors authorized the 2025 Authorization (defined below). The 2025 Authorization replaced the 2021 Authorization and shares may no longer be repurchased pursuant to the 2021 Authorization.</w:t>
      </w:r>
    </w:p>
    <w:p>
      <w:pPr>
        <w:spacing w:after="0" w:line="200" w:lineRule="exact"/>
        <w:rPr>
          <w:sz w:val="20"/>
          <w:szCs w:val="20"/>
          <w:color w:val="auto"/>
        </w:rPr>
      </w:pPr>
    </w:p>
    <w:p>
      <w:pPr>
        <w:spacing w:after="0" w:line="25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On March 5, 2025, the Company announced that the Board of Directors authorized a new $1.3 billion share repurchase program (the “2025 Authorization”), which replaced the 2021 Authorization. The 2025 Authorization does not have an expiration date. Under the 2025 Authorization, the Company may repurchase shares from time to time in open market or private transactions in such manner as may be deemed advisable from time to time (including, without limitation, pursuant to accelerated share repurchase programs, one or more 10b5-1 trading plans, or any other method deemed advisable) and may be discontinued at any time. The timing and amount of any such repurchases will be determined based on an evaluation of market conditions, the Company’s share price, legal requirements, and other factors.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9"/>
          <w:szCs w:val="29"/>
          <w:u w:val="single" w:color="auto"/>
          <w:color w:val="AC7E65"/>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28</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8" w:lineRule="exact"/>
        <w:rPr>
          <w:sz w:val="20"/>
          <w:szCs w:val="20"/>
          <w:color w:val="auto"/>
        </w:rPr>
      </w:pPr>
    </w:p>
    <w:p>
      <w:pPr>
        <w:jc w:val="both"/>
        <w:spacing w:after="0" w:line="286" w:lineRule="auto"/>
        <w:rPr>
          <w:sz w:val="20"/>
          <w:szCs w:val="20"/>
          <w:color w:val="auto"/>
        </w:rPr>
      </w:pPr>
      <w:r>
        <w:rPr>
          <w:rFonts w:ascii="Arial" w:cs="Arial" w:eastAsia="Arial" w:hAnsi="Arial"/>
          <w:sz w:val="29"/>
          <w:szCs w:val="29"/>
          <w:u w:val="single" w:color="auto"/>
          <w:color w:val="AC7E65"/>
        </w:rPr>
        <w:t>Item 7. Management’s Discussion and Analysis of Financial Condition and Results of Operations</w:t>
      </w:r>
    </w:p>
    <w:p>
      <w:pPr>
        <w:spacing w:after="0" w:line="15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 xml:space="preserve">The following Management’s Discussion and Analysis of Financial Condition and Results of Operations (“MD&amp;A”) generally discusses our results of operations for Fiscal 2024 and Fiscal 2023 and provides comparisons between such fiscal years. For discussion and comparison of Fiscal 2023 and Fiscal 2022, see “Management’s Discussion and Analysis of Financial Condition and Results of Operations” in Part II, Item 7 of our Annual Report on Form 10-K for Fiscal 2023, filed with the SEC on April 1, 2024. This MD&amp;A should be read together with the Company’s audited Consolidated Financial Statements and notes thereto included in this Annual Report on Form 10-K in </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0000FF"/>
        </w:rPr>
        <w:t>ITEM 8. FINANCIAL STATEMENTS AND SUPPLEMENTARY DATA</w:t>
      </w:r>
      <w:r>
        <w:rPr>
          <w:rFonts w:ascii="Arial" w:cs="Arial" w:eastAsia="Arial" w:hAnsi="Arial"/>
          <w:sz w:val="16"/>
          <w:szCs w:val="16"/>
          <w:u w:val="single" w:color="auto"/>
          <w:color w:val="0000FF"/>
        </w:rPr>
        <w:t>,</w:t>
      </w:r>
      <w:r>
        <w:rPr>
          <w:rFonts w:ascii="Arial" w:cs="Arial" w:eastAsia="Arial" w:hAnsi="Arial"/>
          <w:sz w:val="16"/>
          <w:szCs w:val="16"/>
          <w:color w:val="auto"/>
        </w:rPr>
        <w:t>” to which all references to Notes in MD&amp;A are made.</w:t>
      </w:r>
    </w:p>
    <w:p>
      <w:pPr>
        <w:spacing w:after="0" w:line="21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prior periods, the Company included stores and distribution expense and marketing, general and administrative expense as individual expense categories on the Consolidated Statements of Operations and Comprehensive Income (Loss). Stores &amp; distribution expense was recaptioned as selling expense, while marketing, general and administrative expense was recaptioned as general and administrative expense. In conjunction with these changes, all marketing expenses, including amounts previously presented in marketing, general and administrative expense, were moved into selling expense, while certain management and IT costs were moved out of stores and distribution expense and into general and administrative expense. The net changes associated with these reclassifications results in selling expense that is $38.3 million and $35.0 million lower than the stores and distribution expense that was previously presented for Fiscal 2023 and Fiscal 2022, respectively, and in general and administrative expense that is $38.3 million and $35.0 million higher than the marketing, general, and administrative expense that was previously presented for Fiscal 2023 and Fiscal 2022, respectively. Prior period amounts have been reclassified to conform to the current fiscal year’s presentation.</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C7E65"/>
        </w:rPr>
        <w:t>INTRODUCTION</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MD&amp;A is provided as a supplement to the accompanying Consolidated Financial Statements and notes thereto to help provide an understanding of the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Company’s results of operations, financial condition, and liquidity. MD&amp;A is organized as follows:</w:t>
      </w:r>
    </w:p>
    <w:p>
      <w:pPr>
        <w:spacing w:after="0" w:line="101" w:lineRule="exact"/>
        <w:rPr>
          <w:sz w:val="20"/>
          <w:szCs w:val="20"/>
          <w:color w:val="auto"/>
        </w:rPr>
      </w:pPr>
    </w:p>
    <w:p>
      <w:pPr>
        <w:ind w:left="660" w:hanging="328"/>
        <w:spacing w:after="0" w:line="286" w:lineRule="auto"/>
        <w:tabs>
          <w:tab w:leader="none" w:pos="906"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0000FF"/>
        </w:rPr>
        <w:t>Overview</w:t>
      </w:r>
      <w:r>
        <w:rPr>
          <w:rFonts w:ascii="Arial" w:cs="Arial" w:eastAsia="Arial" w:hAnsi="Arial"/>
          <w:sz w:val="16"/>
          <w:szCs w:val="16"/>
          <w:color w:val="000000"/>
        </w:rPr>
        <w:t>. A general description of the Company’s business and certain segment information, and an overview of key performance indicators</w:t>
      </w:r>
      <w:r>
        <w:rPr>
          <w:rFonts w:ascii="Arial" w:cs="Arial" w:eastAsia="Arial" w:hAnsi="Arial"/>
          <w:sz w:val="16"/>
          <w:szCs w:val="16"/>
          <w:color w:val="0000FF"/>
        </w:rPr>
        <w:t xml:space="preserve"> </w:t>
      </w:r>
      <w:r>
        <w:rPr>
          <w:rFonts w:ascii="Arial" w:cs="Arial" w:eastAsia="Arial" w:hAnsi="Arial"/>
          <w:sz w:val="16"/>
          <w:szCs w:val="16"/>
          <w:color w:val="000000"/>
        </w:rPr>
        <w:t>reviewed by management in assessing the Company’s results.</w:t>
      </w:r>
    </w:p>
    <w:p>
      <w:pPr>
        <w:spacing w:after="0" w:line="61" w:lineRule="exact"/>
        <w:rPr>
          <w:rFonts w:ascii="Arial" w:cs="Arial" w:eastAsia="Arial" w:hAnsi="Arial"/>
          <w:sz w:val="16"/>
          <w:szCs w:val="16"/>
          <w:color w:val="auto"/>
        </w:rPr>
      </w:pPr>
    </w:p>
    <w:p>
      <w:pPr>
        <w:ind w:left="660" w:hanging="328"/>
        <w:spacing w:after="0" w:line="286" w:lineRule="auto"/>
        <w:tabs>
          <w:tab w:leader="none" w:pos="906"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0000FF"/>
        </w:rPr>
        <w:t>Current Trends and Outlook</w:t>
      </w:r>
      <w:r>
        <w:rPr>
          <w:rFonts w:ascii="Arial" w:cs="Arial" w:eastAsia="Arial" w:hAnsi="Arial"/>
          <w:sz w:val="16"/>
          <w:szCs w:val="16"/>
          <w:color w:val="000000"/>
        </w:rPr>
        <w:t>. A discussion of the Company’s long-term plans for growth and a summary of the Company’s performance over</w:t>
      </w:r>
      <w:r>
        <w:rPr>
          <w:rFonts w:ascii="Arial" w:cs="Arial" w:eastAsia="Arial" w:hAnsi="Arial"/>
          <w:sz w:val="16"/>
          <w:szCs w:val="16"/>
          <w:color w:val="0000FF"/>
        </w:rPr>
        <w:t xml:space="preserve"> </w:t>
      </w:r>
      <w:r>
        <w:rPr>
          <w:rFonts w:ascii="Arial" w:cs="Arial" w:eastAsia="Arial" w:hAnsi="Arial"/>
          <w:sz w:val="16"/>
          <w:szCs w:val="16"/>
          <w:color w:val="000000"/>
        </w:rPr>
        <w:t>recent years, primarily Fiscal 2024 and Fiscal 2023.</w:t>
      </w:r>
    </w:p>
    <w:p>
      <w:pPr>
        <w:spacing w:after="0" w:line="61" w:lineRule="exact"/>
        <w:rPr>
          <w:rFonts w:ascii="Arial" w:cs="Arial" w:eastAsia="Arial" w:hAnsi="Arial"/>
          <w:sz w:val="16"/>
          <w:szCs w:val="16"/>
          <w:color w:val="auto"/>
        </w:rPr>
      </w:pPr>
    </w:p>
    <w:p>
      <w:pPr>
        <w:ind w:left="660" w:hanging="328"/>
        <w:spacing w:after="0" w:line="286" w:lineRule="auto"/>
        <w:tabs>
          <w:tab w:leader="none" w:pos="906"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0000FF"/>
        </w:rPr>
        <w:t>Results of Operations</w:t>
      </w:r>
      <w:r>
        <w:rPr>
          <w:rFonts w:ascii="Arial" w:cs="Arial" w:eastAsia="Arial" w:hAnsi="Arial"/>
          <w:sz w:val="16"/>
          <w:szCs w:val="16"/>
          <w:color w:val="000000"/>
        </w:rPr>
        <w:t>. An analysis of certain components of the Company’s Consolidated Statements of Operations and Comprehensive</w:t>
      </w:r>
      <w:r>
        <w:rPr>
          <w:rFonts w:ascii="Arial" w:cs="Arial" w:eastAsia="Arial" w:hAnsi="Arial"/>
          <w:sz w:val="16"/>
          <w:szCs w:val="16"/>
          <w:color w:val="0000FF"/>
        </w:rPr>
        <w:t xml:space="preserve"> </w:t>
      </w:r>
      <w:r>
        <w:rPr>
          <w:rFonts w:ascii="Arial" w:cs="Arial" w:eastAsia="Arial" w:hAnsi="Arial"/>
          <w:sz w:val="16"/>
          <w:szCs w:val="16"/>
          <w:color w:val="000000"/>
        </w:rPr>
        <w:t>Income (Loss) for Fiscal 2024 as compared to Fiscal 2023.</w:t>
      </w:r>
    </w:p>
    <w:p>
      <w:pPr>
        <w:spacing w:after="0" w:line="47" w:lineRule="exact"/>
        <w:rPr>
          <w:rFonts w:ascii="Arial" w:cs="Arial" w:eastAsia="Arial" w:hAnsi="Arial"/>
          <w:sz w:val="16"/>
          <w:szCs w:val="16"/>
          <w:color w:val="auto"/>
        </w:rPr>
      </w:pPr>
    </w:p>
    <w:p>
      <w:pPr>
        <w:jc w:val="both"/>
        <w:ind w:left="660" w:hanging="328"/>
        <w:spacing w:after="0" w:line="271" w:lineRule="auto"/>
        <w:tabs>
          <w:tab w:leader="none" w:pos="906"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0000FF"/>
        </w:rPr>
        <w:t>Liquidity and Capital Resources</w:t>
      </w:r>
      <w:r>
        <w:rPr>
          <w:rFonts w:ascii="Arial" w:cs="Arial" w:eastAsia="Arial" w:hAnsi="Arial"/>
          <w:sz w:val="16"/>
          <w:szCs w:val="16"/>
          <w:color w:val="000000"/>
        </w:rPr>
        <w:t>. A discussion of the Company’s financial condition, changes in financial condition and liquidity as of February 1,</w:t>
      </w:r>
      <w:r>
        <w:rPr>
          <w:rFonts w:ascii="Arial" w:cs="Arial" w:eastAsia="Arial" w:hAnsi="Arial"/>
          <w:sz w:val="16"/>
          <w:szCs w:val="16"/>
          <w:color w:val="0000FF"/>
        </w:rPr>
        <w:t xml:space="preserve"> </w:t>
      </w:r>
      <w:r>
        <w:rPr>
          <w:rFonts w:ascii="Arial" w:cs="Arial" w:eastAsia="Arial" w:hAnsi="Arial"/>
          <w:sz w:val="16"/>
          <w:szCs w:val="16"/>
          <w:color w:val="000000"/>
        </w:rPr>
        <w:t>2025, which includes (i) an analysis of changes in cash flows for Fiscal 2024 as compared to Fiscal 2023, (ii) an analysis of liquidity, including availability under the Company’s credit facility, and outstanding debt and covenant compliance and (iii) a summary of contractual and other obligations as of February 1, 2025.</w:t>
      </w:r>
    </w:p>
    <w:p>
      <w:pPr>
        <w:spacing w:after="0" w:line="59" w:lineRule="exact"/>
        <w:rPr>
          <w:rFonts w:ascii="Arial" w:cs="Arial" w:eastAsia="Arial" w:hAnsi="Arial"/>
          <w:sz w:val="16"/>
          <w:szCs w:val="16"/>
          <w:color w:val="auto"/>
        </w:rPr>
      </w:pPr>
    </w:p>
    <w:p>
      <w:pPr>
        <w:jc w:val="both"/>
        <w:ind w:left="660" w:hanging="328"/>
        <w:spacing w:after="0" w:line="275" w:lineRule="auto"/>
        <w:tabs>
          <w:tab w:leader="none" w:pos="906"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0000FF"/>
        </w:rPr>
        <w:t>Recent Accounting Pronouncements</w:t>
      </w:r>
      <w:r>
        <w:rPr>
          <w:rFonts w:ascii="Arial" w:cs="Arial" w:eastAsia="Arial" w:hAnsi="Arial"/>
          <w:sz w:val="16"/>
          <w:szCs w:val="16"/>
          <w:color w:val="000000"/>
        </w:rPr>
        <w:t>. The recent accounting pronouncements the Company has adopted or is currently evaluating, including</w:t>
      </w:r>
      <w:r>
        <w:rPr>
          <w:rFonts w:ascii="Arial" w:cs="Arial" w:eastAsia="Arial" w:hAnsi="Arial"/>
          <w:sz w:val="16"/>
          <w:szCs w:val="16"/>
          <w:color w:val="0000FF"/>
        </w:rPr>
        <w:t xml:space="preserve"> </w:t>
      </w:r>
      <w:r>
        <w:rPr>
          <w:rFonts w:ascii="Arial" w:cs="Arial" w:eastAsia="Arial" w:hAnsi="Arial"/>
          <w:sz w:val="16"/>
          <w:szCs w:val="16"/>
          <w:color w:val="000000"/>
        </w:rPr>
        <w:t>the dates of adoption or expected dates of adoption, as applicable, and anticipated effects on the Company’s audited Consolidated Financial Statements, are included in Note 2 “</w:t>
      </w:r>
      <w:r>
        <w:rPr>
          <w:rFonts w:ascii="Arial" w:cs="Arial" w:eastAsia="Arial" w:hAnsi="Arial"/>
          <w:sz w:val="16"/>
          <w:szCs w:val="16"/>
          <w:i w:val="1"/>
          <w:iCs w:val="1"/>
          <w:u w:val="single" w:color="auto"/>
          <w:color w:val="0000FF"/>
        </w:rPr>
        <w:t>SUMMARY OF SIGNIFICANT ACCOUNTING POLICIES</w:t>
      </w:r>
      <w:r>
        <w:rPr>
          <w:rFonts w:ascii="Arial" w:cs="Arial" w:eastAsia="Arial" w:hAnsi="Arial"/>
          <w:sz w:val="16"/>
          <w:szCs w:val="16"/>
          <w:color w:val="000000"/>
        </w:rPr>
        <w:t>.”</w:t>
      </w:r>
    </w:p>
    <w:p>
      <w:pPr>
        <w:spacing w:after="0" w:line="56" w:lineRule="exact"/>
        <w:rPr>
          <w:rFonts w:ascii="Arial" w:cs="Arial" w:eastAsia="Arial" w:hAnsi="Arial"/>
          <w:sz w:val="16"/>
          <w:szCs w:val="16"/>
          <w:color w:val="auto"/>
        </w:rPr>
      </w:pPr>
    </w:p>
    <w:p>
      <w:pPr>
        <w:ind w:left="660" w:hanging="328"/>
        <w:spacing w:after="0" w:line="286" w:lineRule="auto"/>
        <w:tabs>
          <w:tab w:leader="none" w:pos="906"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0000FF"/>
        </w:rPr>
        <w:t>Critical Accounting Estimates</w:t>
      </w:r>
      <w:r>
        <w:rPr>
          <w:rFonts w:ascii="Arial" w:cs="Arial" w:eastAsia="Arial" w:hAnsi="Arial"/>
          <w:sz w:val="16"/>
          <w:szCs w:val="16"/>
          <w:color w:val="000000"/>
        </w:rPr>
        <w:t>. A discussion of the accounting estimates considered to be important to the Company’s results of operations and</w:t>
      </w:r>
      <w:r>
        <w:rPr>
          <w:rFonts w:ascii="Arial" w:cs="Arial" w:eastAsia="Arial" w:hAnsi="Arial"/>
          <w:sz w:val="16"/>
          <w:szCs w:val="16"/>
          <w:color w:val="0000FF"/>
        </w:rPr>
        <w:t xml:space="preserve"> </w:t>
      </w:r>
      <w:r>
        <w:rPr>
          <w:rFonts w:ascii="Arial" w:cs="Arial" w:eastAsia="Arial" w:hAnsi="Arial"/>
          <w:sz w:val="16"/>
          <w:szCs w:val="16"/>
          <w:color w:val="000000"/>
        </w:rPr>
        <w:t>financial condition, which typically require significant judgment and estimation on the part of the Company’s management in their application.</w:t>
      </w:r>
    </w:p>
    <w:p>
      <w:pPr>
        <w:spacing w:after="0" w:line="61" w:lineRule="exact"/>
        <w:rPr>
          <w:rFonts w:ascii="Arial" w:cs="Arial" w:eastAsia="Arial" w:hAnsi="Arial"/>
          <w:sz w:val="16"/>
          <w:szCs w:val="16"/>
          <w:color w:val="auto"/>
        </w:rPr>
      </w:pPr>
    </w:p>
    <w:p>
      <w:pPr>
        <w:jc w:val="both"/>
        <w:ind w:left="660" w:hanging="328"/>
        <w:spacing w:after="0" w:line="265" w:lineRule="auto"/>
        <w:tabs>
          <w:tab w:leader="none" w:pos="906"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0000FF"/>
        </w:rPr>
        <w:t>Non-GAAP Financial Measures</w:t>
      </w:r>
      <w:r>
        <w:rPr>
          <w:rFonts w:ascii="Arial" w:cs="Arial" w:eastAsia="Arial" w:hAnsi="Arial"/>
          <w:sz w:val="16"/>
          <w:szCs w:val="16"/>
          <w:color w:val="000000"/>
        </w:rPr>
        <w:t>. MD&amp;A provides a discussion of certain financial measures that have been determined to not be presented in</w:t>
      </w:r>
      <w:r>
        <w:rPr>
          <w:rFonts w:ascii="Arial" w:cs="Arial" w:eastAsia="Arial" w:hAnsi="Arial"/>
          <w:sz w:val="16"/>
          <w:szCs w:val="16"/>
          <w:color w:val="0000FF"/>
        </w:rPr>
        <w:t xml:space="preserve"> </w:t>
      </w:r>
      <w:r>
        <w:rPr>
          <w:rFonts w:ascii="Arial" w:cs="Arial" w:eastAsia="Arial" w:hAnsi="Arial"/>
          <w:sz w:val="16"/>
          <w:szCs w:val="16"/>
          <w:color w:val="000000"/>
        </w:rPr>
        <w:t>accordance with accounting principles generally accepted in the U.S. (“GAAP”). This section includes certain reconciliations between GAAP and non-GAAP financial measures and additional details on non-GAAP financial measures, including information as to why the Company believes the non-GAAP financial measures provided within MD&amp;A are useful to investors.</w:t>
      </w:r>
    </w:p>
    <w:p>
      <w:pPr>
        <w:spacing w:after="0" w:line="200" w:lineRule="exact"/>
        <w:rPr>
          <w:sz w:val="20"/>
          <w:szCs w:val="20"/>
          <w:color w:val="auto"/>
        </w:rPr>
      </w:pPr>
    </w:p>
    <w:p>
      <w:pPr>
        <w:spacing w:after="0" w:line="248"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29</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b w:val="1"/>
          <w:bCs w:val="1"/>
          <w:color w:val="AC7E65"/>
        </w:rPr>
        <w:t>OVERVIEW</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Business Summary</w:t>
      </w:r>
    </w:p>
    <w:p>
      <w:pPr>
        <w:spacing w:after="0" w:line="26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Abercrombie &amp; Fitch Co. (“A&amp;F”), a company incorporated in Delaware in 1996, through its subsidiaries (collectively, A&amp;F and its subsidiaries are referred to as the “Company”), is a global, digitally-led, omnichannel retailer. The Company offers a broad assortment of apparel, personal care products and accessories for men, women and kids, which are sold primarily through its Company-owned stores and digital channels, as well as through various third-party arrangements.</w:t>
      </w:r>
    </w:p>
    <w:p>
      <w:pPr>
        <w:spacing w:after="0" w:line="20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manages its business on a geographic basis, consisting of three reportable segments: Americas; Europe, the Middle East and Africa (“EMEA”); and Asia-Pacific (“APAC”). Corporate functions and other income and expenses are evaluated on a consolidated basis and are not allocated to the Company’s segments, and therefore are included as a reconciling item between segment and total operating income (loss).</w:t>
      </w:r>
    </w:p>
    <w:p>
      <w:pPr>
        <w:spacing w:after="0" w:line="19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Company’s brand families includes Abercrombie brands and Hollister brands. These brands share a commitment to offering unique products of enduring quality and exceptional comfort that allow customers around the world to express their own individuality and style.</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Company’s fiscal year ends on the Saturday closest to January 31. This typically results in a fifty-two-week year, but occasionally gives rise to an additional week, resulting in a fifty-three-week year, as was the case in Fiscal 2023. All references herein to the Company’s fiscal years are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Fiscal year</w:t>
            </w:r>
          </w:p>
        </w:tc>
        <w:tc>
          <w:tcPr>
            <w:tcW w:w="100" w:type="dxa"/>
            <w:vAlign w:val="bottom"/>
            <w:tcBorders>
              <w:bottom w:val="single" w:sz="8" w:color="F5F5F5"/>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Year ended/ ending</w:t>
            </w:r>
          </w:p>
        </w:tc>
        <w:tc>
          <w:tcPr>
            <w:tcW w:w="120" w:type="dxa"/>
            <w:vAlign w:val="bottom"/>
            <w:tcBorders>
              <w:bottom w:val="single" w:sz="8" w:color="F5F5F5"/>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Number of weeks</w:t>
            </w:r>
          </w:p>
        </w:tc>
      </w:tr>
      <w:tr>
        <w:trPr>
          <w:trHeight w:val="200"/>
        </w:trPr>
        <w:tc>
          <w:tcPr>
            <w:tcW w:w="7620" w:type="dxa"/>
            <w:vAlign w:val="bottom"/>
            <w:gridSpan w:val="2"/>
            <w:shd w:val="clear" w:color="auto" w:fill="F5F5F5"/>
          </w:tcPr>
          <w:p>
            <w:pPr>
              <w:ind w:left="20"/>
              <w:spacing w:after="0"/>
              <w:rPr>
                <w:sz w:val="20"/>
                <w:szCs w:val="20"/>
                <w:color w:val="auto"/>
              </w:rPr>
            </w:pPr>
            <w:r>
              <w:rPr>
                <w:rFonts w:ascii="Arial" w:cs="Arial" w:eastAsia="Arial" w:hAnsi="Arial"/>
                <w:sz w:val="14"/>
                <w:szCs w:val="14"/>
                <w:color w:val="auto"/>
              </w:rPr>
              <w:t>Fiscal 2022</w:t>
            </w:r>
          </w:p>
        </w:tc>
        <w:tc>
          <w:tcPr>
            <w:tcW w:w="1840" w:type="dxa"/>
            <w:vAlign w:val="bottom"/>
            <w:gridSpan w:val="2"/>
            <w:shd w:val="clear" w:color="auto" w:fill="F5F5F5"/>
          </w:tcPr>
          <w:p>
            <w:pPr>
              <w:jc w:val="center"/>
              <w:ind w:right="100"/>
              <w:spacing w:after="0"/>
              <w:rPr>
                <w:sz w:val="20"/>
                <w:szCs w:val="20"/>
                <w:color w:val="auto"/>
              </w:rPr>
            </w:pPr>
            <w:r>
              <w:rPr>
                <w:rFonts w:ascii="Arial" w:cs="Arial" w:eastAsia="Arial" w:hAnsi="Arial"/>
                <w:sz w:val="14"/>
                <w:szCs w:val="14"/>
                <w:color w:val="auto"/>
              </w:rPr>
              <w:t>January 28, 2023</w:t>
            </w:r>
          </w:p>
        </w:tc>
        <w:tc>
          <w:tcPr>
            <w:tcW w:w="1720" w:type="dxa"/>
            <w:vAlign w:val="bottom"/>
            <w:shd w:val="clear" w:color="auto" w:fill="F5F5F5"/>
          </w:tcPr>
          <w:p>
            <w:pPr>
              <w:jc w:val="center"/>
              <w:spacing w:after="0"/>
              <w:rPr>
                <w:sz w:val="20"/>
                <w:szCs w:val="20"/>
                <w:color w:val="auto"/>
              </w:rPr>
            </w:pPr>
            <w:r>
              <w:rPr>
                <w:rFonts w:ascii="Arial" w:cs="Arial" w:eastAsia="Arial" w:hAnsi="Arial"/>
                <w:sz w:val="14"/>
                <w:szCs w:val="14"/>
                <w:color w:val="auto"/>
              </w:rPr>
              <w:t>52</w:t>
            </w:r>
          </w:p>
        </w:tc>
      </w:tr>
      <w:tr>
        <w:trPr>
          <w:trHeight w:val="199"/>
        </w:trPr>
        <w:tc>
          <w:tcPr>
            <w:tcW w:w="7620" w:type="dxa"/>
            <w:vAlign w:val="bottom"/>
            <w:gridSpan w:val="2"/>
          </w:tcPr>
          <w:p>
            <w:pPr>
              <w:ind w:left="20"/>
              <w:spacing w:after="0"/>
              <w:rPr>
                <w:sz w:val="20"/>
                <w:szCs w:val="20"/>
                <w:color w:val="auto"/>
              </w:rPr>
            </w:pPr>
            <w:r>
              <w:rPr>
                <w:rFonts w:ascii="Arial" w:cs="Arial" w:eastAsia="Arial" w:hAnsi="Arial"/>
                <w:sz w:val="14"/>
                <w:szCs w:val="14"/>
                <w:color w:val="auto"/>
              </w:rPr>
              <w:t>Fiscal 2023</w:t>
            </w:r>
          </w:p>
        </w:tc>
        <w:tc>
          <w:tcPr>
            <w:tcW w:w="1840" w:type="dxa"/>
            <w:vAlign w:val="bottom"/>
            <w:gridSpan w:val="2"/>
          </w:tcPr>
          <w:p>
            <w:pPr>
              <w:jc w:val="center"/>
              <w:ind w:right="100"/>
              <w:spacing w:after="0"/>
              <w:rPr>
                <w:sz w:val="20"/>
                <w:szCs w:val="20"/>
                <w:color w:val="auto"/>
              </w:rPr>
            </w:pPr>
            <w:r>
              <w:rPr>
                <w:rFonts w:ascii="Arial" w:cs="Arial" w:eastAsia="Arial" w:hAnsi="Arial"/>
                <w:sz w:val="14"/>
                <w:szCs w:val="14"/>
                <w:color w:val="auto"/>
              </w:rPr>
              <w:t>February 3, 2024</w:t>
            </w:r>
          </w:p>
        </w:tc>
        <w:tc>
          <w:tcPr>
            <w:tcW w:w="1720" w:type="dxa"/>
            <w:vAlign w:val="bottom"/>
          </w:tcPr>
          <w:p>
            <w:pPr>
              <w:jc w:val="center"/>
              <w:spacing w:after="0"/>
              <w:rPr>
                <w:sz w:val="20"/>
                <w:szCs w:val="20"/>
                <w:color w:val="auto"/>
              </w:rPr>
            </w:pPr>
            <w:r>
              <w:rPr>
                <w:rFonts w:ascii="Arial" w:cs="Arial" w:eastAsia="Arial" w:hAnsi="Arial"/>
                <w:sz w:val="14"/>
                <w:szCs w:val="14"/>
                <w:color w:val="auto"/>
              </w:rPr>
              <w:t>53</w:t>
            </w:r>
          </w:p>
        </w:tc>
      </w:tr>
      <w:tr>
        <w:trPr>
          <w:trHeight w:val="206"/>
        </w:trPr>
        <w:tc>
          <w:tcPr>
            <w:tcW w:w="7620" w:type="dxa"/>
            <w:vAlign w:val="bottom"/>
            <w:gridSpan w:val="2"/>
            <w:shd w:val="clear" w:color="auto" w:fill="F5F5F5"/>
          </w:tcPr>
          <w:p>
            <w:pPr>
              <w:ind w:left="20"/>
              <w:spacing w:after="0"/>
              <w:rPr>
                <w:sz w:val="20"/>
                <w:szCs w:val="20"/>
                <w:color w:val="auto"/>
              </w:rPr>
            </w:pPr>
            <w:r>
              <w:rPr>
                <w:rFonts w:ascii="Arial" w:cs="Arial" w:eastAsia="Arial" w:hAnsi="Arial"/>
                <w:sz w:val="14"/>
                <w:szCs w:val="14"/>
                <w:color w:val="auto"/>
              </w:rPr>
              <w:t>Fiscal 2024</w:t>
            </w:r>
          </w:p>
        </w:tc>
        <w:tc>
          <w:tcPr>
            <w:tcW w:w="1840" w:type="dxa"/>
            <w:vAlign w:val="bottom"/>
            <w:gridSpan w:val="2"/>
            <w:shd w:val="clear" w:color="auto" w:fill="F5F5F5"/>
          </w:tcPr>
          <w:p>
            <w:pPr>
              <w:jc w:val="center"/>
              <w:ind w:right="100"/>
              <w:spacing w:after="0"/>
              <w:rPr>
                <w:sz w:val="20"/>
                <w:szCs w:val="20"/>
                <w:color w:val="auto"/>
              </w:rPr>
            </w:pPr>
            <w:r>
              <w:rPr>
                <w:rFonts w:ascii="Arial" w:cs="Arial" w:eastAsia="Arial" w:hAnsi="Arial"/>
                <w:sz w:val="14"/>
                <w:szCs w:val="14"/>
                <w:color w:val="auto"/>
              </w:rPr>
              <w:t>February 1, 2025</w:t>
            </w:r>
          </w:p>
        </w:tc>
        <w:tc>
          <w:tcPr>
            <w:tcW w:w="1720" w:type="dxa"/>
            <w:vAlign w:val="bottom"/>
            <w:shd w:val="clear" w:color="auto" w:fill="F5F5F5"/>
          </w:tcPr>
          <w:p>
            <w:pPr>
              <w:jc w:val="center"/>
              <w:spacing w:after="0"/>
              <w:rPr>
                <w:sz w:val="20"/>
                <w:szCs w:val="20"/>
                <w:color w:val="auto"/>
              </w:rPr>
            </w:pPr>
            <w:r>
              <w:rPr>
                <w:rFonts w:ascii="Arial" w:cs="Arial" w:eastAsia="Arial" w:hAnsi="Arial"/>
                <w:sz w:val="14"/>
                <w:szCs w:val="14"/>
                <w:color w:val="auto"/>
              </w:rPr>
              <w:t>52</w:t>
            </w:r>
          </w:p>
        </w:tc>
      </w:tr>
      <w:tr>
        <w:trPr>
          <w:trHeight w:val="194"/>
        </w:trPr>
        <w:tc>
          <w:tcPr>
            <w:tcW w:w="7620" w:type="dxa"/>
            <w:vAlign w:val="bottom"/>
            <w:gridSpan w:val="2"/>
          </w:tcPr>
          <w:p>
            <w:pPr>
              <w:ind w:left="20"/>
              <w:spacing w:after="0"/>
              <w:rPr>
                <w:sz w:val="20"/>
                <w:szCs w:val="20"/>
                <w:color w:val="auto"/>
              </w:rPr>
            </w:pPr>
            <w:r>
              <w:rPr>
                <w:rFonts w:ascii="Arial" w:cs="Arial" w:eastAsia="Arial" w:hAnsi="Arial"/>
                <w:sz w:val="14"/>
                <w:szCs w:val="14"/>
                <w:color w:val="auto"/>
              </w:rPr>
              <w:t>Fiscal 2025</w:t>
            </w:r>
          </w:p>
        </w:tc>
        <w:tc>
          <w:tcPr>
            <w:tcW w:w="1840" w:type="dxa"/>
            <w:vAlign w:val="bottom"/>
            <w:gridSpan w:val="2"/>
          </w:tcPr>
          <w:p>
            <w:pPr>
              <w:jc w:val="center"/>
              <w:ind w:right="100"/>
              <w:spacing w:after="0"/>
              <w:rPr>
                <w:sz w:val="20"/>
                <w:szCs w:val="20"/>
                <w:color w:val="auto"/>
              </w:rPr>
            </w:pPr>
            <w:r>
              <w:rPr>
                <w:rFonts w:ascii="Arial" w:cs="Arial" w:eastAsia="Arial" w:hAnsi="Arial"/>
                <w:sz w:val="14"/>
                <w:szCs w:val="14"/>
                <w:color w:val="auto"/>
              </w:rPr>
              <w:t>January 31, 2026</w:t>
            </w:r>
          </w:p>
        </w:tc>
        <w:tc>
          <w:tcPr>
            <w:tcW w:w="1720" w:type="dxa"/>
            <w:vAlign w:val="bottom"/>
          </w:tcPr>
          <w:p>
            <w:pPr>
              <w:jc w:val="center"/>
              <w:spacing w:after="0"/>
              <w:rPr>
                <w:sz w:val="20"/>
                <w:szCs w:val="20"/>
                <w:color w:val="auto"/>
              </w:rPr>
            </w:pPr>
            <w:r>
              <w:rPr>
                <w:rFonts w:ascii="Arial" w:cs="Arial" w:eastAsia="Arial" w:hAnsi="Arial"/>
                <w:sz w:val="14"/>
                <w:szCs w:val="14"/>
                <w:color w:val="auto"/>
              </w:rPr>
              <w:t>52</w:t>
            </w:r>
          </w:p>
        </w:tc>
      </w:tr>
    </w:tbl>
    <w:p>
      <w:pPr>
        <w:spacing w:after="0" w:line="32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Seasonality</w:t>
      </w:r>
    </w:p>
    <w:p>
      <w:pPr>
        <w:spacing w:after="0" w:line="26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Historically, the Company’s operations have been seasonal in nature and consist of two principal selling seasons: the spring season, which includes the first and second fiscal quarters (“Spring”) and the fall season, which includes the third and fourth fiscal quarters (“Fall”). Due to the seasonal nature of the retail apparel industry, the results of operations for any current period are not necessarily indicative of the results expected for the full fiscal year and the Company could have significant fluctuations in certain asset and liability accounts. The Company historically experiences its greatest sales activity during the Fall season due to back-to-school and holiday sales periods,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Key Performance Indicators</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measurements are among the key performance indicators reviewed by the Company’s management in assessing the Company’s results:</w:t>
      </w:r>
    </w:p>
    <w:p>
      <w:pPr>
        <w:spacing w:after="0" w:line="21" w:lineRule="exact"/>
        <w:rPr>
          <w:sz w:val="20"/>
          <w:szCs w:val="20"/>
          <w:color w:val="auto"/>
        </w:rPr>
      </w:pPr>
    </w:p>
    <w:p>
      <w:pPr>
        <w:ind w:left="560" w:hanging="309"/>
        <w:spacing w:after="0"/>
        <w:tabs>
          <w:tab w:leader="none" w:pos="5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Net sales and comparable sales by region and brand;</w:t>
      </w:r>
    </w:p>
    <w:p>
      <w:pPr>
        <w:spacing w:after="0" w:line="14" w:lineRule="exact"/>
        <w:rPr>
          <w:rFonts w:ascii="Arial" w:cs="Arial" w:eastAsia="Arial" w:hAnsi="Arial"/>
          <w:sz w:val="16"/>
          <w:szCs w:val="16"/>
          <w:color w:val="auto"/>
        </w:rPr>
      </w:pPr>
    </w:p>
    <w:p>
      <w:pPr>
        <w:ind w:left="560" w:hanging="309"/>
        <w:spacing w:after="0"/>
        <w:tabs>
          <w:tab w:leader="none" w:pos="5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Cost of sales, exclusive of depreciation and amortization, as a percentage of net sales;</w:t>
      </w:r>
    </w:p>
    <w:p>
      <w:pPr>
        <w:spacing w:after="0" w:line="8" w:lineRule="exact"/>
        <w:rPr>
          <w:rFonts w:ascii="Arial" w:cs="Arial" w:eastAsia="Arial" w:hAnsi="Arial"/>
          <w:sz w:val="16"/>
          <w:szCs w:val="16"/>
          <w:color w:val="auto"/>
        </w:rPr>
      </w:pPr>
    </w:p>
    <w:p>
      <w:pPr>
        <w:ind w:left="560" w:hanging="309"/>
        <w:spacing w:after="0"/>
        <w:tabs>
          <w:tab w:leader="none" w:pos="5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Gross profit and gross profit rate;</w:t>
      </w:r>
    </w:p>
    <w:p>
      <w:pPr>
        <w:spacing w:after="0" w:line="5" w:lineRule="exact"/>
        <w:rPr>
          <w:rFonts w:ascii="Arial" w:cs="Arial" w:eastAsia="Arial" w:hAnsi="Arial"/>
          <w:sz w:val="16"/>
          <w:szCs w:val="16"/>
          <w:color w:val="auto"/>
        </w:rPr>
      </w:pPr>
    </w:p>
    <w:p>
      <w:pPr>
        <w:ind w:left="560" w:hanging="309"/>
        <w:spacing w:after="0"/>
        <w:tabs>
          <w:tab w:leader="none" w:pos="5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Selling expense as a percentage of net sales;</w:t>
      </w:r>
    </w:p>
    <w:p>
      <w:pPr>
        <w:spacing w:after="0" w:line="14" w:lineRule="exact"/>
        <w:rPr>
          <w:rFonts w:ascii="Arial" w:cs="Arial" w:eastAsia="Arial" w:hAnsi="Arial"/>
          <w:sz w:val="16"/>
          <w:szCs w:val="16"/>
          <w:color w:val="auto"/>
        </w:rPr>
      </w:pPr>
    </w:p>
    <w:p>
      <w:pPr>
        <w:ind w:left="560" w:hanging="309"/>
        <w:spacing w:after="0"/>
        <w:tabs>
          <w:tab w:leader="none" w:pos="5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General and administrative expense as a percentage of net sales;</w:t>
      </w:r>
    </w:p>
    <w:p>
      <w:pPr>
        <w:spacing w:after="0" w:line="8" w:lineRule="exact"/>
        <w:rPr>
          <w:rFonts w:ascii="Arial" w:cs="Arial" w:eastAsia="Arial" w:hAnsi="Arial"/>
          <w:sz w:val="16"/>
          <w:szCs w:val="16"/>
          <w:color w:val="auto"/>
        </w:rPr>
      </w:pPr>
    </w:p>
    <w:p>
      <w:pPr>
        <w:ind w:left="560" w:hanging="309"/>
        <w:spacing w:after="0"/>
        <w:tabs>
          <w:tab w:leader="none" w:pos="5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Operating income, including by region, and operating income as a percentage of net sales (“operating margin”);</w:t>
      </w:r>
    </w:p>
    <w:p>
      <w:pPr>
        <w:spacing w:after="0" w:line="14" w:lineRule="exact"/>
        <w:rPr>
          <w:rFonts w:ascii="Arial" w:cs="Arial" w:eastAsia="Arial" w:hAnsi="Arial"/>
          <w:sz w:val="16"/>
          <w:szCs w:val="16"/>
          <w:color w:val="auto"/>
        </w:rPr>
      </w:pPr>
    </w:p>
    <w:p>
      <w:pPr>
        <w:ind w:left="560" w:hanging="309"/>
        <w:spacing w:after="0"/>
        <w:tabs>
          <w:tab w:leader="none" w:pos="5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Earnings before interest, taxes, depreciation and amortization (“EBITDA”)</w:t>
      </w:r>
    </w:p>
    <w:p>
      <w:pPr>
        <w:spacing w:after="0" w:line="8" w:lineRule="exact"/>
        <w:rPr>
          <w:rFonts w:ascii="Arial" w:cs="Arial" w:eastAsia="Arial" w:hAnsi="Arial"/>
          <w:sz w:val="16"/>
          <w:szCs w:val="16"/>
          <w:color w:val="auto"/>
        </w:rPr>
      </w:pPr>
    </w:p>
    <w:p>
      <w:pPr>
        <w:ind w:left="560" w:hanging="309"/>
        <w:spacing w:after="0"/>
        <w:tabs>
          <w:tab w:leader="none" w:pos="5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Net income and net income attributable to A&amp;F;</w:t>
      </w:r>
    </w:p>
    <w:p>
      <w:pPr>
        <w:spacing w:after="0" w:line="5" w:lineRule="exact"/>
        <w:rPr>
          <w:rFonts w:ascii="Arial" w:cs="Arial" w:eastAsia="Arial" w:hAnsi="Arial"/>
          <w:sz w:val="16"/>
          <w:szCs w:val="16"/>
          <w:color w:val="auto"/>
        </w:rPr>
      </w:pPr>
    </w:p>
    <w:p>
      <w:pPr>
        <w:ind w:left="560" w:hanging="309"/>
        <w:spacing w:after="0"/>
        <w:tabs>
          <w:tab w:leader="none" w:pos="5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Net income per diluted share attributable to A&amp;F;</w:t>
      </w:r>
    </w:p>
    <w:p>
      <w:pPr>
        <w:spacing w:after="0" w:line="14" w:lineRule="exact"/>
        <w:rPr>
          <w:rFonts w:ascii="Arial" w:cs="Arial" w:eastAsia="Arial" w:hAnsi="Arial"/>
          <w:sz w:val="16"/>
          <w:szCs w:val="16"/>
          <w:color w:val="auto"/>
        </w:rPr>
      </w:pPr>
    </w:p>
    <w:p>
      <w:pPr>
        <w:ind w:left="560" w:hanging="309"/>
        <w:spacing w:after="0"/>
        <w:tabs>
          <w:tab w:leader="none" w:pos="5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Cash flow and liquidity measures, such as the Company’s working capital, operating cash flow, and free cash flow;</w:t>
      </w:r>
    </w:p>
    <w:p>
      <w:pPr>
        <w:spacing w:after="0" w:line="8" w:lineRule="exact"/>
        <w:rPr>
          <w:rFonts w:ascii="Arial" w:cs="Arial" w:eastAsia="Arial" w:hAnsi="Arial"/>
          <w:sz w:val="16"/>
          <w:szCs w:val="16"/>
          <w:color w:val="auto"/>
        </w:rPr>
      </w:pPr>
    </w:p>
    <w:p>
      <w:pPr>
        <w:ind w:left="560" w:hanging="309"/>
        <w:spacing w:after="0"/>
        <w:tabs>
          <w:tab w:leader="none" w:pos="5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Inventory metrics, such as inventory turnover;</w:t>
      </w:r>
    </w:p>
    <w:p>
      <w:pPr>
        <w:spacing w:after="0" w:line="14" w:lineRule="exact"/>
        <w:rPr>
          <w:rFonts w:ascii="Arial" w:cs="Arial" w:eastAsia="Arial" w:hAnsi="Arial"/>
          <w:sz w:val="16"/>
          <w:szCs w:val="16"/>
          <w:color w:val="auto"/>
        </w:rPr>
      </w:pPr>
    </w:p>
    <w:p>
      <w:pPr>
        <w:ind w:left="560" w:hanging="309"/>
        <w:spacing w:after="0"/>
        <w:tabs>
          <w:tab w:leader="none" w:pos="5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Return on invested capital and return on equity;</w:t>
      </w:r>
    </w:p>
    <w:p>
      <w:pPr>
        <w:spacing w:after="0" w:line="18" w:lineRule="exact"/>
        <w:rPr>
          <w:rFonts w:ascii="Arial" w:cs="Arial" w:eastAsia="Arial" w:hAnsi="Arial"/>
          <w:sz w:val="16"/>
          <w:szCs w:val="16"/>
          <w:color w:val="auto"/>
        </w:rPr>
      </w:pPr>
    </w:p>
    <w:p>
      <w:pPr>
        <w:ind w:left="560" w:hanging="309"/>
        <w:spacing w:after="0"/>
        <w:tabs>
          <w:tab w:leader="none" w:pos="5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Store metrics, such as net sales per gross square foot, and store four-wall operating margins;</w:t>
      </w:r>
    </w:p>
    <w:p>
      <w:pPr>
        <w:spacing w:after="0" w:line="18" w:lineRule="exact"/>
        <w:rPr>
          <w:rFonts w:ascii="Arial" w:cs="Arial" w:eastAsia="Arial" w:hAnsi="Arial"/>
          <w:sz w:val="16"/>
          <w:szCs w:val="16"/>
          <w:color w:val="auto"/>
        </w:rPr>
      </w:pPr>
    </w:p>
    <w:p>
      <w:pPr>
        <w:ind w:left="560" w:hanging="309"/>
        <w:spacing w:after="0"/>
        <w:tabs>
          <w:tab w:leader="none" w:pos="5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Digital and omnichannel metrics;</w:t>
      </w:r>
    </w:p>
    <w:p>
      <w:pPr>
        <w:spacing w:after="0" w:line="8" w:lineRule="exact"/>
        <w:rPr>
          <w:rFonts w:ascii="Arial" w:cs="Arial" w:eastAsia="Arial" w:hAnsi="Arial"/>
          <w:sz w:val="16"/>
          <w:szCs w:val="16"/>
          <w:color w:val="auto"/>
        </w:rPr>
      </w:pPr>
    </w:p>
    <w:p>
      <w:pPr>
        <w:ind w:left="580" w:right="20" w:hanging="329"/>
        <w:spacing w:after="0" w:line="255" w:lineRule="auto"/>
        <w:tabs>
          <w:tab w:leader="none" w:pos="569" w:val="left"/>
        </w:tabs>
        <w:numPr>
          <w:ilvl w:val="0"/>
          <w:numId w:val="26"/>
        </w:numPr>
        <w:rPr>
          <w:rFonts w:ascii="Arial" w:cs="Arial" w:eastAsia="Arial" w:hAnsi="Arial"/>
          <w:sz w:val="16"/>
          <w:szCs w:val="16"/>
          <w:color w:val="auto"/>
        </w:rPr>
      </w:pPr>
      <w:r>
        <w:rPr>
          <w:rFonts w:ascii="Arial" w:cs="Arial" w:eastAsia="Arial" w:hAnsi="Arial"/>
          <w:sz w:val="16"/>
          <w:szCs w:val="16"/>
          <w:color w:val="auto"/>
        </w:rPr>
        <w:t>Transactional metrics, such as traffic and conversion, performance across key product categories, average unit retail (“AUR’), average unit cost (“AUC”), average units per transaction and average transaction values, return rates, shrink; and</w:t>
      </w:r>
    </w:p>
    <w:p>
      <w:pPr>
        <w:ind w:left="560" w:hanging="309"/>
        <w:spacing w:after="0"/>
        <w:tabs>
          <w:tab w:leader="none" w:pos="5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Customer-centric metrics such as customer retention and acquisition, and certain metrics related to the loyalty programs.</w:t>
      </w:r>
    </w:p>
    <w:p>
      <w:pPr>
        <w:spacing w:after="0" w:line="24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While not all of these metrics are disclosed publicly by the Company due to the proprietary nature of the information, the Company discusses many of these metrics within this MD&amp;A.</w:t>
      </w:r>
    </w:p>
    <w:p>
      <w:pPr>
        <w:spacing w:after="0" w:line="200" w:lineRule="exact"/>
        <w:rPr>
          <w:sz w:val="20"/>
          <w:szCs w:val="20"/>
          <w:color w:val="auto"/>
        </w:rPr>
      </w:pPr>
    </w:p>
    <w:p>
      <w:pPr>
        <w:spacing w:after="0" w:line="230"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30</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b w:val="1"/>
          <w:bCs w:val="1"/>
          <w:color w:val="AC7E65"/>
        </w:rPr>
        <w:t>CURRENT TRENDS AND OUTLOOK</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Focus Areas for Fiscal 2025</w:t>
      </w:r>
    </w:p>
    <w:p>
      <w:pPr>
        <w:spacing w:after="0" w:line="260"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auto"/>
        </w:rPr>
        <w:t>The Company introduced the Always Forward Plan in June of Fiscal 2022. The Always Forward Plan is anchored on our strategic growth principles, which are to:</w:t>
      </w:r>
    </w:p>
    <w:p>
      <w:pPr>
        <w:spacing w:after="0" w:line="1" w:lineRule="exact"/>
        <w:rPr>
          <w:sz w:val="20"/>
          <w:szCs w:val="20"/>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Execute focused growth plans;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Accelerate an enterprise-wide digital revolution; and</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Operate with financial discipline</w:t>
      </w:r>
    </w:p>
    <w:p>
      <w:pPr>
        <w:spacing w:after="0" w:line="232"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While the Company has significantly outperformed certain financial targets set forth in the Always Forward Plan, the growth principles continue to serve as a framework for the Company achieving sustainable and profitable growth and profitability.</w:t>
      </w:r>
    </w:p>
    <w:p>
      <w:pPr>
        <w:spacing w:after="0" w:line="19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Company’s strategic priorities continue to evolve based on changing consumer demands and new strategic opportunities, and management reviews and prioritizes investments and strategic focus areas to address such demands and opportunities.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Execute focused growth plans by:</w:t>
      </w:r>
    </w:p>
    <w:p>
      <w:pPr>
        <w:spacing w:after="0" w:line="29" w:lineRule="exact"/>
        <w:rPr>
          <w:sz w:val="20"/>
          <w:szCs w:val="20"/>
          <w:color w:val="auto"/>
        </w:rPr>
      </w:pPr>
    </w:p>
    <w:p>
      <w:pPr>
        <w:ind w:left="660" w:hanging="328"/>
        <w:spacing w:after="0" w:line="255"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driving sales growth across regions and brand families primarily through marketing and store investments in our owned and operating channels, while pursuing new geographies and markets via franchise, wholesale and licensing partnerships;</w:t>
      </w:r>
    </w:p>
    <w:p>
      <w:pPr>
        <w:ind w:left="660" w:hanging="328"/>
        <w:spacing w:after="0" w:line="255"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using our regionally relevant brand playbooks globally to align the brands’ products, voices, and experiences with customers, both digitally and in-store; and</w:t>
      </w: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using testing and chase strategies to deliver compelling assortments and product collections across genders.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Accelerate an enterprise-wide digital revolution to improve the customer and associate experience by:</w:t>
      </w:r>
    </w:p>
    <w:p>
      <w:pPr>
        <w:spacing w:after="0" w:line="19" w:lineRule="exact"/>
        <w:rPr>
          <w:sz w:val="20"/>
          <w:szCs w:val="20"/>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continuing to progress on our multi-year enterprise resource planning (“ERP”) transformation and cloud migration journey; and</w:t>
      </w:r>
    </w:p>
    <w:p>
      <w:pPr>
        <w:spacing w:after="0" w:line="14" w:lineRule="exact"/>
        <w:rPr>
          <w:rFonts w:ascii="Arial" w:cs="Arial" w:eastAsia="Arial" w:hAnsi="Arial"/>
          <w:sz w:val="16"/>
          <w:szCs w:val="16"/>
          <w:color w:val="auto"/>
        </w:rPr>
      </w:pPr>
    </w:p>
    <w:p>
      <w:pPr>
        <w:ind w:left="660" w:hanging="328"/>
        <w:spacing w:after="0" w:line="270"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investing in digital and technology to improve experiences across key parts of the customer journey while delivering a consistent omnichannel experience.</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Operate with financial discipline by:</w:t>
      </w:r>
    </w:p>
    <w:p>
      <w:pPr>
        <w:spacing w:after="0" w:line="19" w:lineRule="exact"/>
        <w:rPr>
          <w:sz w:val="20"/>
          <w:szCs w:val="20"/>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using our agile inventory model and pricing strategies to position the Company to support customer demand throughout the year; and</w:t>
      </w:r>
    </w:p>
    <w:p>
      <w:pPr>
        <w:spacing w:after="0" w:line="5" w:lineRule="exact"/>
        <w:rPr>
          <w:rFonts w:ascii="Arial" w:cs="Arial" w:eastAsia="Arial" w:hAnsi="Arial"/>
          <w:sz w:val="16"/>
          <w:szCs w:val="16"/>
          <w:color w:val="auto"/>
        </w:rPr>
      </w:pPr>
    </w:p>
    <w:p>
      <w:pPr>
        <w:ind w:left="660" w:hanging="328"/>
        <w:spacing w:after="0" w:line="283"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maintaining our durable balance sheet and consistent free cash flow profile, underpinned by our disciplined investment philosophy while balancing against macro environment impacts and efficiency efforts.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Current Macroeconomic Conditions</w:t>
      </w:r>
    </w:p>
    <w:p>
      <w:pPr>
        <w:spacing w:after="0" w:line="246"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Macroeconomic conditions, such as a volatile interest rate environment, ongoing inflation, the geopolitical landscape, and foreign exchange rate fluctuations, continue to impact the global economy. In addition, recent changes in legislation and regulations, including enacted and proposed tariffs and other trade policies, have introduced additional uncertainty in the global economy. In periods of perceived or actual unfavorable economic conditions, consumers may reallocate available discretionary spending or determine that they have fewer funds available for discretionary spending, which may adversely impact demand for our products. In addition, freight costs have remained heightened since the start of the second quarter of Fiscal 2024, which we expect to continue through the first half of Fiscal 2025. Continued inflationary pressures could further impact expenses and have a long-term impact on the Company, as increasing costs may impact its ability to maintain satisfactory margins.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Global Events and Supply Chain Disruptions</w:t>
      </w:r>
    </w:p>
    <w:p>
      <w:pPr>
        <w:spacing w:after="0" w:line="233"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As a global multi-brand omnichannel specialty retailer, with operations in North America, Europe, the Middle East, and Asia, among other regions, management is mindful of macroeconomic risks, global challenges and the changing global geopolitical environment. The global supply chain also continues</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16"/>
          <w:szCs w:val="16"/>
          <w:color w:val="auto"/>
        </w:rPr>
        <w:t>to be negatively impacted by various factors, including disruptions in major maritime routes, port congestion, higher operational costs, and increased competition for supply chain availability due to uncertainty regarding tariffs and trade policy. The Company has taken certain mitigating actions in response to</w:t>
      </w:r>
    </w:p>
    <w:p>
      <w:pPr>
        <w:jc w:val="both"/>
        <w:spacing w:after="0" w:line="238" w:lineRule="auto"/>
        <w:rPr>
          <w:sz w:val="20"/>
          <w:szCs w:val="20"/>
          <w:color w:val="auto"/>
        </w:rPr>
      </w:pPr>
      <w:r>
        <w:rPr>
          <w:rFonts w:ascii="Arial" w:cs="Arial" w:eastAsia="Arial" w:hAnsi="Arial"/>
          <w:sz w:val="16"/>
          <w:szCs w:val="16"/>
          <w:color w:val="auto"/>
        </w:rPr>
        <w:t>these disruptions, including increasing air freight usage where appropriate and prioritizing critical orders earlier to allow for longer lead times. Further mitigating actions may be needed, particularly if there is prolonged port congestion or transportation delays, and could result in higher freight costs in the near-term and beyond.</w:t>
      </w:r>
    </w:p>
    <w:p>
      <w:pPr>
        <w:spacing w:after="0" w:line="22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Management continues to monitor global events and assess the potential impacts that these and similar events may have on the business in future periods. Although management also develops and updates contingency plans to assist in mitigating potential impacts, it is possible that the Company’s preparations for such events are not adequate to mitigate their impact, and that these events could further adversely affect its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31</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Global Store Network Modernization and Growth</w:t>
      </w:r>
    </w:p>
    <w:p>
      <w:pPr>
        <w:spacing w:after="0" w:line="23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Company has a goal of finding the right size, right location and right economics for omni-enabled stores that cater to local customers. The Company continues to use data to inform its focus on aligning store square footage with digital penetration and the Company delivered new store experiences across brands during Fiscal 2024 and Fiscal 2023. Details related to these new store experiences follow:</w:t>
      </w:r>
    </w:p>
    <w:p>
      <w:pPr>
        <w:spacing w:after="0" w:line="345"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Type of new store experience</w:t>
            </w:r>
          </w:p>
        </w:tc>
        <w:tc>
          <w:tcPr>
            <w:tcW w:w="100" w:type="dxa"/>
            <w:vAlign w:val="bottom"/>
            <w:tcBorders>
              <w:bottom w:val="single" w:sz="8" w:color="F5F5F5"/>
            </w:tcBorders>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Fiscal 2024</w:t>
            </w:r>
          </w:p>
        </w:tc>
        <w:tc>
          <w:tcPr>
            <w:tcW w:w="120" w:type="dxa"/>
            <w:vAlign w:val="bottom"/>
            <w:tcBorders>
              <w:bottom w:val="single" w:sz="8" w:color="F5F5F5"/>
            </w:tcBorders>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Fiscal 2023</w:t>
            </w:r>
          </w:p>
        </w:tc>
      </w:tr>
      <w:tr>
        <w:trPr>
          <w:trHeight w:val="200"/>
        </w:trPr>
        <w:tc>
          <w:tcPr>
            <w:tcW w:w="7580" w:type="dxa"/>
            <w:vAlign w:val="bottom"/>
            <w:gridSpan w:val="2"/>
            <w:shd w:val="clear" w:color="auto" w:fill="F5F5F5"/>
          </w:tcPr>
          <w:p>
            <w:pPr>
              <w:ind w:left="20"/>
              <w:spacing w:after="0"/>
              <w:rPr>
                <w:sz w:val="20"/>
                <w:szCs w:val="20"/>
                <w:color w:val="auto"/>
              </w:rPr>
            </w:pPr>
            <w:r>
              <w:rPr>
                <w:rFonts w:ascii="Arial" w:cs="Arial" w:eastAsia="Arial" w:hAnsi="Arial"/>
                <w:sz w:val="14"/>
                <w:szCs w:val="14"/>
                <w:color w:val="auto"/>
              </w:rPr>
              <w:t>New stores</w:t>
            </w:r>
          </w:p>
        </w:tc>
        <w:tc>
          <w:tcPr>
            <w:tcW w:w="1760" w:type="dxa"/>
            <w:vAlign w:val="bottom"/>
            <w:shd w:val="clear" w:color="auto" w:fill="F5F5F5"/>
          </w:tcPr>
          <w:p>
            <w:pPr>
              <w:jc w:val="right"/>
              <w:spacing w:after="0"/>
              <w:rPr>
                <w:sz w:val="20"/>
                <w:szCs w:val="20"/>
                <w:color w:val="auto"/>
              </w:rPr>
            </w:pPr>
            <w:r>
              <w:rPr>
                <w:rFonts w:ascii="Arial" w:cs="Arial" w:eastAsia="Arial" w:hAnsi="Arial"/>
                <w:sz w:val="14"/>
                <w:szCs w:val="14"/>
                <w:color w:val="auto"/>
              </w:rPr>
              <w:t>65</w:t>
            </w:r>
          </w:p>
        </w:tc>
        <w:tc>
          <w:tcPr>
            <w:tcW w:w="120" w:type="dxa"/>
            <w:vAlign w:val="bottom"/>
            <w:shd w:val="clear" w:color="auto" w:fill="F5F5F5"/>
          </w:tcPr>
          <w:p>
            <w:pPr>
              <w:spacing w:after="0"/>
              <w:rPr>
                <w:sz w:val="17"/>
                <w:szCs w:val="17"/>
                <w:color w:val="auto"/>
              </w:rPr>
            </w:pPr>
          </w:p>
        </w:tc>
        <w:tc>
          <w:tcPr>
            <w:tcW w:w="1740" w:type="dxa"/>
            <w:vAlign w:val="bottom"/>
            <w:shd w:val="clear" w:color="auto" w:fill="F5F5F5"/>
          </w:tcPr>
          <w:p>
            <w:pPr>
              <w:jc w:val="right"/>
              <w:spacing w:after="0"/>
              <w:rPr>
                <w:sz w:val="20"/>
                <w:szCs w:val="20"/>
                <w:color w:val="auto"/>
              </w:rPr>
            </w:pPr>
            <w:r>
              <w:rPr>
                <w:rFonts w:ascii="Arial" w:cs="Arial" w:eastAsia="Arial" w:hAnsi="Arial"/>
                <w:sz w:val="14"/>
                <w:szCs w:val="14"/>
                <w:color w:val="auto"/>
              </w:rPr>
              <w:t>35</w:t>
            </w:r>
          </w:p>
        </w:tc>
      </w:tr>
      <w:tr>
        <w:trPr>
          <w:trHeight w:val="198"/>
        </w:trPr>
        <w:tc>
          <w:tcPr>
            <w:tcW w:w="7580" w:type="dxa"/>
            <w:vAlign w:val="bottom"/>
            <w:gridSpan w:val="2"/>
          </w:tcPr>
          <w:p>
            <w:pPr>
              <w:ind w:left="20"/>
              <w:spacing w:after="0"/>
              <w:rPr>
                <w:sz w:val="20"/>
                <w:szCs w:val="20"/>
                <w:color w:val="auto"/>
              </w:rPr>
            </w:pPr>
            <w:r>
              <w:rPr>
                <w:rFonts w:ascii="Arial" w:cs="Arial" w:eastAsia="Arial" w:hAnsi="Arial"/>
                <w:sz w:val="14"/>
                <w:szCs w:val="14"/>
                <w:color w:val="auto"/>
              </w:rPr>
              <w:t>Remodels</w:t>
            </w:r>
          </w:p>
        </w:tc>
        <w:tc>
          <w:tcPr>
            <w:tcW w:w="1760" w:type="dxa"/>
            <w:vAlign w:val="bottom"/>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03"/>
        </w:trPr>
        <w:tc>
          <w:tcPr>
            <w:tcW w:w="7580" w:type="dxa"/>
            <w:vAlign w:val="bottom"/>
            <w:gridSpan w:val="2"/>
            <w:shd w:val="clear" w:color="auto" w:fill="F5F5F5"/>
          </w:tcPr>
          <w:p>
            <w:pPr>
              <w:ind w:left="20"/>
              <w:spacing w:after="0"/>
              <w:rPr>
                <w:sz w:val="20"/>
                <w:szCs w:val="20"/>
                <w:color w:val="auto"/>
              </w:rPr>
            </w:pPr>
            <w:r>
              <w:rPr>
                <w:rFonts w:ascii="Arial" w:cs="Arial" w:eastAsia="Arial" w:hAnsi="Arial"/>
                <w:sz w:val="14"/>
                <w:szCs w:val="14"/>
                <w:color w:val="auto"/>
              </w:rPr>
              <w:t>Right-sizes</w:t>
            </w:r>
          </w:p>
        </w:tc>
        <w:tc>
          <w:tcPr>
            <w:tcW w:w="176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F5F5F5"/>
          </w:tcPr>
          <w:p>
            <w:pPr>
              <w:spacing w:after="0"/>
              <w:rPr>
                <w:sz w:val="17"/>
                <w:szCs w:val="17"/>
                <w:color w:val="auto"/>
              </w:rPr>
            </w:pPr>
          </w:p>
        </w:tc>
        <w:tc>
          <w:tcPr>
            <w:tcW w:w="174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9</w:t>
            </w:r>
          </w:p>
        </w:tc>
      </w:tr>
      <w:tr>
        <w:trPr>
          <w:trHeight w:val="200"/>
        </w:trPr>
        <w:tc>
          <w:tcPr>
            <w:tcW w:w="758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r>
      <w:tr>
        <w:trPr>
          <w:trHeight w:val="21"/>
        </w:trPr>
        <w:tc>
          <w:tcPr>
            <w:tcW w:w="7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During Fiscal 2024, the Company opened 65 new stores, while closing 41 stores. This compares with 35 new stores and 32 closures during Fiscal 2023</w:t>
      </w:r>
      <w:r>
        <w:rPr>
          <w:rFonts w:ascii="Arial" w:cs="Arial" w:eastAsia="Arial" w:hAnsi="Arial"/>
          <w:sz w:val="17"/>
          <w:szCs w:val="17"/>
          <w:color w:val="auto"/>
        </w:rPr>
        <w:t>.</w:t>
      </w:r>
      <w:r>
        <w:rPr>
          <w:rFonts w:ascii="Arial" w:cs="Arial" w:eastAsia="Arial" w:hAnsi="Arial"/>
          <w:sz w:val="16"/>
          <w:szCs w:val="16"/>
          <w:color w:val="auto"/>
        </w:rPr>
        <w:t xml:space="preserve"> Future closures could be completed through natural lease expirations, while certain other leases include early termination options that can be exercised under specific conditions. The Company may also elect to exit or modify other leases, and could incur charges related to these actions.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Additional details related to store count and gross square footage follow:</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138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rPr>
              <w:t>Fifty-Two Weeks Ended February 1, 2025</w:t>
            </w:r>
          </w:p>
        </w:tc>
        <w:tc>
          <w:tcPr>
            <w:tcW w:w="1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214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4"/>
                <w:szCs w:val="14"/>
                <w:b w:val="1"/>
                <w:bCs w:val="1"/>
                <w:color w:val="auto"/>
              </w:rPr>
              <w:t xml:space="preserve">AMERICAS </w:t>
            </w:r>
            <w:r>
              <w:rPr>
                <w:rFonts w:ascii="Arial" w:cs="Arial" w:eastAsia="Arial" w:hAnsi="Arial"/>
                <w:sz w:val="9"/>
                <w:szCs w:val="9"/>
                <w:b w:val="1"/>
                <w:bCs w:val="1"/>
                <w:color w:val="auto"/>
              </w:rPr>
              <w:t>(1)</w:t>
            </w:r>
          </w:p>
        </w:tc>
        <w:tc>
          <w:tcPr>
            <w:tcW w:w="80" w:type="dxa"/>
            <w:vAlign w:val="bottom"/>
          </w:tcPr>
          <w:p>
            <w:pPr>
              <w:spacing w:after="0"/>
              <w:rPr>
                <w:sz w:val="17"/>
                <w:szCs w:val="17"/>
                <w:color w:val="auto"/>
              </w:rPr>
            </w:pPr>
          </w:p>
        </w:tc>
        <w:tc>
          <w:tcPr>
            <w:tcW w:w="214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4"/>
                <w:szCs w:val="14"/>
                <w:b w:val="1"/>
                <w:bCs w:val="1"/>
                <w:color w:val="auto"/>
              </w:rPr>
              <w:t xml:space="preserve">EMEA </w:t>
            </w:r>
            <w:r>
              <w:rPr>
                <w:rFonts w:ascii="Arial" w:cs="Arial" w:eastAsia="Arial" w:hAnsi="Arial"/>
                <w:sz w:val="9"/>
                <w:szCs w:val="9"/>
                <w:b w:val="1"/>
                <w:bCs w:val="1"/>
                <w:color w:val="auto"/>
              </w:rPr>
              <w:t>(2)</w:t>
            </w:r>
          </w:p>
        </w:tc>
        <w:tc>
          <w:tcPr>
            <w:tcW w:w="100" w:type="dxa"/>
            <w:vAlign w:val="bottom"/>
          </w:tcPr>
          <w:p>
            <w:pPr>
              <w:spacing w:after="0"/>
              <w:rPr>
                <w:sz w:val="17"/>
                <w:szCs w:val="17"/>
                <w:color w:val="auto"/>
              </w:rPr>
            </w:pPr>
          </w:p>
        </w:tc>
        <w:tc>
          <w:tcPr>
            <w:tcW w:w="140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 xml:space="preserve">APAC </w:t>
            </w:r>
            <w:r>
              <w:rPr>
                <w:rFonts w:ascii="Arial" w:cs="Arial" w:eastAsia="Arial" w:hAnsi="Arial"/>
                <w:sz w:val="9"/>
                <w:szCs w:val="9"/>
                <w:b w:val="1"/>
                <w:bCs w:val="1"/>
                <w:color w:val="auto"/>
              </w:rPr>
              <w:t>(3)</w:t>
            </w:r>
          </w:p>
        </w:tc>
        <w:tc>
          <w:tcPr>
            <w:tcW w:w="7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Borders>
              <w:bottom w:val="single" w:sz="8" w:color="auto"/>
            </w:tcBorders>
            <w:gridSpan w:val="4"/>
          </w:tcPr>
          <w:p>
            <w:pPr>
              <w:ind w:left="1060"/>
              <w:spacing w:after="0"/>
              <w:rPr>
                <w:sz w:val="20"/>
                <w:szCs w:val="20"/>
                <w:color w:val="auto"/>
              </w:rPr>
            </w:pPr>
            <w:r>
              <w:rPr>
                <w:rFonts w:ascii="Arial" w:cs="Arial" w:eastAsia="Arial" w:hAnsi="Arial"/>
                <w:sz w:val="14"/>
                <w:szCs w:val="14"/>
                <w:b w:val="1"/>
                <w:bCs w:val="1"/>
                <w:color w:val="auto"/>
              </w:rPr>
              <w:t>Total Company</w:t>
            </w:r>
          </w:p>
        </w:tc>
        <w:tc>
          <w:tcPr>
            <w:tcW w:w="900" w:type="dxa"/>
            <w:vAlign w:val="bottom"/>
            <w:tcBorders>
              <w:bottom w:val="single" w:sz="8" w:color="auto"/>
            </w:tcBorders>
          </w:tcPr>
          <w:p>
            <w:pPr>
              <w:spacing w:after="0"/>
              <w:rPr>
                <w:sz w:val="17"/>
                <w:szCs w:val="17"/>
                <w:color w:val="auto"/>
              </w:rPr>
            </w:pPr>
          </w:p>
        </w:tc>
      </w:tr>
      <w:tr>
        <w:trPr>
          <w:trHeight w:val="170"/>
        </w:trPr>
        <w:tc>
          <w:tcPr>
            <w:tcW w:w="1380" w:type="dxa"/>
            <w:vAlign w:val="bottom"/>
          </w:tcPr>
          <w:p>
            <w:pPr>
              <w:spacing w:after="0"/>
              <w:rPr>
                <w:sz w:val="14"/>
                <w:szCs w:val="14"/>
                <w:color w:val="auto"/>
              </w:rPr>
            </w:pPr>
          </w:p>
        </w:tc>
        <w:tc>
          <w:tcPr>
            <w:tcW w:w="1240" w:type="dxa"/>
            <w:vAlign w:val="bottom"/>
            <w:gridSpan w:val="2"/>
          </w:tcPr>
          <w:p>
            <w:pPr>
              <w:ind w:left="220"/>
              <w:spacing w:after="0"/>
              <w:rPr>
                <w:sz w:val="20"/>
                <w:szCs w:val="20"/>
                <w:color w:val="auto"/>
              </w:rPr>
            </w:pPr>
            <w:r>
              <w:rPr>
                <w:rFonts w:ascii="Arial" w:cs="Arial" w:eastAsia="Arial" w:hAnsi="Arial"/>
                <w:sz w:val="12"/>
                <w:szCs w:val="12"/>
                <w:b w:val="1"/>
                <w:bCs w:val="1"/>
                <w:color w:val="auto"/>
              </w:rPr>
              <w:t>Abercrombie</w:t>
            </w:r>
          </w:p>
        </w:tc>
        <w:tc>
          <w:tcPr>
            <w:tcW w:w="980" w:type="dxa"/>
            <w:vAlign w:val="bottom"/>
            <w:gridSpan w:val="2"/>
          </w:tcPr>
          <w:p>
            <w:pPr>
              <w:ind w:left="220"/>
              <w:spacing w:after="0"/>
              <w:rPr>
                <w:sz w:val="20"/>
                <w:szCs w:val="20"/>
                <w:color w:val="auto"/>
              </w:rPr>
            </w:pPr>
            <w:r>
              <w:rPr>
                <w:rFonts w:ascii="Arial" w:cs="Arial" w:eastAsia="Arial" w:hAnsi="Arial"/>
                <w:sz w:val="12"/>
                <w:szCs w:val="12"/>
                <w:b w:val="1"/>
                <w:bCs w:val="1"/>
                <w:color w:val="auto"/>
              </w:rPr>
              <w:t>Hollister</w:t>
            </w:r>
          </w:p>
        </w:tc>
        <w:tc>
          <w:tcPr>
            <w:tcW w:w="1240" w:type="dxa"/>
            <w:vAlign w:val="bottom"/>
            <w:gridSpan w:val="2"/>
          </w:tcPr>
          <w:p>
            <w:pPr>
              <w:ind w:left="220"/>
              <w:spacing w:after="0"/>
              <w:rPr>
                <w:sz w:val="20"/>
                <w:szCs w:val="20"/>
                <w:color w:val="auto"/>
              </w:rPr>
            </w:pPr>
            <w:r>
              <w:rPr>
                <w:rFonts w:ascii="Arial" w:cs="Arial" w:eastAsia="Arial" w:hAnsi="Arial"/>
                <w:sz w:val="12"/>
                <w:szCs w:val="12"/>
                <w:b w:val="1"/>
                <w:bCs w:val="1"/>
                <w:color w:val="auto"/>
              </w:rPr>
              <w:t>Abercrombie</w:t>
            </w:r>
          </w:p>
        </w:tc>
        <w:tc>
          <w:tcPr>
            <w:tcW w:w="1000" w:type="dxa"/>
            <w:vAlign w:val="bottom"/>
            <w:gridSpan w:val="2"/>
          </w:tcPr>
          <w:p>
            <w:pPr>
              <w:ind w:left="220"/>
              <w:spacing w:after="0"/>
              <w:rPr>
                <w:sz w:val="20"/>
                <w:szCs w:val="20"/>
                <w:color w:val="auto"/>
              </w:rPr>
            </w:pPr>
            <w:r>
              <w:rPr>
                <w:rFonts w:ascii="Arial" w:cs="Arial" w:eastAsia="Arial" w:hAnsi="Arial"/>
                <w:sz w:val="12"/>
                <w:szCs w:val="12"/>
                <w:b w:val="1"/>
                <w:bCs w:val="1"/>
                <w:color w:val="auto"/>
              </w:rPr>
              <w:t>Hollister</w:t>
            </w:r>
          </w:p>
        </w:tc>
        <w:tc>
          <w:tcPr>
            <w:tcW w:w="1400" w:type="dxa"/>
            <w:vAlign w:val="bottom"/>
            <w:gridSpan w:val="3"/>
          </w:tcPr>
          <w:p>
            <w:pPr>
              <w:ind w:left="200"/>
              <w:spacing w:after="0"/>
              <w:rPr>
                <w:sz w:val="20"/>
                <w:szCs w:val="20"/>
                <w:color w:val="auto"/>
              </w:rPr>
            </w:pPr>
            <w:r>
              <w:rPr>
                <w:rFonts w:ascii="Arial" w:cs="Arial" w:eastAsia="Arial" w:hAnsi="Arial"/>
                <w:sz w:val="12"/>
                <w:szCs w:val="12"/>
                <w:b w:val="1"/>
                <w:bCs w:val="1"/>
                <w:color w:val="auto"/>
              </w:rPr>
              <w:t>Abercrombie</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Hollister</w:t>
            </w:r>
          </w:p>
        </w:tc>
        <w:tc>
          <w:tcPr>
            <w:tcW w:w="1240" w:type="dxa"/>
            <w:vAlign w:val="bottom"/>
            <w:gridSpan w:val="2"/>
          </w:tcPr>
          <w:p>
            <w:pPr>
              <w:ind w:left="220"/>
              <w:spacing w:after="0"/>
              <w:rPr>
                <w:sz w:val="20"/>
                <w:szCs w:val="20"/>
                <w:color w:val="auto"/>
              </w:rPr>
            </w:pPr>
            <w:r>
              <w:rPr>
                <w:rFonts w:ascii="Arial" w:cs="Arial" w:eastAsia="Arial" w:hAnsi="Arial"/>
                <w:sz w:val="12"/>
                <w:szCs w:val="12"/>
                <w:b w:val="1"/>
                <w:bCs w:val="1"/>
                <w:color w:val="auto"/>
              </w:rPr>
              <w:t>Abercrombie</w:t>
            </w:r>
          </w:p>
        </w:tc>
        <w:tc>
          <w:tcPr>
            <w:tcW w:w="1000" w:type="dxa"/>
            <w:vAlign w:val="bottom"/>
            <w:gridSpan w:val="2"/>
          </w:tcPr>
          <w:p>
            <w:pPr>
              <w:ind w:left="220"/>
              <w:spacing w:after="0"/>
              <w:rPr>
                <w:sz w:val="20"/>
                <w:szCs w:val="20"/>
                <w:color w:val="auto"/>
              </w:rPr>
            </w:pPr>
            <w:r>
              <w:rPr>
                <w:rFonts w:ascii="Arial" w:cs="Arial" w:eastAsia="Arial" w:hAnsi="Arial"/>
                <w:sz w:val="12"/>
                <w:szCs w:val="12"/>
                <w:b w:val="1"/>
                <w:bCs w:val="1"/>
                <w:color w:val="auto"/>
              </w:rPr>
              <w:t>Hollister</w:t>
            </w:r>
          </w:p>
        </w:tc>
        <w:tc>
          <w:tcPr>
            <w:tcW w:w="900" w:type="dxa"/>
            <w:vAlign w:val="bottom"/>
          </w:tcPr>
          <w:p>
            <w:pPr>
              <w:jc w:val="right"/>
              <w:ind w:right="170"/>
              <w:spacing w:after="0" w:line="170" w:lineRule="exact"/>
              <w:rPr>
                <w:sz w:val="20"/>
                <w:szCs w:val="20"/>
                <w:color w:val="auto"/>
              </w:rPr>
            </w:pPr>
            <w:r>
              <w:rPr>
                <w:rFonts w:ascii="Arial" w:cs="Arial" w:eastAsia="Arial" w:hAnsi="Arial"/>
                <w:sz w:val="12"/>
                <w:szCs w:val="12"/>
                <w:b w:val="1"/>
                <w:bCs w:val="1"/>
                <w:color w:val="auto"/>
              </w:rPr>
              <w:t xml:space="preserve">Total </w:t>
            </w:r>
            <w:r>
              <w:rPr>
                <w:rFonts w:ascii="Arial" w:cs="Arial" w:eastAsia="Arial" w:hAnsi="Arial"/>
                <w:sz w:val="15"/>
                <w:szCs w:val="15"/>
                <w:b w:val="1"/>
                <w:bCs w:val="1"/>
                <w:color w:val="auto"/>
                <w:vertAlign w:val="superscript"/>
              </w:rPr>
              <w:t>(4)</w:t>
            </w:r>
          </w:p>
        </w:tc>
      </w:tr>
      <w:tr>
        <w:trPr>
          <w:trHeight w:val="188"/>
        </w:trPr>
        <w:tc>
          <w:tcPr>
            <w:tcW w:w="1380" w:type="dxa"/>
            <w:vAlign w:val="bottom"/>
          </w:tcPr>
          <w:p>
            <w:pPr>
              <w:spacing w:after="0"/>
              <w:rPr>
                <w:sz w:val="20"/>
                <w:szCs w:val="20"/>
                <w:color w:val="auto"/>
              </w:rPr>
            </w:pPr>
            <w:r>
              <w:rPr>
                <w:rFonts w:ascii="Arial" w:cs="Arial" w:eastAsia="Arial" w:hAnsi="Arial"/>
                <w:sz w:val="13"/>
                <w:szCs w:val="13"/>
                <w:color w:val="auto"/>
              </w:rPr>
              <w:t>February 3, 2024</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16"/>
                <w:szCs w:val="16"/>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384</w:t>
            </w:r>
          </w:p>
        </w:tc>
        <w:tc>
          <w:tcPr>
            <w:tcW w:w="80" w:type="dxa"/>
            <w:vAlign w:val="bottom"/>
          </w:tcPr>
          <w:p>
            <w:pPr>
              <w:spacing w:after="0"/>
              <w:rPr>
                <w:sz w:val="16"/>
                <w:szCs w:val="16"/>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6"/>
                <w:szCs w:val="16"/>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247</w:t>
            </w:r>
          </w:p>
        </w:tc>
        <w:tc>
          <w:tcPr>
            <w:tcW w:w="80" w:type="dxa"/>
            <w:vAlign w:val="bottom"/>
          </w:tcPr>
          <w:p>
            <w:pPr>
              <w:spacing w:after="0"/>
              <w:rPr>
                <w:sz w:val="16"/>
                <w:szCs w:val="16"/>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518</w:t>
            </w:r>
          </w:p>
        </w:tc>
        <w:tc>
          <w:tcPr>
            <w:tcW w:w="80" w:type="dxa"/>
            <w:vAlign w:val="bottom"/>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765</w:t>
            </w:r>
          </w:p>
        </w:tc>
      </w:tr>
      <w:tr>
        <w:trPr>
          <w:trHeight w:val="203"/>
        </w:trPr>
        <w:tc>
          <w:tcPr>
            <w:tcW w:w="1380" w:type="dxa"/>
            <w:vAlign w:val="bottom"/>
          </w:tcPr>
          <w:p>
            <w:pPr>
              <w:spacing w:after="0"/>
              <w:rPr>
                <w:sz w:val="20"/>
                <w:szCs w:val="20"/>
                <w:color w:val="auto"/>
              </w:rPr>
            </w:pPr>
            <w:r>
              <w:rPr>
                <w:rFonts w:ascii="Arial" w:cs="Arial" w:eastAsia="Arial" w:hAnsi="Arial"/>
                <w:sz w:val="13"/>
                <w:szCs w:val="13"/>
                <w:color w:val="auto"/>
              </w:rPr>
              <w:t>New</w:t>
            </w:r>
          </w:p>
        </w:tc>
        <w:tc>
          <w:tcPr>
            <w:tcW w:w="114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7"/>
                <w:szCs w:val="17"/>
                <w:color w:val="auto"/>
              </w:rPr>
            </w:pP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7"/>
                <w:szCs w:val="17"/>
                <w:color w:val="auto"/>
              </w:rPr>
            </w:pPr>
          </w:p>
        </w:tc>
        <w:tc>
          <w:tcPr>
            <w:tcW w:w="1160" w:type="dxa"/>
            <w:vAlign w:val="bottom"/>
          </w:tcPr>
          <w:p>
            <w:pPr>
              <w:jc w:val="right"/>
              <w:ind w:right="10"/>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1160" w:type="dxa"/>
            <w:vAlign w:val="bottom"/>
          </w:tcPr>
          <w:p>
            <w:pPr>
              <w:jc w:val="right"/>
              <w:ind w:right="10"/>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17"/>
                <w:szCs w:val="17"/>
                <w:color w:val="auto"/>
              </w:rPr>
            </w:pP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65</w:t>
            </w:r>
          </w:p>
        </w:tc>
      </w:tr>
      <w:tr>
        <w:trPr>
          <w:trHeight w:val="207"/>
        </w:trPr>
        <w:tc>
          <w:tcPr>
            <w:tcW w:w="1380" w:type="dxa"/>
            <w:vAlign w:val="bottom"/>
          </w:tcPr>
          <w:p>
            <w:pPr>
              <w:spacing w:after="0"/>
              <w:rPr>
                <w:sz w:val="20"/>
                <w:szCs w:val="20"/>
                <w:color w:val="auto"/>
              </w:rPr>
            </w:pPr>
            <w:r>
              <w:rPr>
                <w:rFonts w:ascii="Arial" w:cs="Arial" w:eastAsia="Arial" w:hAnsi="Arial"/>
                <w:sz w:val="13"/>
                <w:szCs w:val="13"/>
                <w:color w:val="auto"/>
              </w:rPr>
              <w:t>Permanently closed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r>
      <w:tr>
        <w:trPr>
          <w:trHeight w:val="200"/>
        </w:trPr>
        <w:tc>
          <w:tcPr>
            <w:tcW w:w="1380" w:type="dxa"/>
            <w:vAlign w:val="bottom"/>
          </w:tcPr>
          <w:p>
            <w:pPr>
              <w:spacing w:after="0"/>
              <w:rPr>
                <w:sz w:val="20"/>
                <w:szCs w:val="20"/>
                <w:color w:val="auto"/>
              </w:rPr>
            </w:pPr>
            <w:r>
              <w:rPr>
                <w:rFonts w:ascii="Arial" w:cs="Arial" w:eastAsia="Arial" w:hAnsi="Arial"/>
                <w:sz w:val="13"/>
                <w:szCs w:val="13"/>
                <w:color w:val="auto"/>
              </w:rPr>
              <w:t>February 1, 2025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17"/>
                <w:szCs w:val="17"/>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385</w:t>
            </w:r>
          </w:p>
        </w:tc>
        <w:tc>
          <w:tcPr>
            <w:tcW w:w="80" w:type="dxa"/>
            <w:vAlign w:val="bottom"/>
          </w:tcPr>
          <w:p>
            <w:pPr>
              <w:spacing w:after="0"/>
              <w:rPr>
                <w:sz w:val="17"/>
                <w:szCs w:val="17"/>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33</w:t>
            </w:r>
          </w:p>
        </w:tc>
        <w:tc>
          <w:tcPr>
            <w:tcW w:w="8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7"/>
                <w:szCs w:val="17"/>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278</w:t>
            </w:r>
          </w:p>
        </w:tc>
        <w:tc>
          <w:tcPr>
            <w:tcW w:w="80" w:type="dxa"/>
            <w:vAlign w:val="bottom"/>
          </w:tcPr>
          <w:p>
            <w:pPr>
              <w:spacing w:after="0"/>
              <w:rPr>
                <w:sz w:val="17"/>
                <w:szCs w:val="17"/>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511</w:t>
            </w:r>
          </w:p>
        </w:tc>
        <w:tc>
          <w:tcPr>
            <w:tcW w:w="8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789</w:t>
            </w:r>
          </w:p>
        </w:tc>
      </w:tr>
      <w:tr>
        <w:trPr>
          <w:trHeight w:val="21"/>
        </w:trPr>
        <w:tc>
          <w:tcPr>
            <w:tcW w:w="13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69"/>
        </w:trPr>
        <w:tc>
          <w:tcPr>
            <w:tcW w:w="2620" w:type="dxa"/>
            <w:vAlign w:val="bottom"/>
            <w:gridSpan w:val="3"/>
          </w:tcPr>
          <w:p>
            <w:pPr>
              <w:spacing w:after="0"/>
              <w:rPr>
                <w:sz w:val="20"/>
                <w:szCs w:val="20"/>
                <w:color w:val="auto"/>
              </w:rPr>
            </w:pPr>
            <w:r>
              <w:rPr>
                <w:rFonts w:ascii="Arial" w:cs="Arial" w:eastAsia="Arial" w:hAnsi="Arial"/>
                <w:sz w:val="14"/>
                <w:szCs w:val="14"/>
                <w:color w:val="auto"/>
              </w:rPr>
              <w:t xml:space="preserve">Gross square footage </w:t>
            </w:r>
            <w:r>
              <w:rPr>
                <w:rFonts w:ascii="Arial" w:cs="Arial" w:eastAsia="Arial" w:hAnsi="Arial"/>
                <w:sz w:val="14"/>
                <w:szCs w:val="14"/>
                <w:i w:val="1"/>
                <w:iCs w:val="1"/>
                <w:color w:val="auto"/>
              </w:rPr>
              <w:t>(in thousands)</w:t>
            </w:r>
            <w:r>
              <w:rPr>
                <w:rFonts w:ascii="Arial" w:cs="Arial" w:eastAsia="Arial" w:hAnsi="Arial"/>
                <w:sz w:val="14"/>
                <w:szCs w:val="14"/>
                <w:color w:val="auto"/>
              </w:rPr>
              <w:t>:</w:t>
            </w: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11"/>
        </w:trPr>
        <w:tc>
          <w:tcPr>
            <w:tcW w:w="1380" w:type="dxa"/>
            <w:vAlign w:val="bottom"/>
          </w:tcPr>
          <w:p>
            <w:pPr>
              <w:spacing w:after="0"/>
              <w:rPr>
                <w:sz w:val="20"/>
                <w:szCs w:val="20"/>
                <w:color w:val="auto"/>
              </w:rPr>
            </w:pPr>
            <w:r>
              <w:rPr>
                <w:rFonts w:ascii="Arial" w:cs="Arial" w:eastAsia="Arial" w:hAnsi="Arial"/>
                <w:sz w:val="13"/>
                <w:szCs w:val="13"/>
                <w:color w:val="auto"/>
              </w:rPr>
              <w:t>February 3, 2024</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1,188</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2,459</w:t>
            </w:r>
          </w:p>
        </w:tc>
        <w:tc>
          <w:tcPr>
            <w:tcW w:w="80" w:type="dxa"/>
            <w:vAlign w:val="bottom"/>
          </w:tcPr>
          <w:p>
            <w:pPr>
              <w:spacing w:after="0"/>
              <w:rPr>
                <w:sz w:val="18"/>
                <w:szCs w:val="18"/>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187</w:t>
            </w:r>
          </w:p>
        </w:tc>
        <w:tc>
          <w:tcPr>
            <w:tcW w:w="8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828</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1,524</w:t>
            </w:r>
          </w:p>
        </w:tc>
        <w:tc>
          <w:tcPr>
            <w:tcW w:w="80" w:type="dxa"/>
            <w:vAlign w:val="bottom"/>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3,456</w:t>
            </w:r>
          </w:p>
        </w:tc>
        <w:tc>
          <w:tcPr>
            <w:tcW w:w="8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4,980</w:t>
            </w:r>
          </w:p>
        </w:tc>
      </w:tr>
      <w:tr>
        <w:trPr>
          <w:trHeight w:val="20"/>
        </w:trPr>
        <w:tc>
          <w:tcPr>
            <w:tcW w:w="13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6"/>
        </w:trPr>
        <w:tc>
          <w:tcPr>
            <w:tcW w:w="1380" w:type="dxa"/>
            <w:vAlign w:val="bottom"/>
          </w:tcPr>
          <w:p>
            <w:pPr>
              <w:spacing w:after="0"/>
              <w:rPr>
                <w:sz w:val="20"/>
                <w:szCs w:val="20"/>
                <w:color w:val="auto"/>
              </w:rPr>
            </w:pPr>
            <w:r>
              <w:rPr>
                <w:rFonts w:ascii="Arial" w:cs="Arial" w:eastAsia="Arial" w:hAnsi="Arial"/>
                <w:sz w:val="13"/>
                <w:szCs w:val="13"/>
                <w:color w:val="auto"/>
              </w:rPr>
              <w:t>February 1, 2025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1,305</w:t>
            </w:r>
          </w:p>
        </w:tc>
        <w:tc>
          <w:tcPr>
            <w:tcW w:w="100" w:type="dxa"/>
            <w:vAlign w:val="bottom"/>
          </w:tcPr>
          <w:p>
            <w:pPr>
              <w:spacing w:after="0"/>
              <w:rPr>
                <w:sz w:val="17"/>
                <w:szCs w:val="17"/>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2,478</w:t>
            </w:r>
          </w:p>
        </w:tc>
        <w:tc>
          <w:tcPr>
            <w:tcW w:w="80" w:type="dxa"/>
            <w:vAlign w:val="bottom"/>
          </w:tcPr>
          <w:p>
            <w:pPr>
              <w:spacing w:after="0"/>
              <w:rPr>
                <w:sz w:val="17"/>
                <w:szCs w:val="17"/>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214</w:t>
            </w:r>
          </w:p>
        </w:tc>
        <w:tc>
          <w:tcPr>
            <w:tcW w:w="8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769</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7"/>
                <w:szCs w:val="17"/>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1,693</w:t>
            </w:r>
          </w:p>
        </w:tc>
        <w:tc>
          <w:tcPr>
            <w:tcW w:w="80" w:type="dxa"/>
            <w:vAlign w:val="bottom"/>
          </w:tcPr>
          <w:p>
            <w:pPr>
              <w:spacing w:after="0"/>
              <w:rPr>
                <w:sz w:val="17"/>
                <w:szCs w:val="17"/>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3,401</w:t>
            </w:r>
          </w:p>
        </w:tc>
        <w:tc>
          <w:tcPr>
            <w:tcW w:w="8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5,094</w:t>
            </w:r>
          </w:p>
        </w:tc>
      </w:tr>
      <w:tr>
        <w:trPr>
          <w:trHeight w:val="21"/>
        </w:trPr>
        <w:tc>
          <w:tcPr>
            <w:tcW w:w="13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59"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vertAlign w:val="superscript"/>
        </w:rPr>
      </w:pPr>
      <w:r>
        <w:rPr>
          <w:rFonts w:ascii="Arial" w:cs="Arial" w:eastAsia="Arial" w:hAnsi="Arial"/>
          <w:sz w:val="13"/>
          <w:szCs w:val="13"/>
          <w:color w:val="auto"/>
        </w:rPr>
        <w:t>The Americas segment includes North America and South America.</w:t>
      </w:r>
    </w:p>
    <w:p>
      <w:pPr>
        <w:ind w:left="340" w:hanging="332"/>
        <w:spacing w:after="0" w:line="193" w:lineRule="auto"/>
        <w:tabs>
          <w:tab w:leader="none" w:pos="340" w:val="left"/>
        </w:tabs>
        <w:numPr>
          <w:ilvl w:val="0"/>
          <w:numId w:val="31"/>
        </w:numPr>
        <w:rPr>
          <w:rFonts w:ascii="Arial" w:cs="Arial" w:eastAsia="Arial" w:hAnsi="Arial"/>
          <w:sz w:val="16"/>
          <w:szCs w:val="16"/>
          <w:color w:val="auto"/>
          <w:vertAlign w:val="superscript"/>
        </w:rPr>
      </w:pPr>
      <w:r>
        <w:rPr>
          <w:rFonts w:ascii="Arial" w:cs="Arial" w:eastAsia="Arial" w:hAnsi="Arial"/>
          <w:sz w:val="13"/>
          <w:szCs w:val="13"/>
          <w:color w:val="auto"/>
        </w:rPr>
        <w:t>The EMEA segment includes Europe, the Middle East and Africa.</w:t>
      </w:r>
    </w:p>
    <w:p>
      <w:pPr>
        <w:ind w:left="340" w:hanging="332"/>
        <w:spacing w:after="0" w:line="193" w:lineRule="auto"/>
        <w:tabs>
          <w:tab w:leader="none" w:pos="340" w:val="left"/>
        </w:tabs>
        <w:numPr>
          <w:ilvl w:val="0"/>
          <w:numId w:val="31"/>
        </w:numPr>
        <w:rPr>
          <w:rFonts w:ascii="Arial" w:cs="Arial" w:eastAsia="Arial" w:hAnsi="Arial"/>
          <w:sz w:val="16"/>
          <w:szCs w:val="16"/>
          <w:color w:val="auto"/>
          <w:vertAlign w:val="superscript"/>
        </w:rPr>
      </w:pPr>
      <w:r>
        <w:rPr>
          <w:rFonts w:ascii="Arial" w:cs="Arial" w:eastAsia="Arial" w:hAnsi="Arial"/>
          <w:sz w:val="13"/>
          <w:szCs w:val="13"/>
          <w:color w:val="auto"/>
        </w:rPr>
        <w:t>The APAC segment includes the Asia-Pacific region, including Asia and Oceania.</w:t>
      </w:r>
    </w:p>
    <w:p>
      <w:pPr>
        <w:ind w:left="340" w:hanging="332"/>
        <w:spacing w:after="0" w:line="190" w:lineRule="auto"/>
        <w:tabs>
          <w:tab w:leader="none" w:pos="340" w:val="left"/>
        </w:tabs>
        <w:numPr>
          <w:ilvl w:val="0"/>
          <w:numId w:val="31"/>
        </w:numPr>
        <w:rPr>
          <w:rFonts w:ascii="Arial" w:cs="Arial" w:eastAsia="Arial" w:hAnsi="Arial"/>
          <w:sz w:val="18"/>
          <w:szCs w:val="18"/>
          <w:color w:val="auto"/>
          <w:vertAlign w:val="superscript"/>
        </w:rPr>
      </w:pPr>
      <w:r>
        <w:rPr>
          <w:rFonts w:ascii="Arial" w:cs="Arial" w:eastAsia="Arial" w:hAnsi="Arial"/>
          <w:sz w:val="13"/>
          <w:szCs w:val="13"/>
          <w:color w:val="auto"/>
        </w:rPr>
        <w:t>This store count excludes temporary and international franchise stores.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Pillar Two Model Rules</w:t>
      </w:r>
    </w:p>
    <w:p>
      <w:pPr>
        <w:spacing w:after="0" w:line="233"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In 2021, the Organization for Economic Cooperation and Development (“OECD”) released Pillar Two Global Anti-Base Erosion model rules (“Pillar Two Rules”), designed to ensure large corporations are taxed at a minimum rate of 15% in all countries of operation. Although the U.S. withdrew the U.S. from the OECD’s global tax agreement in January 2025, other countries where the Company does business, including the U.K. and Germany, have enacted legislation implementing Pillar Two Rules, which are effective from January 1, 2024. The implementation of Pillar Two Rules in each jurisdiction in which the Company operates did not have a material impact on the Company’s effective tax rate for Fiscal 2024, and the Company does not project a material impact on the effective tax rate for Fiscal 2025. The Company will continue to evaluate the impact as additional jurisdictions enact legislation and provide further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32</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Summary of Results</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A summary of results for Fiscal 2024 and Fiscal 2023 follows:</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color w:val="auto"/>
              </w:rPr>
              <w:t>GAAP</w:t>
            </w: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color w:val="auto"/>
              </w:rPr>
              <w:t xml:space="preserve">Non-GAAP </w:t>
            </w:r>
            <w:r>
              <w:rPr>
                <w:rFonts w:ascii="Arial" w:cs="Arial" w:eastAsia="Arial" w:hAnsi="Arial"/>
                <w:sz w:val="9"/>
                <w:szCs w:val="9"/>
                <w:color w:val="auto"/>
              </w:rPr>
              <w:t>(1)</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5300" w:type="dxa"/>
            <w:vAlign w:val="bottom"/>
          </w:tcPr>
          <w:p>
            <w:pPr>
              <w:ind w:left="20"/>
              <w:spacing w:after="0" w:line="141" w:lineRule="exact"/>
              <w:rPr>
                <w:sz w:val="20"/>
                <w:szCs w:val="20"/>
                <w:color w:val="auto"/>
              </w:rPr>
            </w:pPr>
            <w:r>
              <w:rPr>
                <w:rFonts w:ascii="Arial" w:cs="Arial" w:eastAsia="Arial" w:hAnsi="Arial"/>
                <w:sz w:val="14"/>
                <w:szCs w:val="14"/>
                <w:i w:val="1"/>
                <w:iCs w:val="1"/>
                <w:color w:val="auto"/>
              </w:rPr>
              <w:t>(in thousands, except change in net sales, operating income margin and per share</w:t>
            </w:r>
          </w:p>
        </w:tc>
        <w:tc>
          <w:tcPr>
            <w:tcW w:w="340" w:type="dxa"/>
            <w:vAlign w:val="bottom"/>
          </w:tcPr>
          <w:p>
            <w:pPr>
              <w:spacing w:after="0"/>
              <w:rPr>
                <w:sz w:val="12"/>
                <w:szCs w:val="12"/>
                <w:color w:val="auto"/>
              </w:rPr>
            </w:pPr>
          </w:p>
        </w:tc>
        <w:tc>
          <w:tcPr>
            <w:tcW w:w="1160" w:type="dxa"/>
            <w:vAlign w:val="bottom"/>
            <w:gridSpan w:val="2"/>
            <w:vMerge w:val="restart"/>
          </w:tcPr>
          <w:p>
            <w:pPr>
              <w:ind w:left="300"/>
              <w:spacing w:after="0"/>
              <w:rPr>
                <w:sz w:val="20"/>
                <w:szCs w:val="20"/>
                <w:color w:val="auto"/>
              </w:rPr>
            </w:pPr>
            <w:r>
              <w:rPr>
                <w:rFonts w:ascii="Arial" w:cs="Arial" w:eastAsia="Arial" w:hAnsi="Arial"/>
                <w:sz w:val="14"/>
                <w:szCs w:val="14"/>
                <w:color w:val="auto"/>
              </w:rPr>
              <w:t>Fiscal 2024</w:t>
            </w:r>
          </w:p>
        </w:tc>
        <w:tc>
          <w:tcPr>
            <w:tcW w:w="360" w:type="dxa"/>
            <w:vAlign w:val="bottom"/>
          </w:tcPr>
          <w:p>
            <w:pPr>
              <w:spacing w:after="0"/>
              <w:rPr>
                <w:sz w:val="12"/>
                <w:szCs w:val="12"/>
                <w:color w:val="auto"/>
              </w:rPr>
            </w:pPr>
          </w:p>
        </w:tc>
        <w:tc>
          <w:tcPr>
            <w:tcW w:w="1160" w:type="dxa"/>
            <w:vAlign w:val="bottom"/>
            <w:gridSpan w:val="2"/>
            <w:vMerge w:val="restart"/>
          </w:tcPr>
          <w:p>
            <w:pPr>
              <w:ind w:left="300"/>
              <w:spacing w:after="0"/>
              <w:rPr>
                <w:sz w:val="20"/>
                <w:szCs w:val="20"/>
                <w:color w:val="auto"/>
              </w:rPr>
            </w:pPr>
            <w:r>
              <w:rPr>
                <w:rFonts w:ascii="Arial" w:cs="Arial" w:eastAsia="Arial" w:hAnsi="Arial"/>
                <w:sz w:val="14"/>
                <w:szCs w:val="14"/>
                <w:color w:val="auto"/>
              </w:rPr>
              <w:t>Fiscal 2023</w:t>
            </w:r>
          </w:p>
        </w:tc>
        <w:tc>
          <w:tcPr>
            <w:tcW w:w="2000" w:type="dxa"/>
            <w:vAlign w:val="bottom"/>
            <w:gridSpan w:val="3"/>
            <w:vMerge w:val="restart"/>
          </w:tcPr>
          <w:p>
            <w:pPr>
              <w:jc w:val="right"/>
              <w:ind w:right="640"/>
              <w:spacing w:after="0"/>
              <w:rPr>
                <w:sz w:val="20"/>
                <w:szCs w:val="20"/>
                <w:color w:val="auto"/>
              </w:rPr>
            </w:pPr>
            <w:r>
              <w:rPr>
                <w:rFonts w:ascii="Arial" w:cs="Arial" w:eastAsia="Arial" w:hAnsi="Arial"/>
                <w:sz w:val="14"/>
                <w:szCs w:val="14"/>
                <w:color w:val="auto"/>
              </w:rPr>
              <w:t>Fiscal 2024</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Fiscal 2023</w:t>
            </w:r>
          </w:p>
        </w:tc>
        <w:tc>
          <w:tcPr>
            <w:tcW w:w="0" w:type="dxa"/>
            <w:vAlign w:val="bottom"/>
          </w:tcPr>
          <w:p>
            <w:pPr>
              <w:spacing w:after="0"/>
              <w:rPr>
                <w:sz w:val="1"/>
                <w:szCs w:val="1"/>
                <w:color w:val="auto"/>
              </w:rPr>
            </w:pPr>
          </w:p>
        </w:tc>
      </w:tr>
      <w:tr>
        <w:trPr>
          <w:trHeight w:val="183"/>
        </w:trPr>
        <w:tc>
          <w:tcPr>
            <w:tcW w:w="5300" w:type="dxa"/>
            <w:vAlign w:val="bottom"/>
          </w:tcPr>
          <w:p>
            <w:pPr>
              <w:ind w:left="20"/>
              <w:spacing w:after="0"/>
              <w:rPr>
                <w:sz w:val="20"/>
                <w:szCs w:val="20"/>
                <w:color w:val="auto"/>
              </w:rPr>
            </w:pPr>
            <w:r>
              <w:rPr>
                <w:rFonts w:ascii="Arial" w:cs="Arial" w:eastAsia="Arial" w:hAnsi="Arial"/>
                <w:sz w:val="14"/>
                <w:szCs w:val="14"/>
                <w:i w:val="1"/>
                <w:iCs w:val="1"/>
                <w:color w:val="auto"/>
              </w:rPr>
              <w:t>amounts)</w:t>
            </w:r>
          </w:p>
        </w:tc>
        <w:tc>
          <w:tcPr>
            <w:tcW w:w="3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000" w:type="dxa"/>
            <w:vAlign w:val="bottom"/>
            <w:gridSpan w:val="3"/>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300" w:type="dxa"/>
            <w:vAlign w:val="bottom"/>
            <w:tcBorders>
              <w:top w:val="single" w:sz="8" w:color="F5F5F5"/>
            </w:tcBorders>
            <w:shd w:val="clear" w:color="auto" w:fill="F5F5F5"/>
          </w:tcPr>
          <w:p>
            <w:pPr>
              <w:ind w:left="20"/>
              <w:spacing w:after="0"/>
              <w:rPr>
                <w:sz w:val="20"/>
                <w:szCs w:val="20"/>
                <w:color w:val="auto"/>
              </w:rPr>
            </w:pPr>
            <w:r>
              <w:rPr>
                <w:rFonts w:ascii="Arial" w:cs="Arial" w:eastAsia="Arial" w:hAnsi="Arial"/>
                <w:sz w:val="14"/>
                <w:szCs w:val="14"/>
                <w:color w:val="auto"/>
              </w:rPr>
              <w:t>Net sales</w:t>
            </w:r>
          </w:p>
        </w:tc>
        <w:tc>
          <w:tcPr>
            <w:tcW w:w="340" w:type="dxa"/>
            <w:vAlign w:val="bottom"/>
            <w:tcBorders>
              <w:top w:val="single" w:sz="8" w:color="auto"/>
            </w:tcBorders>
            <w:shd w:val="clear" w:color="auto" w:fill="F5F5F5"/>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F5F5F5"/>
          </w:tcPr>
          <w:p>
            <w:pPr>
              <w:jc w:val="right"/>
              <w:ind w:right="128"/>
              <w:spacing w:after="0"/>
              <w:rPr>
                <w:sz w:val="20"/>
                <w:szCs w:val="20"/>
                <w:color w:val="auto"/>
              </w:rPr>
            </w:pPr>
            <w:r>
              <w:rPr>
                <w:rFonts w:ascii="Arial" w:cs="Arial" w:eastAsia="Arial" w:hAnsi="Arial"/>
                <w:sz w:val="14"/>
                <w:szCs w:val="14"/>
                <w:color w:val="auto"/>
              </w:rPr>
              <w:t>4,948,587</w:t>
            </w:r>
          </w:p>
        </w:tc>
        <w:tc>
          <w:tcPr>
            <w:tcW w:w="100" w:type="dxa"/>
            <w:vAlign w:val="bottom"/>
            <w:tcBorders>
              <w:top w:val="single" w:sz="8" w:color="F5F5F5"/>
            </w:tcBorders>
            <w:shd w:val="clear" w:color="auto" w:fill="F5F5F5"/>
          </w:tcPr>
          <w:p>
            <w:pPr>
              <w:spacing w:after="0"/>
              <w:rPr>
                <w:sz w:val="17"/>
                <w:szCs w:val="17"/>
                <w:color w:val="auto"/>
              </w:rPr>
            </w:pPr>
          </w:p>
        </w:tc>
        <w:tc>
          <w:tcPr>
            <w:tcW w:w="360" w:type="dxa"/>
            <w:vAlign w:val="bottom"/>
            <w:tcBorders>
              <w:top w:val="single" w:sz="8" w:color="auto"/>
            </w:tcBorders>
            <w:shd w:val="clear" w:color="auto" w:fill="F5F5F5"/>
          </w:tcPr>
          <w:p>
            <w:pPr>
              <w:jc w:val="right"/>
              <w:ind w:right="18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F5F5F5"/>
          </w:tcPr>
          <w:p>
            <w:pPr>
              <w:jc w:val="right"/>
              <w:ind w:right="108"/>
              <w:spacing w:after="0"/>
              <w:rPr>
                <w:sz w:val="20"/>
                <w:szCs w:val="20"/>
                <w:color w:val="auto"/>
              </w:rPr>
            </w:pPr>
            <w:r>
              <w:rPr>
                <w:rFonts w:ascii="Arial" w:cs="Arial" w:eastAsia="Arial" w:hAnsi="Arial"/>
                <w:sz w:val="14"/>
                <w:szCs w:val="14"/>
                <w:color w:val="auto"/>
              </w:rPr>
              <w:t>4,280,677</w:t>
            </w:r>
          </w:p>
        </w:tc>
        <w:tc>
          <w:tcPr>
            <w:tcW w:w="120" w:type="dxa"/>
            <w:vAlign w:val="bottom"/>
            <w:tcBorders>
              <w:top w:val="single" w:sz="8" w:color="F5F5F5"/>
            </w:tcBorders>
            <w:shd w:val="clear" w:color="auto" w:fill="F5F5F5"/>
          </w:tcPr>
          <w:p>
            <w:pPr>
              <w:spacing w:after="0"/>
              <w:rPr>
                <w:sz w:val="17"/>
                <w:szCs w:val="17"/>
                <w:color w:val="auto"/>
              </w:rPr>
            </w:pPr>
          </w:p>
        </w:tc>
        <w:tc>
          <w:tcPr>
            <w:tcW w:w="1380" w:type="dxa"/>
            <w:vAlign w:val="bottom"/>
            <w:tcBorders>
              <w:top w:val="single" w:sz="8" w:color="auto"/>
            </w:tcBorders>
            <w:shd w:val="clear" w:color="auto" w:fill="F5F5F5"/>
          </w:tcPr>
          <w:p>
            <w:pPr>
              <w:spacing w:after="0"/>
              <w:rPr>
                <w:sz w:val="17"/>
                <w:szCs w:val="17"/>
                <w:color w:val="auto"/>
              </w:rPr>
            </w:pPr>
          </w:p>
        </w:tc>
        <w:tc>
          <w:tcPr>
            <w:tcW w:w="100" w:type="dxa"/>
            <w:vAlign w:val="bottom"/>
            <w:tcBorders>
              <w:top w:val="single" w:sz="8" w:color="F5F5F5"/>
            </w:tcBorders>
            <w:shd w:val="clear" w:color="auto" w:fill="F5F5F5"/>
          </w:tcPr>
          <w:p>
            <w:pPr>
              <w:spacing w:after="0"/>
              <w:rPr>
                <w:sz w:val="17"/>
                <w:szCs w:val="17"/>
                <w:color w:val="auto"/>
              </w:rPr>
            </w:pPr>
          </w:p>
        </w:tc>
        <w:tc>
          <w:tcPr>
            <w:tcW w:w="520" w:type="dxa"/>
            <w:vAlign w:val="bottom"/>
            <w:tcBorders>
              <w:top w:val="single" w:sz="8" w:color="auto"/>
            </w:tcBorders>
            <w:shd w:val="clear" w:color="auto" w:fill="F5F5F5"/>
          </w:tcPr>
          <w:p>
            <w:pPr>
              <w:spacing w:after="0"/>
              <w:rPr>
                <w:sz w:val="17"/>
                <w:szCs w:val="17"/>
                <w:color w:val="auto"/>
              </w:rPr>
            </w:pPr>
          </w:p>
        </w:tc>
        <w:tc>
          <w:tcPr>
            <w:tcW w:w="880" w:type="dxa"/>
            <w:vAlign w:val="bottom"/>
            <w:tcBorders>
              <w:top w:val="single" w:sz="8" w:color="auto"/>
            </w:tcBorders>
            <w:shd w:val="clear" w:color="auto" w:fill="F5F5F5"/>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00" w:type="dxa"/>
            <w:vAlign w:val="bottom"/>
          </w:tcPr>
          <w:p>
            <w:pPr>
              <w:ind w:left="20"/>
              <w:spacing w:after="0"/>
              <w:rPr>
                <w:sz w:val="20"/>
                <w:szCs w:val="20"/>
                <w:color w:val="auto"/>
              </w:rPr>
            </w:pPr>
            <w:r>
              <w:rPr>
                <w:rFonts w:ascii="Arial" w:cs="Arial" w:eastAsia="Arial" w:hAnsi="Arial"/>
                <w:sz w:val="14"/>
                <w:szCs w:val="14"/>
                <w:color w:val="auto"/>
              </w:rPr>
              <w:t>Change in net sales from the prior fiscal year</w:t>
            </w: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16 %</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300" w:type="dxa"/>
            <w:vAlign w:val="bottom"/>
            <w:shd w:val="clear" w:color="auto" w:fill="F5F5F5"/>
          </w:tcPr>
          <w:p>
            <w:pPr>
              <w:ind w:left="20"/>
              <w:spacing w:after="0"/>
              <w:rPr>
                <w:sz w:val="20"/>
                <w:szCs w:val="20"/>
                <w:color w:val="auto"/>
              </w:rPr>
            </w:pPr>
            <w:r>
              <w:rPr>
                <w:rFonts w:ascii="Arial" w:cs="Arial" w:eastAsia="Arial" w:hAnsi="Arial"/>
                <w:sz w:val="14"/>
                <w:szCs w:val="14"/>
                <w:color w:val="auto"/>
              </w:rPr>
              <w:t xml:space="preserve">Comparable sales </w:t>
            </w:r>
            <w:r>
              <w:rPr>
                <w:rFonts w:ascii="Arial" w:cs="Arial" w:eastAsia="Arial" w:hAnsi="Arial"/>
                <w:sz w:val="9"/>
                <w:szCs w:val="9"/>
                <w:color w:val="auto"/>
              </w:rPr>
              <w:t>(2)</w:t>
            </w:r>
          </w:p>
        </w:tc>
        <w:tc>
          <w:tcPr>
            <w:tcW w:w="340" w:type="dxa"/>
            <w:vAlign w:val="bottom"/>
            <w:shd w:val="clear" w:color="auto" w:fill="F5F5F5"/>
          </w:tcPr>
          <w:p>
            <w:pPr>
              <w:spacing w:after="0"/>
              <w:rPr>
                <w:sz w:val="17"/>
                <w:szCs w:val="17"/>
                <w:color w:val="auto"/>
              </w:rPr>
            </w:pPr>
          </w:p>
        </w:tc>
        <w:tc>
          <w:tcPr>
            <w:tcW w:w="1060" w:type="dxa"/>
            <w:vAlign w:val="bottom"/>
            <w:shd w:val="clear" w:color="auto" w:fill="F5F5F5"/>
          </w:tcPr>
          <w:p>
            <w:pPr>
              <w:spacing w:after="0"/>
              <w:rPr>
                <w:sz w:val="17"/>
                <w:szCs w:val="17"/>
                <w:color w:val="auto"/>
              </w:rPr>
            </w:pPr>
          </w:p>
        </w:tc>
        <w:tc>
          <w:tcPr>
            <w:tcW w:w="100" w:type="dxa"/>
            <w:vAlign w:val="bottom"/>
            <w:shd w:val="clear" w:color="auto" w:fill="F5F5F5"/>
          </w:tcPr>
          <w:p>
            <w:pPr>
              <w:spacing w:after="0"/>
              <w:rPr>
                <w:sz w:val="17"/>
                <w:szCs w:val="17"/>
                <w:color w:val="auto"/>
              </w:rPr>
            </w:pPr>
          </w:p>
        </w:tc>
        <w:tc>
          <w:tcPr>
            <w:tcW w:w="360" w:type="dxa"/>
            <w:vAlign w:val="bottom"/>
            <w:shd w:val="clear" w:color="auto" w:fill="F5F5F5"/>
          </w:tcPr>
          <w:p>
            <w:pPr>
              <w:spacing w:after="0"/>
              <w:rPr>
                <w:sz w:val="17"/>
                <w:szCs w:val="17"/>
                <w:color w:val="auto"/>
              </w:rPr>
            </w:pPr>
          </w:p>
        </w:tc>
        <w:tc>
          <w:tcPr>
            <w:tcW w:w="1040" w:type="dxa"/>
            <w:vAlign w:val="bottom"/>
            <w:shd w:val="clear" w:color="auto" w:fill="F5F5F5"/>
          </w:tcPr>
          <w:p>
            <w:pPr>
              <w:spacing w:after="0"/>
              <w:rPr>
                <w:sz w:val="17"/>
                <w:szCs w:val="17"/>
                <w:color w:val="auto"/>
              </w:rPr>
            </w:pPr>
          </w:p>
        </w:tc>
        <w:tc>
          <w:tcPr>
            <w:tcW w:w="120" w:type="dxa"/>
            <w:vAlign w:val="bottom"/>
            <w:shd w:val="clear" w:color="auto" w:fill="F5F5F5"/>
          </w:tcPr>
          <w:p>
            <w:pPr>
              <w:spacing w:after="0"/>
              <w:rPr>
                <w:sz w:val="17"/>
                <w:szCs w:val="17"/>
                <w:color w:val="auto"/>
              </w:rPr>
            </w:pPr>
          </w:p>
        </w:tc>
        <w:tc>
          <w:tcPr>
            <w:tcW w:w="13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17 %</w:t>
            </w:r>
          </w:p>
        </w:tc>
        <w:tc>
          <w:tcPr>
            <w:tcW w:w="100" w:type="dxa"/>
            <w:vAlign w:val="bottom"/>
            <w:shd w:val="clear" w:color="auto" w:fill="F5F5F5"/>
          </w:tcPr>
          <w:p>
            <w:pPr>
              <w:spacing w:after="0"/>
              <w:rPr>
                <w:sz w:val="17"/>
                <w:szCs w:val="17"/>
                <w:color w:val="auto"/>
              </w:rPr>
            </w:pPr>
          </w:p>
        </w:tc>
        <w:tc>
          <w:tcPr>
            <w:tcW w:w="520" w:type="dxa"/>
            <w:vAlign w:val="bottom"/>
            <w:shd w:val="clear" w:color="auto" w:fill="F5F5F5"/>
          </w:tcPr>
          <w:p>
            <w:pPr>
              <w:spacing w:after="0"/>
              <w:rPr>
                <w:sz w:val="17"/>
                <w:szCs w:val="17"/>
                <w:color w:val="auto"/>
              </w:rPr>
            </w:pPr>
          </w:p>
        </w:tc>
        <w:tc>
          <w:tcPr>
            <w:tcW w:w="8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13 %</w:t>
            </w:r>
          </w:p>
        </w:tc>
        <w:tc>
          <w:tcPr>
            <w:tcW w:w="0" w:type="dxa"/>
            <w:vAlign w:val="bottom"/>
          </w:tcPr>
          <w:p>
            <w:pPr>
              <w:spacing w:after="0"/>
              <w:rPr>
                <w:sz w:val="1"/>
                <w:szCs w:val="1"/>
                <w:color w:val="auto"/>
              </w:rPr>
            </w:pPr>
          </w:p>
        </w:tc>
      </w:tr>
      <w:tr>
        <w:trPr>
          <w:trHeight w:val="199"/>
        </w:trPr>
        <w:tc>
          <w:tcPr>
            <w:tcW w:w="530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740,820</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484,671</w:t>
            </w:r>
          </w:p>
        </w:tc>
        <w:tc>
          <w:tcPr>
            <w:tcW w:w="120" w:type="dxa"/>
            <w:vAlign w:val="bottom"/>
          </w:tcPr>
          <w:p>
            <w:pPr>
              <w:spacing w:after="0"/>
              <w:rPr>
                <w:sz w:val="17"/>
                <w:szCs w:val="17"/>
                <w:color w:val="auto"/>
              </w:rPr>
            </w:pPr>
          </w:p>
        </w:tc>
        <w:tc>
          <w:tcPr>
            <w:tcW w:w="2000" w:type="dxa"/>
            <w:vAlign w:val="bottom"/>
            <w:gridSpan w:val="3"/>
          </w:tcPr>
          <w:p>
            <w:pPr>
              <w:jc w:val="right"/>
              <w:ind w:right="4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489,107</w:t>
            </w:r>
          </w:p>
        </w:tc>
        <w:tc>
          <w:tcPr>
            <w:tcW w:w="0" w:type="dxa"/>
            <w:vAlign w:val="bottom"/>
          </w:tcPr>
          <w:p>
            <w:pPr>
              <w:spacing w:after="0"/>
              <w:rPr>
                <w:sz w:val="1"/>
                <w:szCs w:val="1"/>
                <w:color w:val="auto"/>
              </w:rPr>
            </w:pPr>
          </w:p>
        </w:tc>
      </w:tr>
      <w:tr>
        <w:trPr>
          <w:trHeight w:val="206"/>
        </w:trPr>
        <w:tc>
          <w:tcPr>
            <w:tcW w:w="5300" w:type="dxa"/>
            <w:vAlign w:val="bottom"/>
            <w:shd w:val="clear" w:color="auto" w:fill="F5F5F5"/>
          </w:tcPr>
          <w:p>
            <w:pPr>
              <w:ind w:left="20"/>
              <w:spacing w:after="0"/>
              <w:rPr>
                <w:sz w:val="20"/>
                <w:szCs w:val="20"/>
                <w:color w:val="auto"/>
              </w:rPr>
            </w:pPr>
            <w:r>
              <w:rPr>
                <w:rFonts w:ascii="Arial" w:cs="Arial" w:eastAsia="Arial" w:hAnsi="Arial"/>
                <w:sz w:val="14"/>
                <w:szCs w:val="14"/>
                <w:color w:val="auto"/>
              </w:rPr>
              <w:t>Operating income margin</w:t>
            </w:r>
          </w:p>
        </w:tc>
        <w:tc>
          <w:tcPr>
            <w:tcW w:w="340" w:type="dxa"/>
            <w:vAlign w:val="bottom"/>
            <w:shd w:val="clear" w:color="auto" w:fill="F5F5F5"/>
          </w:tcPr>
          <w:p>
            <w:pPr>
              <w:spacing w:after="0"/>
              <w:rPr>
                <w:sz w:val="17"/>
                <w:szCs w:val="17"/>
                <w:color w:val="auto"/>
              </w:rPr>
            </w:pPr>
          </w:p>
        </w:tc>
        <w:tc>
          <w:tcPr>
            <w:tcW w:w="106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15.0 %</w:t>
            </w:r>
          </w:p>
        </w:tc>
        <w:tc>
          <w:tcPr>
            <w:tcW w:w="100" w:type="dxa"/>
            <w:vAlign w:val="bottom"/>
            <w:shd w:val="clear" w:color="auto" w:fill="F5F5F5"/>
          </w:tcPr>
          <w:p>
            <w:pPr>
              <w:spacing w:after="0"/>
              <w:rPr>
                <w:sz w:val="17"/>
                <w:szCs w:val="17"/>
                <w:color w:val="auto"/>
              </w:rPr>
            </w:pPr>
          </w:p>
        </w:tc>
        <w:tc>
          <w:tcPr>
            <w:tcW w:w="360" w:type="dxa"/>
            <w:vAlign w:val="bottom"/>
            <w:shd w:val="clear" w:color="auto" w:fill="F5F5F5"/>
          </w:tcPr>
          <w:p>
            <w:pPr>
              <w:spacing w:after="0"/>
              <w:rPr>
                <w:sz w:val="17"/>
                <w:szCs w:val="17"/>
                <w:color w:val="auto"/>
              </w:rPr>
            </w:pPr>
          </w:p>
        </w:tc>
        <w:tc>
          <w:tcPr>
            <w:tcW w:w="104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11.3 %</w:t>
            </w:r>
          </w:p>
        </w:tc>
        <w:tc>
          <w:tcPr>
            <w:tcW w:w="120" w:type="dxa"/>
            <w:vAlign w:val="bottom"/>
            <w:shd w:val="clear" w:color="auto" w:fill="F5F5F5"/>
          </w:tcPr>
          <w:p>
            <w:pPr>
              <w:spacing w:after="0"/>
              <w:rPr>
                <w:sz w:val="17"/>
                <w:szCs w:val="17"/>
                <w:color w:val="auto"/>
              </w:rPr>
            </w:pPr>
          </w:p>
        </w:tc>
        <w:tc>
          <w:tcPr>
            <w:tcW w:w="1380" w:type="dxa"/>
            <w:vAlign w:val="bottom"/>
            <w:shd w:val="clear" w:color="auto" w:fill="F5F5F5"/>
          </w:tcPr>
          <w:p>
            <w:pPr>
              <w:spacing w:after="0"/>
              <w:rPr>
                <w:sz w:val="17"/>
                <w:szCs w:val="17"/>
                <w:color w:val="auto"/>
              </w:rPr>
            </w:pPr>
          </w:p>
        </w:tc>
        <w:tc>
          <w:tcPr>
            <w:tcW w:w="100" w:type="dxa"/>
            <w:vAlign w:val="bottom"/>
            <w:shd w:val="clear" w:color="auto" w:fill="F5F5F5"/>
          </w:tcPr>
          <w:p>
            <w:pPr>
              <w:spacing w:after="0"/>
              <w:rPr>
                <w:sz w:val="17"/>
                <w:szCs w:val="17"/>
                <w:color w:val="auto"/>
              </w:rPr>
            </w:pPr>
          </w:p>
        </w:tc>
        <w:tc>
          <w:tcPr>
            <w:tcW w:w="520" w:type="dxa"/>
            <w:vAlign w:val="bottom"/>
            <w:shd w:val="clear" w:color="auto" w:fill="F5F5F5"/>
          </w:tcPr>
          <w:p>
            <w:pPr>
              <w:spacing w:after="0"/>
              <w:rPr>
                <w:sz w:val="17"/>
                <w:szCs w:val="17"/>
                <w:color w:val="auto"/>
              </w:rPr>
            </w:pPr>
          </w:p>
        </w:tc>
        <w:tc>
          <w:tcPr>
            <w:tcW w:w="8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11.4 %</w:t>
            </w:r>
          </w:p>
        </w:tc>
        <w:tc>
          <w:tcPr>
            <w:tcW w:w="0" w:type="dxa"/>
            <w:vAlign w:val="bottom"/>
          </w:tcPr>
          <w:p>
            <w:pPr>
              <w:spacing w:after="0"/>
              <w:rPr>
                <w:sz w:val="1"/>
                <w:szCs w:val="1"/>
                <w:color w:val="auto"/>
              </w:rPr>
            </w:pPr>
          </w:p>
        </w:tc>
      </w:tr>
      <w:tr>
        <w:trPr>
          <w:trHeight w:val="199"/>
        </w:trPr>
        <w:tc>
          <w:tcPr>
            <w:tcW w:w="5300" w:type="dxa"/>
            <w:vAlign w:val="bottom"/>
          </w:tcPr>
          <w:p>
            <w:pPr>
              <w:ind w:left="20"/>
              <w:spacing w:after="0"/>
              <w:rPr>
                <w:sz w:val="20"/>
                <w:szCs w:val="20"/>
                <w:color w:val="auto"/>
              </w:rPr>
            </w:pPr>
            <w:r>
              <w:rPr>
                <w:rFonts w:ascii="Arial" w:cs="Arial" w:eastAsia="Arial" w:hAnsi="Arial"/>
                <w:sz w:val="14"/>
                <w:szCs w:val="14"/>
                <w:color w:val="auto"/>
              </w:rPr>
              <w:t>Net income attributable to A&amp;F</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566,223</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328,123</w:t>
            </w:r>
          </w:p>
        </w:tc>
        <w:tc>
          <w:tcPr>
            <w:tcW w:w="120" w:type="dxa"/>
            <w:vAlign w:val="bottom"/>
          </w:tcPr>
          <w:p>
            <w:pPr>
              <w:spacing w:after="0"/>
              <w:rPr>
                <w:sz w:val="17"/>
                <w:szCs w:val="17"/>
                <w:color w:val="auto"/>
              </w:rPr>
            </w:pPr>
          </w:p>
        </w:tc>
        <w:tc>
          <w:tcPr>
            <w:tcW w:w="2000" w:type="dxa"/>
            <w:vAlign w:val="bottom"/>
            <w:gridSpan w:val="3"/>
          </w:tcPr>
          <w:p>
            <w:pPr>
              <w:jc w:val="right"/>
              <w:ind w:right="4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331,328</w:t>
            </w:r>
          </w:p>
        </w:tc>
        <w:tc>
          <w:tcPr>
            <w:tcW w:w="0" w:type="dxa"/>
            <w:vAlign w:val="bottom"/>
          </w:tcPr>
          <w:p>
            <w:pPr>
              <w:spacing w:after="0"/>
              <w:rPr>
                <w:sz w:val="1"/>
                <w:szCs w:val="1"/>
                <w:color w:val="auto"/>
              </w:rPr>
            </w:pPr>
          </w:p>
        </w:tc>
      </w:tr>
      <w:tr>
        <w:trPr>
          <w:trHeight w:val="206"/>
        </w:trPr>
        <w:tc>
          <w:tcPr>
            <w:tcW w:w="5300" w:type="dxa"/>
            <w:vAlign w:val="bottom"/>
            <w:shd w:val="clear" w:color="auto" w:fill="F5F5F5"/>
          </w:tcPr>
          <w:p>
            <w:pPr>
              <w:ind w:left="20"/>
              <w:spacing w:after="0"/>
              <w:rPr>
                <w:sz w:val="20"/>
                <w:szCs w:val="20"/>
                <w:color w:val="auto"/>
              </w:rPr>
            </w:pPr>
            <w:r>
              <w:rPr>
                <w:rFonts w:ascii="Arial" w:cs="Arial" w:eastAsia="Arial" w:hAnsi="Arial"/>
                <w:sz w:val="14"/>
                <w:szCs w:val="14"/>
                <w:color w:val="auto"/>
              </w:rPr>
              <w:t>Net income per diluted share attributable to A&amp;F</w:t>
            </w:r>
          </w:p>
        </w:tc>
        <w:tc>
          <w:tcPr>
            <w:tcW w:w="340" w:type="dxa"/>
            <w:vAlign w:val="bottom"/>
            <w:shd w:val="clear" w:color="auto" w:fill="F5F5F5"/>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F5F5F5"/>
          </w:tcPr>
          <w:p>
            <w:pPr>
              <w:jc w:val="right"/>
              <w:ind w:right="128"/>
              <w:spacing w:after="0"/>
              <w:rPr>
                <w:sz w:val="20"/>
                <w:szCs w:val="20"/>
                <w:color w:val="auto"/>
              </w:rPr>
            </w:pPr>
            <w:r>
              <w:rPr>
                <w:rFonts w:ascii="Arial" w:cs="Arial" w:eastAsia="Arial" w:hAnsi="Arial"/>
                <w:sz w:val="14"/>
                <w:szCs w:val="14"/>
                <w:color w:val="auto"/>
              </w:rPr>
              <w:t>10.69</w:t>
            </w:r>
          </w:p>
        </w:tc>
        <w:tc>
          <w:tcPr>
            <w:tcW w:w="100" w:type="dxa"/>
            <w:vAlign w:val="bottom"/>
            <w:shd w:val="clear" w:color="auto" w:fill="F5F5F5"/>
          </w:tcPr>
          <w:p>
            <w:pPr>
              <w:spacing w:after="0"/>
              <w:rPr>
                <w:sz w:val="17"/>
                <w:szCs w:val="17"/>
                <w:color w:val="auto"/>
              </w:rPr>
            </w:pPr>
          </w:p>
        </w:tc>
        <w:tc>
          <w:tcPr>
            <w:tcW w:w="360" w:type="dxa"/>
            <w:vAlign w:val="bottom"/>
            <w:shd w:val="clear" w:color="auto" w:fill="F5F5F5"/>
          </w:tcPr>
          <w:p>
            <w:pPr>
              <w:jc w:val="right"/>
              <w:ind w:right="1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F5F5F5"/>
          </w:tcPr>
          <w:p>
            <w:pPr>
              <w:jc w:val="right"/>
              <w:ind w:right="108"/>
              <w:spacing w:after="0"/>
              <w:rPr>
                <w:sz w:val="20"/>
                <w:szCs w:val="20"/>
                <w:color w:val="auto"/>
              </w:rPr>
            </w:pPr>
            <w:r>
              <w:rPr>
                <w:rFonts w:ascii="Arial" w:cs="Arial" w:eastAsia="Arial" w:hAnsi="Arial"/>
                <w:sz w:val="14"/>
                <w:szCs w:val="14"/>
                <w:color w:val="auto"/>
              </w:rPr>
              <w:t>6.22</w:t>
            </w:r>
          </w:p>
        </w:tc>
        <w:tc>
          <w:tcPr>
            <w:tcW w:w="120" w:type="dxa"/>
            <w:vAlign w:val="bottom"/>
            <w:shd w:val="clear" w:color="auto" w:fill="F5F5F5"/>
          </w:tcPr>
          <w:p>
            <w:pPr>
              <w:spacing w:after="0"/>
              <w:rPr>
                <w:sz w:val="17"/>
                <w:szCs w:val="17"/>
                <w:color w:val="auto"/>
              </w:rPr>
            </w:pPr>
          </w:p>
        </w:tc>
        <w:tc>
          <w:tcPr>
            <w:tcW w:w="2000" w:type="dxa"/>
            <w:vAlign w:val="bottom"/>
            <w:gridSpan w:val="3"/>
            <w:shd w:val="clear" w:color="auto" w:fill="F5F5F5"/>
          </w:tcPr>
          <w:p>
            <w:pPr>
              <w:jc w:val="right"/>
              <w:ind w:right="420"/>
              <w:spacing w:after="0"/>
              <w:rPr>
                <w:sz w:val="20"/>
                <w:szCs w:val="20"/>
                <w:color w:val="auto"/>
              </w:rPr>
            </w:pPr>
            <w:r>
              <w:rPr>
                <w:rFonts w:ascii="Arial" w:cs="Arial" w:eastAsia="Arial" w:hAnsi="Arial"/>
                <w:sz w:val="14"/>
                <w:szCs w:val="14"/>
                <w:color w:val="auto"/>
              </w:rPr>
              <w:t>$</w:t>
            </w:r>
          </w:p>
        </w:tc>
        <w:tc>
          <w:tcPr>
            <w:tcW w:w="880" w:type="dxa"/>
            <w:vAlign w:val="bottom"/>
            <w:shd w:val="clear" w:color="auto" w:fill="F5F5F5"/>
          </w:tcPr>
          <w:p>
            <w:pPr>
              <w:jc w:val="right"/>
              <w:ind w:right="108"/>
              <w:spacing w:after="0"/>
              <w:rPr>
                <w:sz w:val="20"/>
                <w:szCs w:val="20"/>
                <w:color w:val="auto"/>
              </w:rPr>
            </w:pPr>
            <w:r>
              <w:rPr>
                <w:rFonts w:ascii="Arial" w:cs="Arial" w:eastAsia="Arial" w:hAnsi="Arial"/>
                <w:sz w:val="14"/>
                <w:szCs w:val="14"/>
                <w:color w:val="auto"/>
              </w:rPr>
              <w:t>6.28</w:t>
            </w:r>
          </w:p>
        </w:tc>
        <w:tc>
          <w:tcPr>
            <w:tcW w:w="0" w:type="dxa"/>
            <w:vAlign w:val="bottom"/>
          </w:tcPr>
          <w:p>
            <w:pPr>
              <w:spacing w:after="0"/>
              <w:rPr>
                <w:sz w:val="1"/>
                <w:szCs w:val="1"/>
                <w:color w:val="auto"/>
              </w:rPr>
            </w:pPr>
          </w:p>
        </w:tc>
      </w:tr>
    </w:tbl>
    <w:p>
      <w:pPr>
        <w:spacing w:after="0" w:line="325" w:lineRule="exact"/>
        <w:rPr>
          <w:sz w:val="20"/>
          <w:szCs w:val="20"/>
          <w:color w:val="auto"/>
        </w:rPr>
      </w:pPr>
    </w:p>
    <w:p>
      <w:pPr>
        <w:ind w:left="340" w:right="120" w:hanging="332"/>
        <w:spacing w:after="0" w:line="223" w:lineRule="auto"/>
        <w:tabs>
          <w:tab w:leader="none" w:pos="283" w:val="left"/>
        </w:tabs>
        <w:numPr>
          <w:ilvl w:val="0"/>
          <w:numId w:val="32"/>
        </w:numPr>
        <w:rPr>
          <w:rFonts w:ascii="Arial" w:cs="Arial" w:eastAsia="Arial" w:hAnsi="Arial"/>
          <w:sz w:val="18"/>
          <w:szCs w:val="18"/>
          <w:color w:val="auto"/>
          <w:vertAlign w:val="superscript"/>
        </w:rPr>
      </w:pPr>
      <w:r>
        <w:rPr>
          <w:rFonts w:ascii="Arial" w:cs="Arial" w:eastAsia="Arial" w:hAnsi="Arial"/>
          <w:sz w:val="13"/>
          <w:szCs w:val="13"/>
          <w:color w:val="auto"/>
        </w:rPr>
        <w:t xml:space="preserve">Refer to </w:t>
      </w: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0000FF"/>
        </w:rPr>
        <w:t>RESULTS OF OPERATIONS</w:t>
      </w:r>
      <w:r>
        <w:rPr>
          <w:rFonts w:ascii="Arial" w:cs="Arial" w:eastAsia="Arial" w:hAnsi="Arial"/>
          <w:sz w:val="13"/>
          <w:szCs w:val="13"/>
          <w:i w:val="1"/>
          <w:iCs w:val="1"/>
          <w:color w:val="auto"/>
        </w:rPr>
        <w:t>”</w:t>
      </w:r>
      <w:r>
        <w:rPr>
          <w:rFonts w:ascii="Arial" w:cs="Arial" w:eastAsia="Arial" w:hAnsi="Arial"/>
          <w:sz w:val="13"/>
          <w:szCs w:val="13"/>
          <w:color w:val="auto"/>
        </w:rPr>
        <w:t xml:space="preserve"> for details on excluded items. A reconciliation of each non-GAAP financial measure presented in this Annual Report on Form 10-K to the most directly comparable financial measure calculated in accordance with GAAP, as well as a discussion as to why the Company believes that these non-GAAP financial measures are useful to investors, is provided below under “</w:t>
      </w:r>
      <w:r>
        <w:rPr>
          <w:rFonts w:ascii="Arial" w:cs="Arial" w:eastAsia="Arial" w:hAnsi="Arial"/>
          <w:sz w:val="13"/>
          <w:szCs w:val="13"/>
          <w:i w:val="1"/>
          <w:iCs w:val="1"/>
          <w:u w:val="single" w:color="auto"/>
          <w:color w:val="0000FF"/>
        </w:rPr>
        <w:t>NON-GAAP FINANCIAL MEASURES</w:t>
      </w:r>
      <w:r>
        <w:rPr>
          <w:rFonts w:ascii="Arial" w:cs="Arial" w:eastAsia="Arial" w:hAnsi="Arial"/>
          <w:sz w:val="13"/>
          <w:szCs w:val="13"/>
          <w:color w:val="auto"/>
        </w:rPr>
        <w:t>.”</w:t>
      </w:r>
    </w:p>
    <w:p>
      <w:pPr>
        <w:ind w:left="340" w:right="500" w:hanging="332"/>
        <w:spacing w:after="0" w:line="219" w:lineRule="auto"/>
        <w:tabs>
          <w:tab w:leader="none" w:pos="227" w:val="left"/>
        </w:tabs>
        <w:numPr>
          <w:ilvl w:val="0"/>
          <w:numId w:val="32"/>
        </w:numPr>
        <w:rPr>
          <w:rFonts w:ascii="Arial" w:cs="Arial" w:eastAsia="Arial" w:hAnsi="Arial"/>
          <w:sz w:val="18"/>
          <w:szCs w:val="18"/>
          <w:color w:val="auto"/>
          <w:vertAlign w:val="superscript"/>
        </w:rPr>
      </w:pPr>
      <w:r>
        <w:rPr>
          <w:rFonts w:ascii="Arial" w:cs="Arial" w:eastAsia="Arial" w:hAnsi="Arial"/>
          <w:sz w:val="13"/>
          <w:szCs w:val="13"/>
          <w:color w:val="auto"/>
        </w:rPr>
        <w:t>Comparable sales are calculated on a constant currency basis and exclude revenue other than store and digital sales. Refer to the discussion below in “</w:t>
      </w:r>
      <w:r>
        <w:rPr>
          <w:rFonts w:ascii="Arial" w:cs="Arial" w:eastAsia="Arial" w:hAnsi="Arial"/>
          <w:sz w:val="13"/>
          <w:szCs w:val="13"/>
          <w:i w:val="1"/>
          <w:iCs w:val="1"/>
          <w:u w:val="single" w:color="auto"/>
          <w:color w:val="0000FF"/>
        </w:rPr>
        <w:t>NON-GAAP FINANCIAL</w:t>
      </w:r>
      <w:r>
        <w:rPr>
          <w:rFonts w:ascii="Arial" w:cs="Arial" w:eastAsia="Arial" w:hAnsi="Arial"/>
          <w:sz w:val="13"/>
          <w:szCs w:val="13"/>
          <w:color w:val="auto"/>
        </w:rPr>
        <w:t xml:space="preserve"> </w:t>
      </w:r>
      <w:r>
        <w:rPr>
          <w:rFonts w:ascii="Arial" w:cs="Arial" w:eastAsia="Arial" w:hAnsi="Arial"/>
          <w:sz w:val="13"/>
          <w:szCs w:val="13"/>
          <w:i w:val="1"/>
          <w:iCs w:val="1"/>
          <w:u w:val="single" w:color="auto"/>
          <w:color w:val="0000FF"/>
        </w:rPr>
        <w:t>MEASURES</w:t>
      </w:r>
      <w:r>
        <w:rPr>
          <w:rFonts w:ascii="Arial" w:cs="Arial" w:eastAsia="Arial" w:hAnsi="Arial"/>
          <w:sz w:val="13"/>
          <w:szCs w:val="13"/>
          <w:color w:val="000000"/>
        </w:rPr>
        <w:t>,” for further details on the comparable sales calculation.</w:t>
      </w:r>
    </w:p>
    <w:p>
      <w:pPr>
        <w:spacing w:after="0" w:line="21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Certain components of the Company’s Consolidated Balance Sheets as of February 1, 2025 and February 3, 2024 and Consolidated Statements of Cash Flows for Fiscal 2024 and Fiscal 2023 were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80" w:type="dxa"/>
            <w:vAlign w:val="bottom"/>
          </w:tcPr>
          <w:p>
            <w:pPr>
              <w:ind w:left="20"/>
              <w:spacing w:after="0"/>
              <w:rPr>
                <w:sz w:val="20"/>
                <w:szCs w:val="20"/>
                <w:color w:val="auto"/>
              </w:rPr>
            </w:pPr>
            <w:r>
              <w:rPr>
                <w:rFonts w:ascii="Arial" w:cs="Arial" w:eastAsia="Arial" w:hAnsi="Arial"/>
                <w:sz w:val="14"/>
                <w:szCs w:val="14"/>
                <w:i w:val="1"/>
                <w:iCs w:val="1"/>
                <w:color w:val="19408E"/>
              </w:rPr>
              <w:t>(in thousands)</w:t>
            </w:r>
          </w:p>
        </w:tc>
        <w:tc>
          <w:tcPr>
            <w:tcW w:w="3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0"/>
        </w:trPr>
        <w:tc>
          <w:tcPr>
            <w:tcW w:w="4280" w:type="dxa"/>
            <w:vAlign w:val="bottom"/>
          </w:tcPr>
          <w:p>
            <w:pPr>
              <w:ind w:left="20"/>
              <w:spacing w:after="0"/>
              <w:rPr>
                <w:sz w:val="20"/>
                <w:szCs w:val="20"/>
                <w:color w:val="auto"/>
              </w:rPr>
            </w:pPr>
            <w:r>
              <w:rPr>
                <w:rFonts w:ascii="Arial" w:cs="Arial" w:eastAsia="Arial" w:hAnsi="Arial"/>
                <w:sz w:val="14"/>
                <w:szCs w:val="14"/>
                <w:b w:val="1"/>
                <w:bCs w:val="1"/>
                <w:color w:val="auto"/>
              </w:rPr>
              <w:t>Balance Sheets data</w:t>
            </w:r>
          </w:p>
        </w:tc>
        <w:tc>
          <w:tcPr>
            <w:tcW w:w="3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February 1, 2025</w:t>
            </w:r>
          </w:p>
        </w:tc>
        <w:tc>
          <w:tcPr>
            <w:tcW w:w="34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4"/>
                <w:szCs w:val="14"/>
                <w:color w:val="auto"/>
              </w:rPr>
              <w:t>February 3, 2024</w:t>
            </w:r>
          </w:p>
        </w:tc>
      </w:tr>
      <w:tr>
        <w:trPr>
          <w:trHeight w:val="197"/>
        </w:trPr>
        <w:tc>
          <w:tcPr>
            <w:tcW w:w="4280" w:type="dxa"/>
            <w:vAlign w:val="bottom"/>
            <w:tcBorders>
              <w:top w:val="single" w:sz="8" w:color="F5F5F5"/>
            </w:tcBorders>
            <w:shd w:val="clear" w:color="auto" w:fill="F5F5F5"/>
          </w:tcPr>
          <w:p>
            <w:pPr>
              <w:ind w:left="20"/>
              <w:spacing w:after="0"/>
              <w:rPr>
                <w:sz w:val="20"/>
                <w:szCs w:val="20"/>
                <w:color w:val="auto"/>
              </w:rPr>
            </w:pPr>
            <w:r>
              <w:rPr>
                <w:rFonts w:ascii="Arial" w:cs="Arial" w:eastAsia="Arial" w:hAnsi="Arial"/>
                <w:sz w:val="14"/>
                <w:szCs w:val="14"/>
                <w:color w:val="auto"/>
              </w:rPr>
              <w:t>Cash and equivalents</w:t>
            </w:r>
          </w:p>
        </w:tc>
        <w:tc>
          <w:tcPr>
            <w:tcW w:w="3360" w:type="dxa"/>
            <w:vAlign w:val="bottom"/>
            <w:tcBorders>
              <w:top w:val="single" w:sz="8" w:color="F5F5F5"/>
            </w:tcBorders>
            <w:shd w:val="clear" w:color="auto" w:fill="F5F5F5"/>
          </w:tcPr>
          <w:p>
            <w:pPr>
              <w:spacing w:after="0"/>
              <w:rPr>
                <w:sz w:val="17"/>
                <w:szCs w:val="17"/>
                <w:color w:val="auto"/>
              </w:rPr>
            </w:pPr>
          </w:p>
        </w:tc>
        <w:tc>
          <w:tcPr>
            <w:tcW w:w="360" w:type="dxa"/>
            <w:vAlign w:val="bottom"/>
            <w:tcBorders>
              <w:top w:val="single" w:sz="8" w:color="auto"/>
            </w:tcBorders>
            <w:shd w:val="clear" w:color="auto" w:fill="F5F5F5"/>
          </w:tcPr>
          <w:p>
            <w:pPr>
              <w:jc w:val="right"/>
              <w:ind w:right="188"/>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772,727</w:t>
            </w:r>
          </w:p>
        </w:tc>
        <w:tc>
          <w:tcPr>
            <w:tcW w:w="120" w:type="dxa"/>
            <w:vAlign w:val="bottom"/>
            <w:tcBorders>
              <w:top w:val="single" w:sz="8" w:color="F5F5F5"/>
            </w:tcBorders>
            <w:shd w:val="clear" w:color="auto" w:fill="F5F5F5"/>
          </w:tcPr>
          <w:p>
            <w:pPr>
              <w:spacing w:after="0"/>
              <w:rPr>
                <w:sz w:val="17"/>
                <w:szCs w:val="17"/>
                <w:color w:val="auto"/>
              </w:rPr>
            </w:pPr>
          </w:p>
        </w:tc>
        <w:tc>
          <w:tcPr>
            <w:tcW w:w="340" w:type="dxa"/>
            <w:vAlign w:val="bottom"/>
            <w:tcBorders>
              <w:top w:val="single" w:sz="8" w:color="auto"/>
            </w:tcBorders>
            <w:shd w:val="clear" w:color="auto" w:fill="F5F5F5"/>
          </w:tcPr>
          <w:p>
            <w:pPr>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900,884</w:t>
            </w:r>
          </w:p>
        </w:tc>
        <w:tc>
          <w:tcPr>
            <w:tcW w:w="40" w:type="dxa"/>
            <w:vAlign w:val="bottom"/>
          </w:tcPr>
          <w:p>
            <w:pPr>
              <w:spacing w:after="0"/>
              <w:rPr>
                <w:sz w:val="17"/>
                <w:szCs w:val="17"/>
                <w:color w:val="auto"/>
              </w:rPr>
            </w:pPr>
          </w:p>
        </w:tc>
      </w:tr>
      <w:tr>
        <w:trPr>
          <w:trHeight w:val="198"/>
        </w:trPr>
        <w:tc>
          <w:tcPr>
            <w:tcW w:w="4280" w:type="dxa"/>
            <w:vAlign w:val="bottom"/>
          </w:tcPr>
          <w:p>
            <w:pPr>
              <w:ind w:left="20"/>
              <w:spacing w:after="0"/>
              <w:rPr>
                <w:sz w:val="20"/>
                <w:szCs w:val="20"/>
                <w:color w:val="auto"/>
              </w:rPr>
            </w:pPr>
            <w:r>
              <w:rPr>
                <w:rFonts w:ascii="Arial" w:cs="Arial" w:eastAsia="Arial" w:hAnsi="Arial"/>
                <w:sz w:val="14"/>
                <w:szCs w:val="14"/>
                <w:color w:val="auto"/>
              </w:rPr>
              <w:t>Marketable securities</w:t>
            </w:r>
          </w:p>
        </w:tc>
        <w:tc>
          <w:tcPr>
            <w:tcW w:w="3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116,221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07"/>
        </w:trPr>
        <w:tc>
          <w:tcPr>
            <w:tcW w:w="4280" w:type="dxa"/>
            <w:vAlign w:val="bottom"/>
            <w:shd w:val="clear" w:color="auto" w:fill="F5F5F5"/>
          </w:tcPr>
          <w:p>
            <w:pPr>
              <w:ind w:left="20"/>
              <w:spacing w:after="0"/>
              <w:rPr>
                <w:sz w:val="20"/>
                <w:szCs w:val="20"/>
                <w:color w:val="auto"/>
              </w:rPr>
            </w:pPr>
            <w:r>
              <w:rPr>
                <w:rFonts w:ascii="Arial" w:cs="Arial" w:eastAsia="Arial" w:hAnsi="Arial"/>
                <w:sz w:val="14"/>
                <w:szCs w:val="14"/>
                <w:color w:val="auto"/>
              </w:rPr>
              <w:t>Gross borrowings outstanding, carrying amount</w:t>
            </w:r>
          </w:p>
        </w:tc>
        <w:tc>
          <w:tcPr>
            <w:tcW w:w="3360" w:type="dxa"/>
            <w:vAlign w:val="bottom"/>
            <w:shd w:val="clear" w:color="auto" w:fill="F5F5F5"/>
          </w:tcPr>
          <w:p>
            <w:pPr>
              <w:spacing w:after="0"/>
              <w:rPr>
                <w:sz w:val="17"/>
                <w:szCs w:val="17"/>
                <w:color w:val="auto"/>
              </w:rPr>
            </w:pPr>
          </w:p>
        </w:tc>
        <w:tc>
          <w:tcPr>
            <w:tcW w:w="360" w:type="dxa"/>
            <w:vAlign w:val="bottom"/>
            <w:shd w:val="clear" w:color="auto" w:fill="F5F5F5"/>
          </w:tcPr>
          <w:p>
            <w:pPr>
              <w:spacing w:after="0"/>
              <w:rPr>
                <w:sz w:val="17"/>
                <w:szCs w:val="17"/>
                <w:color w:val="auto"/>
              </w:rPr>
            </w:pPr>
          </w:p>
        </w:tc>
        <w:tc>
          <w:tcPr>
            <w:tcW w:w="1480" w:type="dxa"/>
            <w:vAlign w:val="bottom"/>
            <w:gridSpan w:val="2"/>
            <w:shd w:val="clear" w:color="auto" w:fill="F5F5F5"/>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F5F5F5"/>
          </w:tcPr>
          <w:p>
            <w:pPr>
              <w:spacing w:after="0"/>
              <w:rPr>
                <w:sz w:val="17"/>
                <w:szCs w:val="17"/>
                <w:color w:val="auto"/>
              </w:rPr>
            </w:pPr>
          </w:p>
        </w:tc>
        <w:tc>
          <w:tcPr>
            <w:tcW w:w="13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223,214</w:t>
            </w:r>
          </w:p>
        </w:tc>
        <w:tc>
          <w:tcPr>
            <w:tcW w:w="40" w:type="dxa"/>
            <w:vAlign w:val="bottom"/>
          </w:tcPr>
          <w:p>
            <w:pPr>
              <w:spacing w:after="0"/>
              <w:rPr>
                <w:sz w:val="17"/>
                <w:szCs w:val="17"/>
                <w:color w:val="auto"/>
              </w:rPr>
            </w:pPr>
          </w:p>
        </w:tc>
      </w:tr>
      <w:tr>
        <w:trPr>
          <w:trHeight w:val="198"/>
        </w:trPr>
        <w:tc>
          <w:tcPr>
            <w:tcW w:w="4280" w:type="dxa"/>
            <w:vAlign w:val="bottom"/>
            <w:tcBorders>
              <w:bottom w:val="single" w:sz="8" w:color="F5F5F5"/>
            </w:tcBorders>
          </w:tcPr>
          <w:p>
            <w:pPr>
              <w:ind w:left="20"/>
              <w:spacing w:after="0"/>
              <w:rPr>
                <w:sz w:val="20"/>
                <w:szCs w:val="20"/>
                <w:color w:val="auto"/>
              </w:rPr>
            </w:pPr>
            <w:r>
              <w:rPr>
                <w:rFonts w:ascii="Arial" w:cs="Arial" w:eastAsia="Arial" w:hAnsi="Arial"/>
                <w:sz w:val="14"/>
                <w:szCs w:val="14"/>
                <w:color w:val="auto"/>
              </w:rPr>
              <w:t>Inventories</w:t>
            </w:r>
          </w:p>
        </w:tc>
        <w:tc>
          <w:tcPr>
            <w:tcW w:w="3360" w:type="dxa"/>
            <w:vAlign w:val="bottom"/>
            <w:tcBorders>
              <w:bottom w:val="single" w:sz="8" w:color="F5F5F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575,005</w:t>
            </w: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469,466</w:t>
            </w:r>
          </w:p>
        </w:tc>
        <w:tc>
          <w:tcPr>
            <w:tcW w:w="40" w:type="dxa"/>
            <w:vAlign w:val="bottom"/>
          </w:tcPr>
          <w:p>
            <w:pPr>
              <w:spacing w:after="0"/>
              <w:rPr>
                <w:sz w:val="17"/>
                <w:szCs w:val="17"/>
                <w:color w:val="auto"/>
              </w:rPr>
            </w:pPr>
          </w:p>
        </w:tc>
      </w:tr>
      <w:tr>
        <w:trPr>
          <w:trHeight w:val="200"/>
        </w:trPr>
        <w:tc>
          <w:tcPr>
            <w:tcW w:w="4280" w:type="dxa"/>
            <w:vAlign w:val="bottom"/>
            <w:shd w:val="clear" w:color="auto" w:fill="F5F5F5"/>
          </w:tcPr>
          <w:p>
            <w:pPr>
              <w:ind w:left="20"/>
              <w:spacing w:after="0"/>
              <w:rPr>
                <w:sz w:val="20"/>
                <w:szCs w:val="20"/>
                <w:color w:val="auto"/>
              </w:rPr>
            </w:pPr>
            <w:r>
              <w:rPr>
                <w:rFonts w:ascii="Arial" w:cs="Arial" w:eastAsia="Arial" w:hAnsi="Arial"/>
                <w:sz w:val="14"/>
                <w:szCs w:val="14"/>
                <w:b w:val="1"/>
                <w:bCs w:val="1"/>
                <w:color w:val="auto"/>
              </w:rPr>
              <w:t>Statements of Cash Flows data</w:t>
            </w:r>
          </w:p>
        </w:tc>
        <w:tc>
          <w:tcPr>
            <w:tcW w:w="3360" w:type="dxa"/>
            <w:vAlign w:val="bottom"/>
            <w:shd w:val="clear" w:color="auto" w:fill="F5F5F5"/>
          </w:tcPr>
          <w:p>
            <w:pPr>
              <w:spacing w:after="0"/>
              <w:rPr>
                <w:sz w:val="17"/>
                <w:szCs w:val="17"/>
                <w:color w:val="auto"/>
              </w:rPr>
            </w:pPr>
          </w:p>
        </w:tc>
        <w:tc>
          <w:tcPr>
            <w:tcW w:w="360" w:type="dxa"/>
            <w:vAlign w:val="bottom"/>
            <w:shd w:val="clear" w:color="auto" w:fill="F5F5F5"/>
          </w:tcPr>
          <w:p>
            <w:pPr>
              <w:spacing w:after="0"/>
              <w:rPr>
                <w:sz w:val="17"/>
                <w:szCs w:val="17"/>
                <w:color w:val="auto"/>
              </w:rPr>
            </w:pPr>
          </w:p>
        </w:tc>
        <w:tc>
          <w:tcPr>
            <w:tcW w:w="1480" w:type="dxa"/>
            <w:vAlign w:val="bottom"/>
            <w:gridSpan w:val="2"/>
            <w:shd w:val="clear" w:color="auto" w:fill="F5F5F5"/>
          </w:tcPr>
          <w:p>
            <w:pPr>
              <w:jc w:val="right"/>
              <w:ind w:right="140"/>
              <w:spacing w:after="0"/>
              <w:rPr>
                <w:sz w:val="20"/>
                <w:szCs w:val="20"/>
                <w:color w:val="auto"/>
              </w:rPr>
            </w:pPr>
            <w:r>
              <w:rPr>
                <w:rFonts w:ascii="Arial" w:cs="Arial" w:eastAsia="Arial" w:hAnsi="Arial"/>
                <w:sz w:val="14"/>
                <w:szCs w:val="14"/>
                <w:color w:val="auto"/>
              </w:rPr>
              <w:t>Fiscal 2024</w:t>
            </w:r>
          </w:p>
        </w:tc>
        <w:tc>
          <w:tcPr>
            <w:tcW w:w="340" w:type="dxa"/>
            <w:vAlign w:val="bottom"/>
            <w:shd w:val="clear" w:color="auto" w:fill="F5F5F5"/>
          </w:tcPr>
          <w:p>
            <w:pPr>
              <w:spacing w:after="0"/>
              <w:rPr>
                <w:sz w:val="17"/>
                <w:szCs w:val="17"/>
                <w:color w:val="auto"/>
              </w:rPr>
            </w:pPr>
          </w:p>
        </w:tc>
        <w:tc>
          <w:tcPr>
            <w:tcW w:w="13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Fiscal 2023</w:t>
            </w:r>
          </w:p>
        </w:tc>
        <w:tc>
          <w:tcPr>
            <w:tcW w:w="40" w:type="dxa"/>
            <w:vAlign w:val="bottom"/>
          </w:tcPr>
          <w:p>
            <w:pPr>
              <w:spacing w:after="0"/>
              <w:rPr>
                <w:sz w:val="17"/>
                <w:szCs w:val="17"/>
                <w:color w:val="auto"/>
              </w:rPr>
            </w:pPr>
          </w:p>
        </w:tc>
      </w:tr>
      <w:tr>
        <w:trPr>
          <w:trHeight w:val="192"/>
        </w:trPr>
        <w:tc>
          <w:tcPr>
            <w:tcW w:w="4280" w:type="dxa"/>
            <w:vAlign w:val="bottom"/>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3360" w:type="dxa"/>
            <w:vAlign w:val="bottom"/>
          </w:tcPr>
          <w:p>
            <w:pPr>
              <w:spacing w:after="0"/>
              <w:rPr>
                <w:sz w:val="16"/>
                <w:szCs w:val="16"/>
                <w:color w:val="auto"/>
              </w:rPr>
            </w:pPr>
          </w:p>
        </w:tc>
        <w:tc>
          <w:tcPr>
            <w:tcW w:w="3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710,376</w:t>
            </w: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653,422</w:t>
            </w:r>
          </w:p>
        </w:tc>
        <w:tc>
          <w:tcPr>
            <w:tcW w:w="40" w:type="dxa"/>
            <w:vAlign w:val="bottom"/>
          </w:tcPr>
          <w:p>
            <w:pPr>
              <w:spacing w:after="0"/>
              <w:rPr>
                <w:sz w:val="16"/>
                <w:szCs w:val="16"/>
                <w:color w:val="auto"/>
              </w:rPr>
            </w:pPr>
          </w:p>
        </w:tc>
      </w:tr>
      <w:tr>
        <w:trPr>
          <w:trHeight w:val="207"/>
        </w:trPr>
        <w:tc>
          <w:tcPr>
            <w:tcW w:w="4280" w:type="dxa"/>
            <w:vAlign w:val="bottom"/>
            <w:shd w:val="clear" w:color="auto" w:fill="F5F5F5"/>
          </w:tcPr>
          <w:p>
            <w:pPr>
              <w:ind w:left="20"/>
              <w:spacing w:after="0"/>
              <w:rPr>
                <w:sz w:val="20"/>
                <w:szCs w:val="20"/>
                <w:color w:val="auto"/>
              </w:rPr>
            </w:pPr>
            <w:r>
              <w:rPr>
                <w:rFonts w:ascii="Arial" w:cs="Arial" w:eastAsia="Arial" w:hAnsi="Arial"/>
                <w:sz w:val="14"/>
                <w:szCs w:val="14"/>
                <w:color w:val="auto"/>
              </w:rPr>
              <w:t>Net cash used for investing activities</w:t>
            </w:r>
          </w:p>
        </w:tc>
        <w:tc>
          <w:tcPr>
            <w:tcW w:w="3360" w:type="dxa"/>
            <w:vAlign w:val="bottom"/>
            <w:shd w:val="clear" w:color="auto" w:fill="F5F5F5"/>
          </w:tcPr>
          <w:p>
            <w:pPr>
              <w:spacing w:after="0"/>
              <w:rPr>
                <w:sz w:val="17"/>
                <w:szCs w:val="17"/>
                <w:color w:val="auto"/>
              </w:rPr>
            </w:pPr>
          </w:p>
        </w:tc>
        <w:tc>
          <w:tcPr>
            <w:tcW w:w="360" w:type="dxa"/>
            <w:vAlign w:val="bottom"/>
            <w:shd w:val="clear" w:color="auto" w:fill="F5F5F5"/>
          </w:tcPr>
          <w:p>
            <w:pPr>
              <w:spacing w:after="0"/>
              <w:rPr>
                <w:sz w:val="17"/>
                <w:szCs w:val="17"/>
                <w:color w:val="auto"/>
              </w:rPr>
            </w:pPr>
          </w:p>
        </w:tc>
        <w:tc>
          <w:tcPr>
            <w:tcW w:w="1360" w:type="dxa"/>
            <w:vAlign w:val="bottom"/>
            <w:shd w:val="clear" w:color="auto" w:fill="F5F5F5"/>
          </w:tcPr>
          <w:p>
            <w:pPr>
              <w:jc w:val="right"/>
              <w:spacing w:after="0"/>
              <w:rPr>
                <w:sz w:val="20"/>
                <w:szCs w:val="20"/>
                <w:color w:val="auto"/>
              </w:rPr>
            </w:pPr>
            <w:r>
              <w:rPr>
                <w:rFonts w:ascii="Arial" w:cs="Arial" w:eastAsia="Arial" w:hAnsi="Arial"/>
                <w:sz w:val="14"/>
                <w:szCs w:val="14"/>
                <w:color w:val="auto"/>
              </w:rPr>
              <w:t>(297,703)</w:t>
            </w:r>
          </w:p>
        </w:tc>
        <w:tc>
          <w:tcPr>
            <w:tcW w:w="120" w:type="dxa"/>
            <w:vAlign w:val="bottom"/>
            <w:shd w:val="clear" w:color="auto" w:fill="F5F5F5"/>
          </w:tcPr>
          <w:p>
            <w:pPr>
              <w:spacing w:after="0"/>
              <w:rPr>
                <w:sz w:val="17"/>
                <w:szCs w:val="17"/>
                <w:color w:val="auto"/>
              </w:rPr>
            </w:pPr>
          </w:p>
        </w:tc>
        <w:tc>
          <w:tcPr>
            <w:tcW w:w="340" w:type="dxa"/>
            <w:vAlign w:val="bottom"/>
            <w:shd w:val="clear" w:color="auto" w:fill="F5F5F5"/>
          </w:tcPr>
          <w:p>
            <w:pPr>
              <w:spacing w:after="0"/>
              <w:rPr>
                <w:sz w:val="17"/>
                <w:szCs w:val="17"/>
                <w:color w:val="auto"/>
              </w:rPr>
            </w:pPr>
          </w:p>
        </w:tc>
        <w:tc>
          <w:tcPr>
            <w:tcW w:w="13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(157,182)</w:t>
            </w:r>
          </w:p>
        </w:tc>
        <w:tc>
          <w:tcPr>
            <w:tcW w:w="40" w:type="dxa"/>
            <w:vAlign w:val="bottom"/>
          </w:tcPr>
          <w:p>
            <w:pPr>
              <w:spacing w:after="0"/>
              <w:rPr>
                <w:sz w:val="17"/>
                <w:szCs w:val="17"/>
                <w:color w:val="auto"/>
              </w:rPr>
            </w:pPr>
          </w:p>
        </w:tc>
      </w:tr>
      <w:tr>
        <w:trPr>
          <w:trHeight w:val="194"/>
        </w:trPr>
        <w:tc>
          <w:tcPr>
            <w:tcW w:w="4280" w:type="dxa"/>
            <w:vAlign w:val="bottom"/>
          </w:tcPr>
          <w:p>
            <w:pPr>
              <w:ind w:left="20"/>
              <w:spacing w:after="0"/>
              <w:rPr>
                <w:sz w:val="20"/>
                <w:szCs w:val="20"/>
                <w:color w:val="auto"/>
              </w:rPr>
            </w:pPr>
            <w:r>
              <w:rPr>
                <w:rFonts w:ascii="Arial" w:cs="Arial" w:eastAsia="Arial" w:hAnsi="Arial"/>
                <w:sz w:val="14"/>
                <w:szCs w:val="14"/>
                <w:color w:val="auto"/>
              </w:rPr>
              <w:t>Net cash used for financing activities</w:t>
            </w:r>
          </w:p>
        </w:tc>
        <w:tc>
          <w:tcPr>
            <w:tcW w:w="3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(534,877)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(111,201)</w:t>
            </w:r>
          </w:p>
        </w:tc>
        <w:tc>
          <w:tcPr>
            <w:tcW w:w="40" w:type="dxa"/>
            <w:vAlign w:val="bottom"/>
          </w:tcPr>
          <w:p>
            <w:pPr>
              <w:spacing w:after="0"/>
              <w:rPr>
                <w:sz w:val="16"/>
                <w:szCs w:val="16"/>
                <w:color w:val="auto"/>
              </w:rPr>
            </w:pPr>
          </w:p>
        </w:tc>
      </w:tr>
      <w:tr>
        <w:trPr>
          <w:trHeight w:val="756"/>
        </w:trPr>
        <w:tc>
          <w:tcPr>
            <w:tcW w:w="4280" w:type="dxa"/>
            <w:vAlign w:val="bottom"/>
          </w:tcPr>
          <w:p>
            <w:pPr>
              <w:ind w:left="720"/>
              <w:spacing w:after="0"/>
              <w:rPr>
                <w:sz w:val="20"/>
                <w:szCs w:val="20"/>
                <w:color w:val="auto"/>
              </w:rPr>
            </w:pPr>
            <w:r>
              <w:rPr>
                <w:rFonts w:ascii="Arial" w:cs="Arial" w:eastAsia="Arial" w:hAnsi="Arial"/>
                <w:sz w:val="14"/>
                <w:szCs w:val="14"/>
                <w:color w:val="auto"/>
              </w:rPr>
              <w:t>Abercrombie &amp; Fitch Co.</w:t>
            </w:r>
          </w:p>
        </w:tc>
        <w:tc>
          <w:tcPr>
            <w:tcW w:w="3360" w:type="dxa"/>
            <w:vAlign w:val="bottom"/>
          </w:tcPr>
          <w:p>
            <w:pPr>
              <w:jc w:val="right"/>
              <w:ind w:right="1868"/>
              <w:spacing w:after="0"/>
              <w:rPr>
                <w:sz w:val="20"/>
                <w:szCs w:val="20"/>
                <w:color w:val="auto"/>
              </w:rPr>
            </w:pPr>
            <w:r>
              <w:rPr>
                <w:rFonts w:ascii="Arial" w:cs="Arial" w:eastAsia="Arial" w:hAnsi="Arial"/>
                <w:sz w:val="14"/>
                <w:szCs w:val="14"/>
                <w:color w:val="auto"/>
              </w:rPr>
              <w:t>33</w:t>
            </w: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3"/>
          </w:tcPr>
          <w:p>
            <w:pPr>
              <w:spacing w:after="0"/>
              <w:rPr>
                <w:sz w:val="20"/>
                <w:szCs w:val="20"/>
                <w:color w:val="auto"/>
              </w:rPr>
            </w:pPr>
            <w:r>
              <w:rPr>
                <w:rFonts w:ascii="Arial" w:cs="Arial" w:eastAsia="Arial" w:hAnsi="Arial"/>
                <w:sz w:val="14"/>
                <w:szCs w:val="14"/>
                <w:color w:val="auto"/>
              </w:rPr>
              <w:t>2024 Form 10-K</w:t>
            </w:r>
          </w:p>
        </w:tc>
      </w:tr>
      <w:tr>
        <w:trPr>
          <w:trHeight w:val="231"/>
        </w:trPr>
        <w:tc>
          <w:tcPr>
            <w:tcW w:w="4280" w:type="dxa"/>
            <w:vAlign w:val="bottom"/>
            <w:tcBorders>
              <w:bottom w:val="single" w:sz="8" w:color="9A9A9A"/>
            </w:tcBorders>
          </w:tcPr>
          <w:p>
            <w:pPr>
              <w:spacing w:after="0"/>
              <w:rPr>
                <w:sz w:val="20"/>
                <w:szCs w:val="20"/>
                <w:color w:val="auto"/>
              </w:rPr>
            </w:pPr>
          </w:p>
        </w:tc>
        <w:tc>
          <w:tcPr>
            <w:tcW w:w="3360" w:type="dxa"/>
            <w:vAlign w:val="bottom"/>
            <w:tcBorders>
              <w:bottom w:val="single" w:sz="8" w:color="9A9A9A"/>
            </w:tcBorders>
          </w:tcPr>
          <w:p>
            <w:pPr>
              <w:spacing w:after="0"/>
              <w:rPr>
                <w:sz w:val="20"/>
                <w:szCs w:val="20"/>
                <w:color w:val="auto"/>
              </w:rPr>
            </w:pPr>
          </w:p>
        </w:tc>
        <w:tc>
          <w:tcPr>
            <w:tcW w:w="360" w:type="dxa"/>
            <w:vAlign w:val="bottom"/>
            <w:tcBorders>
              <w:bottom w:val="single" w:sz="8" w:color="9A9A9A"/>
            </w:tcBorders>
          </w:tcPr>
          <w:p>
            <w:pPr>
              <w:spacing w:after="0"/>
              <w:rPr>
                <w:sz w:val="20"/>
                <w:szCs w:val="20"/>
                <w:color w:val="auto"/>
              </w:rPr>
            </w:pPr>
          </w:p>
        </w:tc>
        <w:tc>
          <w:tcPr>
            <w:tcW w:w="136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340" w:type="dxa"/>
            <w:vAlign w:val="bottom"/>
            <w:tcBorders>
              <w:bottom w:val="single" w:sz="8" w:color="9A9A9A"/>
            </w:tcBorders>
          </w:tcPr>
          <w:p>
            <w:pPr>
              <w:spacing w:after="0"/>
              <w:rPr>
                <w:sz w:val="20"/>
                <w:szCs w:val="20"/>
                <w:color w:val="auto"/>
              </w:rPr>
            </w:pPr>
          </w:p>
        </w:tc>
        <w:tc>
          <w:tcPr>
            <w:tcW w:w="1380" w:type="dxa"/>
            <w:vAlign w:val="bottom"/>
            <w:tcBorders>
              <w:bottom w:val="single" w:sz="8" w:color="9A9A9A"/>
            </w:tcBorders>
          </w:tcPr>
          <w:p>
            <w:pPr>
              <w:spacing w:after="0"/>
              <w:rPr>
                <w:sz w:val="20"/>
                <w:szCs w:val="20"/>
                <w:color w:val="auto"/>
              </w:rPr>
            </w:pPr>
          </w:p>
        </w:tc>
        <w:tc>
          <w:tcPr>
            <w:tcW w:w="4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b w:val="1"/>
          <w:bCs w:val="1"/>
          <w:color w:val="AC7E65"/>
        </w:rPr>
        <w:t>RESULTS OF OPERATIONS</w:t>
      </w:r>
    </w:p>
    <w:p>
      <w:pPr>
        <w:spacing w:after="0" w:line="247"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The estimated basis point (“BPS”) changes disclosed throughout this Results of Operations have been rounded based on the change in the percentage of net sales.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Net Sales</w:t>
      </w:r>
    </w:p>
    <w:p>
      <w:pPr>
        <w:spacing w:after="0" w:line="23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Net sales by segment are presented by attributing revenues to a physical store location or geographical region that fulfills the order. The Company’s net sales by reportable segment for Fiscal 2024 and Fiscal 2023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Fiscal 2024</w:t>
            </w:r>
          </w:p>
        </w:tc>
        <w:tc>
          <w:tcPr>
            <w:tcW w:w="1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Fiscal 2023</w:t>
            </w:r>
          </w:p>
        </w:tc>
        <w:tc>
          <w:tcPr>
            <w:tcW w:w="10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 Change</w:t>
            </w:r>
          </w:p>
        </w:tc>
        <w:tc>
          <w:tcPr>
            <w:tcW w:w="100" w:type="dxa"/>
            <w:vAlign w:val="bottom"/>
          </w:tcPr>
          <w:p>
            <w:pPr>
              <w:spacing w:after="0"/>
              <w:rPr>
                <w:sz w:val="14"/>
                <w:szCs w:val="14"/>
                <w:color w:val="auto"/>
              </w:rPr>
            </w:pPr>
          </w:p>
        </w:tc>
        <w:tc>
          <w:tcPr>
            <w:tcW w:w="1220" w:type="dxa"/>
            <w:vAlign w:val="bottom"/>
            <w:vMerge w:val="restart"/>
          </w:tcPr>
          <w:p>
            <w:pPr>
              <w:jc w:val="right"/>
              <w:ind w:right="208"/>
              <w:spacing w:after="0"/>
              <w:rPr>
                <w:sz w:val="20"/>
                <w:szCs w:val="20"/>
                <w:color w:val="auto"/>
              </w:rPr>
            </w:pPr>
            <w:r>
              <w:rPr>
                <w:rFonts w:ascii="Arial" w:cs="Arial" w:eastAsia="Arial" w:hAnsi="Arial"/>
                <w:sz w:val="14"/>
                <w:szCs w:val="14"/>
                <w:color w:val="auto"/>
              </w:rPr>
              <w:t>% Change</w:t>
            </w:r>
          </w:p>
        </w:tc>
        <w:tc>
          <w:tcPr>
            <w:tcW w:w="100" w:type="dxa"/>
            <w:vAlign w:val="bottom"/>
            <w:vMerge w:val="restart"/>
          </w:tcPr>
          <w:p>
            <w:pPr>
              <w:spacing w:after="0"/>
              <w:rPr>
                <w:sz w:val="14"/>
                <w:szCs w:val="14"/>
                <w:color w:val="auto"/>
              </w:rPr>
            </w:pPr>
          </w:p>
        </w:tc>
        <w:tc>
          <w:tcPr>
            <w:tcW w:w="1200" w:type="dxa"/>
            <w:vAlign w:val="bottom"/>
          </w:tcPr>
          <w:p>
            <w:pPr>
              <w:ind w:left="200"/>
              <w:spacing w:after="0"/>
              <w:rPr>
                <w:sz w:val="20"/>
                <w:szCs w:val="20"/>
                <w:color w:val="auto"/>
              </w:rPr>
            </w:pPr>
            <w:r>
              <w:rPr>
                <w:rFonts w:ascii="Arial" w:cs="Arial" w:eastAsia="Arial" w:hAnsi="Arial"/>
                <w:sz w:val="14"/>
                <w:szCs w:val="14"/>
                <w:color w:val="auto"/>
              </w:rPr>
              <w:t>Comparable</w:t>
            </w:r>
          </w:p>
        </w:tc>
        <w:tc>
          <w:tcPr>
            <w:tcW w:w="0" w:type="dxa"/>
            <w:vAlign w:val="bottom"/>
          </w:tcPr>
          <w:p>
            <w:pPr>
              <w:spacing w:after="0"/>
              <w:rPr>
                <w:sz w:val="1"/>
                <w:szCs w:val="1"/>
                <w:color w:val="auto"/>
              </w:rPr>
            </w:pPr>
          </w:p>
        </w:tc>
      </w:tr>
      <w:tr>
        <w:trPr>
          <w:trHeight w:val="201"/>
        </w:trPr>
        <w:tc>
          <w:tcPr>
            <w:tcW w:w="5120" w:type="dxa"/>
            <w:vAlign w:val="bottom"/>
            <w:tcBorders>
              <w:bottom w:val="single" w:sz="8" w:color="F5F5F5"/>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F5F5F5"/>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F5F5F5"/>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F5F5F5"/>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F5F5F5"/>
            </w:tcBorders>
            <w:vMerge w:val="continue"/>
          </w:tcPr>
          <w:p>
            <w:pPr>
              <w:spacing w:after="0"/>
              <w:rPr>
                <w:sz w:val="17"/>
                <w:szCs w:val="17"/>
                <w:color w:val="auto"/>
              </w:rPr>
            </w:pPr>
          </w:p>
        </w:tc>
        <w:tc>
          <w:tcPr>
            <w:tcW w:w="1200" w:type="dxa"/>
            <w:vAlign w:val="bottom"/>
            <w:tcBorders>
              <w:bottom w:val="single" w:sz="8" w:color="auto"/>
            </w:tcBorders>
          </w:tcPr>
          <w:p>
            <w:pPr>
              <w:ind w:left="340"/>
              <w:spacing w:after="0" w:line="201" w:lineRule="exact"/>
              <w:rPr>
                <w:sz w:val="20"/>
                <w:szCs w:val="20"/>
                <w:color w:val="auto"/>
              </w:rPr>
            </w:pPr>
            <w:r>
              <w:rPr>
                <w:rFonts w:ascii="Arial" w:cs="Arial" w:eastAsia="Arial" w:hAnsi="Arial"/>
                <w:sz w:val="14"/>
                <w:szCs w:val="14"/>
                <w:color w:val="auto"/>
              </w:rPr>
              <w:t xml:space="preserve">Sales </w:t>
            </w:r>
            <w:r>
              <w:rPr>
                <w:rFonts w:ascii="Arial" w:cs="Arial" w:eastAsia="Arial" w:hAnsi="Arial"/>
                <w:sz w:val="18"/>
                <w:szCs w:val="18"/>
                <w:color w:val="auto"/>
                <w:vertAlign w:val="superscript"/>
              </w:rPr>
              <w:t>(1)</w:t>
            </w:r>
          </w:p>
        </w:tc>
        <w:tc>
          <w:tcPr>
            <w:tcW w:w="0" w:type="dxa"/>
            <w:vAlign w:val="bottom"/>
          </w:tcPr>
          <w:p>
            <w:pPr>
              <w:spacing w:after="0"/>
              <w:rPr>
                <w:sz w:val="1"/>
                <w:szCs w:val="1"/>
                <w:color w:val="auto"/>
              </w:rPr>
            </w:pPr>
          </w:p>
        </w:tc>
      </w:tr>
      <w:tr>
        <w:trPr>
          <w:trHeight w:val="196"/>
        </w:trPr>
        <w:tc>
          <w:tcPr>
            <w:tcW w:w="5120" w:type="dxa"/>
            <w:vAlign w:val="bottom"/>
            <w:shd w:val="clear" w:color="auto" w:fill="F5F5F5"/>
          </w:tcPr>
          <w:p>
            <w:pPr>
              <w:ind w:left="20"/>
              <w:spacing w:after="0"/>
              <w:rPr>
                <w:sz w:val="20"/>
                <w:szCs w:val="20"/>
                <w:color w:val="auto"/>
              </w:rPr>
            </w:pPr>
            <w:r>
              <w:rPr>
                <w:rFonts w:ascii="Arial" w:cs="Arial" w:eastAsia="Arial" w:hAnsi="Arial"/>
                <w:sz w:val="14"/>
                <w:szCs w:val="14"/>
                <w:color w:val="auto"/>
              </w:rPr>
              <w:t>Americas</w:t>
            </w:r>
          </w:p>
        </w:tc>
        <w:tc>
          <w:tcPr>
            <w:tcW w:w="220" w:type="dxa"/>
            <w:vAlign w:val="bottom"/>
            <w:shd w:val="clear" w:color="auto" w:fill="F5F5F5"/>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4,027,514</w:t>
            </w:r>
          </w:p>
        </w:tc>
        <w:tc>
          <w:tcPr>
            <w:tcW w:w="100" w:type="dxa"/>
            <w:vAlign w:val="bottom"/>
            <w:shd w:val="clear" w:color="auto" w:fill="F5F5F5"/>
          </w:tcPr>
          <w:p>
            <w:pPr>
              <w:spacing w:after="0"/>
              <w:rPr>
                <w:sz w:val="17"/>
                <w:szCs w:val="17"/>
                <w:color w:val="auto"/>
              </w:rPr>
            </w:pPr>
          </w:p>
        </w:tc>
        <w:tc>
          <w:tcPr>
            <w:tcW w:w="220" w:type="dxa"/>
            <w:vAlign w:val="bottom"/>
            <w:shd w:val="clear" w:color="auto" w:fill="F5F5F5"/>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3,455,674</w:t>
            </w:r>
          </w:p>
        </w:tc>
        <w:tc>
          <w:tcPr>
            <w:tcW w:w="100" w:type="dxa"/>
            <w:vAlign w:val="bottom"/>
            <w:shd w:val="clear" w:color="auto" w:fill="F5F5F5"/>
          </w:tcPr>
          <w:p>
            <w:pPr>
              <w:spacing w:after="0"/>
              <w:rPr>
                <w:sz w:val="17"/>
                <w:szCs w:val="17"/>
                <w:color w:val="auto"/>
              </w:rPr>
            </w:pPr>
          </w:p>
        </w:tc>
        <w:tc>
          <w:tcPr>
            <w:tcW w:w="280" w:type="dxa"/>
            <w:vAlign w:val="bottom"/>
            <w:shd w:val="clear" w:color="auto" w:fill="F5F5F5"/>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shd w:val="clear" w:color="auto" w:fill="F5F5F5"/>
          </w:tcPr>
          <w:p>
            <w:pPr>
              <w:jc w:val="right"/>
              <w:spacing w:after="0"/>
              <w:rPr>
                <w:sz w:val="20"/>
                <w:szCs w:val="20"/>
                <w:color w:val="auto"/>
              </w:rPr>
            </w:pPr>
            <w:r>
              <w:rPr>
                <w:rFonts w:ascii="Arial" w:cs="Arial" w:eastAsia="Arial" w:hAnsi="Arial"/>
                <w:sz w:val="14"/>
                <w:szCs w:val="14"/>
                <w:color w:val="auto"/>
              </w:rPr>
              <w:t>571,840</w:t>
            </w:r>
          </w:p>
        </w:tc>
        <w:tc>
          <w:tcPr>
            <w:tcW w:w="1320" w:type="dxa"/>
            <w:vAlign w:val="bottom"/>
            <w:gridSpan w:val="2"/>
            <w:shd w:val="clear" w:color="auto" w:fill="F5F5F5"/>
          </w:tcPr>
          <w:p>
            <w:pPr>
              <w:jc w:val="right"/>
              <w:spacing w:after="0"/>
              <w:rPr>
                <w:sz w:val="20"/>
                <w:szCs w:val="20"/>
                <w:color w:val="auto"/>
              </w:rPr>
            </w:pPr>
            <w:r>
              <w:rPr>
                <w:rFonts w:ascii="Arial" w:cs="Arial" w:eastAsia="Arial" w:hAnsi="Arial"/>
                <w:sz w:val="14"/>
                <w:szCs w:val="14"/>
                <w:color w:val="auto"/>
              </w:rPr>
              <w:t>17 %</w:t>
            </w:r>
          </w:p>
        </w:tc>
        <w:tc>
          <w:tcPr>
            <w:tcW w:w="100" w:type="dxa"/>
            <w:vAlign w:val="bottom"/>
            <w:shd w:val="clear" w:color="auto" w:fill="F5F5F5"/>
          </w:tcPr>
          <w:p>
            <w:pPr>
              <w:spacing w:after="0"/>
              <w:rPr>
                <w:sz w:val="17"/>
                <w:szCs w:val="17"/>
                <w:color w:val="auto"/>
              </w:rPr>
            </w:pPr>
          </w:p>
        </w:tc>
        <w:tc>
          <w:tcPr>
            <w:tcW w:w="1200" w:type="dxa"/>
            <w:vAlign w:val="bottom"/>
            <w:shd w:val="clear" w:color="auto" w:fill="F5F5F5"/>
          </w:tcPr>
          <w:p>
            <w:pPr>
              <w:ind w:left="860"/>
              <w:spacing w:after="0"/>
              <w:rPr>
                <w:sz w:val="20"/>
                <w:szCs w:val="20"/>
                <w:color w:val="auto"/>
              </w:rPr>
            </w:pPr>
            <w:r>
              <w:rPr>
                <w:rFonts w:ascii="Arial" w:cs="Arial" w:eastAsia="Arial" w:hAnsi="Arial"/>
                <w:sz w:val="14"/>
                <w:szCs w:val="14"/>
                <w:color w:val="auto"/>
              </w:rPr>
              <w:t>17 %</w:t>
            </w:r>
          </w:p>
        </w:tc>
        <w:tc>
          <w:tcPr>
            <w:tcW w:w="0" w:type="dxa"/>
            <w:vAlign w:val="bottom"/>
          </w:tcPr>
          <w:p>
            <w:pPr>
              <w:spacing w:after="0"/>
              <w:rPr>
                <w:sz w:val="1"/>
                <w:szCs w:val="1"/>
                <w:color w:val="auto"/>
              </w:rPr>
            </w:pPr>
          </w:p>
        </w:tc>
      </w:tr>
      <w:tr>
        <w:trPr>
          <w:trHeight w:val="198"/>
        </w:trPr>
        <w:tc>
          <w:tcPr>
            <w:tcW w:w="5120" w:type="dxa"/>
            <w:vAlign w:val="bottom"/>
          </w:tcPr>
          <w:p>
            <w:pPr>
              <w:ind w:left="20"/>
              <w:spacing w:after="0"/>
              <w:rPr>
                <w:sz w:val="20"/>
                <w:szCs w:val="20"/>
                <w:color w:val="auto"/>
              </w:rPr>
            </w:pPr>
            <w:r>
              <w:rPr>
                <w:rFonts w:ascii="Arial" w:cs="Arial" w:eastAsia="Arial" w:hAnsi="Arial"/>
                <w:sz w:val="14"/>
                <w:szCs w:val="14"/>
                <w:color w:val="auto"/>
              </w:rPr>
              <w:t>EMEA</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770,519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687,095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83,424</w:t>
            </w:r>
          </w:p>
        </w:tc>
        <w:tc>
          <w:tcPr>
            <w:tcW w:w="1320" w:type="dxa"/>
            <w:vAlign w:val="bottom"/>
            <w:gridSpan w:val="2"/>
          </w:tcPr>
          <w:p>
            <w:pPr>
              <w:jc w:val="right"/>
              <w:ind w:right="12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1200" w:type="dxa"/>
            <w:vAlign w:val="bottom"/>
          </w:tcPr>
          <w:p>
            <w:pPr>
              <w:ind w:left="86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3"/>
        </w:trPr>
        <w:tc>
          <w:tcPr>
            <w:tcW w:w="5120" w:type="dxa"/>
            <w:vAlign w:val="bottom"/>
            <w:shd w:val="clear" w:color="auto" w:fill="F5F5F5"/>
          </w:tcPr>
          <w:p>
            <w:pPr>
              <w:ind w:left="20"/>
              <w:spacing w:after="0"/>
              <w:rPr>
                <w:sz w:val="20"/>
                <w:szCs w:val="20"/>
                <w:color w:val="auto"/>
              </w:rPr>
            </w:pPr>
            <w:r>
              <w:rPr>
                <w:rFonts w:ascii="Arial" w:cs="Arial" w:eastAsia="Arial" w:hAnsi="Arial"/>
                <w:sz w:val="14"/>
                <w:szCs w:val="14"/>
                <w:color w:val="auto"/>
              </w:rPr>
              <w:t>APAC</w:t>
            </w:r>
          </w:p>
        </w:tc>
        <w:tc>
          <w:tcPr>
            <w:tcW w:w="220" w:type="dxa"/>
            <w:vAlign w:val="bottom"/>
            <w:tcBorders>
              <w:bottom w:val="single" w:sz="8" w:color="auto"/>
            </w:tcBorders>
            <w:shd w:val="clear" w:color="auto" w:fill="F5F5F5"/>
          </w:tcPr>
          <w:p>
            <w:pPr>
              <w:spacing w:after="0"/>
              <w:rPr>
                <w:sz w:val="17"/>
                <w:szCs w:val="17"/>
                <w:color w:val="auto"/>
              </w:rPr>
            </w:pPr>
          </w:p>
        </w:tc>
        <w:tc>
          <w:tcPr>
            <w:tcW w:w="88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150,554</w:t>
            </w:r>
          </w:p>
        </w:tc>
        <w:tc>
          <w:tcPr>
            <w:tcW w:w="100" w:type="dxa"/>
            <w:vAlign w:val="bottom"/>
            <w:shd w:val="clear" w:color="auto" w:fill="F5F5F5"/>
          </w:tcPr>
          <w:p>
            <w:pPr>
              <w:spacing w:after="0"/>
              <w:rPr>
                <w:sz w:val="17"/>
                <w:szCs w:val="17"/>
                <w:color w:val="auto"/>
              </w:rPr>
            </w:pPr>
          </w:p>
        </w:tc>
        <w:tc>
          <w:tcPr>
            <w:tcW w:w="220" w:type="dxa"/>
            <w:vAlign w:val="bottom"/>
            <w:tcBorders>
              <w:bottom w:val="single" w:sz="8" w:color="auto"/>
            </w:tcBorders>
            <w:shd w:val="clear" w:color="auto" w:fill="F5F5F5"/>
          </w:tcPr>
          <w:p>
            <w:pPr>
              <w:spacing w:after="0"/>
              <w:rPr>
                <w:sz w:val="17"/>
                <w:szCs w:val="17"/>
                <w:color w:val="auto"/>
              </w:rPr>
            </w:pPr>
          </w:p>
        </w:tc>
        <w:tc>
          <w:tcPr>
            <w:tcW w:w="88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137,908</w:t>
            </w:r>
          </w:p>
        </w:tc>
        <w:tc>
          <w:tcPr>
            <w:tcW w:w="100" w:type="dxa"/>
            <w:vAlign w:val="bottom"/>
            <w:shd w:val="clear" w:color="auto" w:fill="F5F5F5"/>
          </w:tcPr>
          <w:p>
            <w:pPr>
              <w:spacing w:after="0"/>
              <w:rPr>
                <w:sz w:val="17"/>
                <w:szCs w:val="17"/>
                <w:color w:val="auto"/>
              </w:rPr>
            </w:pPr>
          </w:p>
        </w:tc>
        <w:tc>
          <w:tcPr>
            <w:tcW w:w="280" w:type="dxa"/>
            <w:vAlign w:val="bottom"/>
            <w:tcBorders>
              <w:bottom w:val="single" w:sz="8" w:color="auto"/>
            </w:tcBorders>
            <w:shd w:val="clear" w:color="auto" w:fill="F5F5F5"/>
          </w:tcPr>
          <w:p>
            <w:pPr>
              <w:spacing w:after="0"/>
              <w:rPr>
                <w:sz w:val="17"/>
                <w:szCs w:val="17"/>
                <w:color w:val="auto"/>
              </w:rPr>
            </w:pPr>
          </w:p>
        </w:tc>
        <w:tc>
          <w:tcPr>
            <w:tcW w:w="82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12,646</w:t>
            </w:r>
          </w:p>
        </w:tc>
        <w:tc>
          <w:tcPr>
            <w:tcW w:w="1320" w:type="dxa"/>
            <w:vAlign w:val="bottom"/>
            <w:gridSpan w:val="2"/>
            <w:shd w:val="clear" w:color="auto" w:fill="F5F5F5"/>
          </w:tcPr>
          <w:p>
            <w:pPr>
              <w:jc w:val="right"/>
              <w:ind w:right="128"/>
              <w:spacing w:after="0"/>
              <w:rPr>
                <w:sz w:val="20"/>
                <w:szCs w:val="20"/>
                <w:color w:val="auto"/>
              </w:rPr>
            </w:pPr>
            <w:r>
              <w:rPr>
                <w:rFonts w:ascii="Arial" w:cs="Arial" w:eastAsia="Arial" w:hAnsi="Arial"/>
                <w:sz w:val="14"/>
                <w:szCs w:val="14"/>
                <w:color w:val="auto"/>
              </w:rPr>
              <w:t>9</w:t>
            </w:r>
          </w:p>
        </w:tc>
        <w:tc>
          <w:tcPr>
            <w:tcW w:w="100" w:type="dxa"/>
            <w:vAlign w:val="bottom"/>
            <w:shd w:val="clear" w:color="auto" w:fill="F5F5F5"/>
          </w:tcPr>
          <w:p>
            <w:pPr>
              <w:spacing w:after="0"/>
              <w:rPr>
                <w:sz w:val="17"/>
                <w:szCs w:val="17"/>
                <w:color w:val="auto"/>
              </w:rPr>
            </w:pPr>
          </w:p>
        </w:tc>
        <w:tc>
          <w:tcPr>
            <w:tcW w:w="1200" w:type="dxa"/>
            <w:vAlign w:val="bottom"/>
            <w:shd w:val="clear" w:color="auto" w:fill="F5F5F5"/>
          </w:tcPr>
          <w:p>
            <w:pPr>
              <w:ind w:left="86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0"/>
        </w:trPr>
        <w:tc>
          <w:tcPr>
            <w:tcW w:w="5120" w:type="dxa"/>
            <w:vAlign w:val="bottom"/>
          </w:tcPr>
          <w:p>
            <w:pPr>
              <w:ind w:left="20"/>
              <w:spacing w:after="0"/>
              <w:rPr>
                <w:sz w:val="20"/>
                <w:szCs w:val="20"/>
                <w:color w:val="auto"/>
              </w:rPr>
            </w:pPr>
            <w:r>
              <w:rPr>
                <w:rFonts w:ascii="Arial" w:cs="Arial" w:eastAsia="Arial" w:hAnsi="Arial"/>
                <w:sz w:val="14"/>
                <w:szCs w:val="14"/>
                <w:color w:val="auto"/>
              </w:rPr>
              <w:t>Total Company</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4,948,587</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4,280,677</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667,910</w:t>
            </w:r>
          </w:p>
        </w:tc>
        <w:tc>
          <w:tcPr>
            <w:tcW w:w="1320" w:type="dxa"/>
            <w:vAlign w:val="bottom"/>
            <w:gridSpan w:val="2"/>
          </w:tcPr>
          <w:p>
            <w:pPr>
              <w:jc w:val="right"/>
              <w:ind w:right="12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1200" w:type="dxa"/>
            <w:vAlign w:val="bottom"/>
          </w:tcPr>
          <w:p>
            <w:pPr>
              <w:ind w:left="86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1"/>
        </w:trPr>
        <w:tc>
          <w:tcPr>
            <w:tcW w:w="5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5" w:lineRule="exact"/>
        <w:rPr>
          <w:sz w:val="20"/>
          <w:szCs w:val="20"/>
          <w:color w:val="auto"/>
        </w:rPr>
      </w:pPr>
    </w:p>
    <w:p>
      <w:pPr>
        <w:ind w:left="260" w:hanging="252"/>
        <w:spacing w:after="0"/>
        <w:tabs>
          <w:tab w:leader="none" w:pos="260" w:val="left"/>
        </w:tabs>
        <w:numPr>
          <w:ilvl w:val="0"/>
          <w:numId w:val="33"/>
        </w:numPr>
        <w:rPr>
          <w:rFonts w:ascii="Arial" w:cs="Arial" w:eastAsia="Arial" w:hAnsi="Arial"/>
          <w:sz w:val="18"/>
          <w:szCs w:val="18"/>
          <w:color w:val="auto"/>
          <w:vertAlign w:val="superscript"/>
        </w:rPr>
      </w:pPr>
      <w:r>
        <w:rPr>
          <w:rFonts w:ascii="Arial" w:cs="Arial" w:eastAsia="Arial" w:hAnsi="Arial"/>
          <w:sz w:val="13"/>
          <w:szCs w:val="13"/>
          <w:color w:val="auto"/>
        </w:rPr>
        <w:t xml:space="preserve">Comparable sales are calculated on a constant currency basis. Refer to </w:t>
      </w: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0000FF"/>
        </w:rPr>
        <w:t>NON-GAAP FINANCIAL MEASURES</w:t>
      </w:r>
      <w:r>
        <w:rPr>
          <w:rFonts w:ascii="Arial" w:cs="Arial" w:eastAsia="Arial" w:hAnsi="Arial"/>
          <w:sz w:val="13"/>
          <w:szCs w:val="13"/>
          <w:color w:val="auto"/>
        </w:rPr>
        <w:t>,</w:t>
      </w:r>
      <w:r>
        <w:rPr>
          <w:rFonts w:ascii="Arial" w:cs="Arial" w:eastAsia="Arial" w:hAnsi="Arial"/>
          <w:sz w:val="13"/>
          <w:szCs w:val="13"/>
          <w:i w:val="1"/>
          <w:iCs w:val="1"/>
          <w:color w:val="auto"/>
        </w:rPr>
        <w:t>”</w:t>
      </w:r>
      <w:r>
        <w:rPr>
          <w:rFonts w:ascii="Arial" w:cs="Arial" w:eastAsia="Arial" w:hAnsi="Arial"/>
          <w:sz w:val="13"/>
          <w:szCs w:val="13"/>
          <w:color w:val="auto"/>
        </w:rPr>
        <w:t xml:space="preserve"> for further details on the comparable sales calculation.</w:t>
      </w:r>
    </w:p>
    <w:p>
      <w:pPr>
        <w:spacing w:after="0" w:line="20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For Fiscal 2024, net sales increased 16%, as compared to Fiscal 2023. The increase was primarily attributable to a high-single-digit increase in AUR from lower promotional activity and category mix into higher ticket items. High-single-digit growth in unit volume also contributed to the increase in net sales, following increases in traffic and transactions in Company-owned and operated channels. Additionally, there was a headwind of approximately $50 million due to the timing of sales volume based on the impact of the calendar shift in Fiscal 2024 as a result of the 53rd selling week in Fiscal 2023. The year-over-year increase in net sales reflects positive comparable sales of 17%, as compared to Fiscal 2023.</w:t>
      </w:r>
    </w:p>
    <w:p>
      <w:pPr>
        <w:spacing w:after="0" w:line="201" w:lineRule="exact"/>
        <w:rPr>
          <w:sz w:val="20"/>
          <w:szCs w:val="20"/>
          <w:color w:val="auto"/>
        </w:rPr>
      </w:pPr>
    </w:p>
    <w:p>
      <w:pPr>
        <w:jc w:val="both"/>
        <w:ind w:left="660" w:hanging="328"/>
        <w:spacing w:after="0" w:line="257" w:lineRule="auto"/>
        <w:tabs>
          <w:tab w:leader="none" w:pos="6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Net sales growth in the Americas region of 17% on both a reported and comparable sales basis. The increase was attributable to a higher AUR from lower promotional activity and category mix into higher ticket items and direct channel unit volume growth from increased traffic and transactions in company owned and operated stores and digital channels.</w:t>
      </w:r>
    </w:p>
    <w:p>
      <w:pPr>
        <w:spacing w:after="0" w:line="29" w:lineRule="exact"/>
        <w:rPr>
          <w:rFonts w:ascii="Arial" w:cs="Arial" w:eastAsia="Arial" w:hAnsi="Arial"/>
          <w:sz w:val="16"/>
          <w:szCs w:val="16"/>
          <w:color w:val="auto"/>
        </w:rPr>
      </w:pPr>
    </w:p>
    <w:p>
      <w:pPr>
        <w:jc w:val="both"/>
        <w:ind w:left="660" w:hanging="328"/>
        <w:spacing w:after="0" w:line="260" w:lineRule="auto"/>
        <w:tabs>
          <w:tab w:leader="none" w:pos="6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Net sales growth in the EMEA region of 12% and 16% on a reported and comparable sales basis, respectively. The increase was attributable to a higher AUR from lower promotional activity and category mix into higher ticket items and unit volume growth from increased traffic and transactions in company owned and operated stores and digital channels. Comparable sales growth percentage is higher than net sales growth percentage, as comparable sales exclude the net impact of store closures during the period and the effects of foreign currency, both of which had negative impacts on net sales growth.</w:t>
      </w:r>
    </w:p>
    <w:p>
      <w:pPr>
        <w:spacing w:after="0" w:line="29" w:lineRule="exact"/>
        <w:rPr>
          <w:rFonts w:ascii="Arial" w:cs="Arial" w:eastAsia="Arial" w:hAnsi="Arial"/>
          <w:sz w:val="16"/>
          <w:szCs w:val="16"/>
          <w:color w:val="auto"/>
        </w:rPr>
      </w:pPr>
    </w:p>
    <w:p>
      <w:pPr>
        <w:jc w:val="both"/>
        <w:ind w:left="660" w:hanging="328"/>
        <w:spacing w:after="0" w:line="266" w:lineRule="auto"/>
        <w:tabs>
          <w:tab w:leader="none" w:pos="6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Net sales growth in the APAC region of 9% and 19% on a reported and comparable sales basis, respectively. Comparable sales growth percentage is higher than net sales growth percentage, as comparable sales exclude the net impact of store closures during the period and the effects of foreign currency, both of which had negative impacts on net sales growth.</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Company’s net sales by brand for Fiscal 2024 and Fiscal 2023 were as follows: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4"/>
                <w:szCs w:val="14"/>
                <w:color w:val="auto"/>
              </w:rPr>
            </w:pPr>
          </w:p>
        </w:tc>
        <w:tc>
          <w:tcPr>
            <w:tcW w:w="880" w:type="dxa"/>
            <w:vAlign w:val="bottom"/>
            <w:vMerge w:val="restart"/>
          </w:tcPr>
          <w:p>
            <w:pPr>
              <w:jc w:val="center"/>
              <w:ind w:left="28"/>
              <w:spacing w:after="0"/>
              <w:rPr>
                <w:sz w:val="20"/>
                <w:szCs w:val="20"/>
                <w:color w:val="auto"/>
              </w:rPr>
            </w:pPr>
            <w:r>
              <w:rPr>
                <w:rFonts w:ascii="Arial" w:cs="Arial" w:eastAsia="Arial" w:hAnsi="Arial"/>
                <w:sz w:val="14"/>
                <w:szCs w:val="14"/>
                <w:color w:val="auto"/>
              </w:rPr>
              <w:t>Fiscal 2024</w:t>
            </w:r>
          </w:p>
        </w:tc>
        <w:tc>
          <w:tcPr>
            <w:tcW w:w="1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restart"/>
          </w:tcPr>
          <w:p>
            <w:pPr>
              <w:jc w:val="center"/>
              <w:ind w:left="28"/>
              <w:spacing w:after="0"/>
              <w:rPr>
                <w:sz w:val="20"/>
                <w:szCs w:val="20"/>
                <w:color w:val="auto"/>
              </w:rPr>
            </w:pPr>
            <w:r>
              <w:rPr>
                <w:rFonts w:ascii="Arial" w:cs="Arial" w:eastAsia="Arial" w:hAnsi="Arial"/>
                <w:sz w:val="14"/>
                <w:szCs w:val="14"/>
                <w:color w:val="auto"/>
              </w:rPr>
              <w:t>Fiscal 2023</w:t>
            </w:r>
          </w:p>
        </w:tc>
        <w:tc>
          <w:tcPr>
            <w:tcW w:w="10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vMerge w:val="restart"/>
          </w:tcPr>
          <w:p>
            <w:pPr>
              <w:jc w:val="center"/>
              <w:ind w:left="88"/>
              <w:spacing w:after="0"/>
              <w:rPr>
                <w:sz w:val="20"/>
                <w:szCs w:val="20"/>
                <w:color w:val="auto"/>
              </w:rPr>
            </w:pPr>
            <w:r>
              <w:rPr>
                <w:rFonts w:ascii="Arial" w:cs="Arial" w:eastAsia="Arial" w:hAnsi="Arial"/>
                <w:sz w:val="14"/>
                <w:szCs w:val="14"/>
                <w:color w:val="auto"/>
              </w:rPr>
              <w:t>$ Change</w:t>
            </w:r>
          </w:p>
        </w:tc>
        <w:tc>
          <w:tcPr>
            <w:tcW w:w="100" w:type="dxa"/>
            <w:vAlign w:val="bottom"/>
          </w:tcPr>
          <w:p>
            <w:pPr>
              <w:spacing w:after="0"/>
              <w:rPr>
                <w:sz w:val="14"/>
                <w:szCs w:val="14"/>
                <w:color w:val="auto"/>
              </w:rPr>
            </w:pPr>
          </w:p>
        </w:tc>
        <w:tc>
          <w:tcPr>
            <w:tcW w:w="1220" w:type="dxa"/>
            <w:vAlign w:val="bottom"/>
            <w:vMerge w:val="restart"/>
          </w:tcPr>
          <w:p>
            <w:pPr>
              <w:ind w:left="280"/>
              <w:spacing w:after="0"/>
              <w:rPr>
                <w:sz w:val="20"/>
                <w:szCs w:val="20"/>
                <w:color w:val="auto"/>
              </w:rPr>
            </w:pPr>
            <w:r>
              <w:rPr>
                <w:rFonts w:ascii="Arial" w:cs="Arial" w:eastAsia="Arial" w:hAnsi="Arial"/>
                <w:sz w:val="14"/>
                <w:szCs w:val="14"/>
                <w:color w:val="auto"/>
              </w:rPr>
              <w:t>% Change</w:t>
            </w:r>
          </w:p>
        </w:tc>
        <w:tc>
          <w:tcPr>
            <w:tcW w:w="100" w:type="dxa"/>
            <w:vAlign w:val="bottom"/>
            <w:vMerge w:val="restart"/>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Comparable</w:t>
            </w:r>
          </w:p>
        </w:tc>
        <w:tc>
          <w:tcPr>
            <w:tcW w:w="0" w:type="dxa"/>
            <w:vAlign w:val="bottom"/>
          </w:tcPr>
          <w:p>
            <w:pPr>
              <w:spacing w:after="0"/>
              <w:rPr>
                <w:sz w:val="1"/>
                <w:szCs w:val="1"/>
                <w:color w:val="auto"/>
              </w:rPr>
            </w:pPr>
          </w:p>
        </w:tc>
      </w:tr>
      <w:tr>
        <w:trPr>
          <w:trHeight w:val="198"/>
        </w:trPr>
        <w:tc>
          <w:tcPr>
            <w:tcW w:w="5120" w:type="dxa"/>
            <w:vAlign w:val="bottom"/>
            <w:tcBorders>
              <w:bottom w:val="single" w:sz="8" w:color="F5F5F5"/>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F5F5F5"/>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F5F5F5"/>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F5F5F5"/>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F5F5F5"/>
            </w:tcBorders>
            <w:vMerge w:val="continue"/>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 xml:space="preserve">Sales </w:t>
            </w: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200"/>
        </w:trPr>
        <w:tc>
          <w:tcPr>
            <w:tcW w:w="5120" w:type="dxa"/>
            <w:vAlign w:val="bottom"/>
            <w:shd w:val="clear" w:color="auto" w:fill="F5F5F5"/>
          </w:tcPr>
          <w:p>
            <w:pPr>
              <w:ind w:left="20"/>
              <w:spacing w:after="0"/>
              <w:rPr>
                <w:sz w:val="20"/>
                <w:szCs w:val="20"/>
                <w:color w:val="auto"/>
              </w:rPr>
            </w:pPr>
            <w:r>
              <w:rPr>
                <w:rFonts w:ascii="Arial" w:cs="Arial" w:eastAsia="Arial" w:hAnsi="Arial"/>
                <w:sz w:val="14"/>
                <w:szCs w:val="14"/>
                <w:color w:val="auto"/>
              </w:rPr>
              <w:t>Abercrombie</w:t>
            </w:r>
          </w:p>
        </w:tc>
        <w:tc>
          <w:tcPr>
            <w:tcW w:w="220" w:type="dxa"/>
            <w:vAlign w:val="bottom"/>
            <w:shd w:val="clear" w:color="auto" w:fill="F5F5F5"/>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F5F5F5"/>
          </w:tcPr>
          <w:p>
            <w:pPr>
              <w:jc w:val="center"/>
              <w:ind w:left="48"/>
              <w:spacing w:after="0"/>
              <w:rPr>
                <w:sz w:val="20"/>
                <w:szCs w:val="20"/>
                <w:color w:val="auto"/>
              </w:rPr>
            </w:pPr>
            <w:r>
              <w:rPr>
                <w:rFonts w:ascii="Arial" w:cs="Arial" w:eastAsia="Arial" w:hAnsi="Arial"/>
                <w:sz w:val="14"/>
                <w:szCs w:val="14"/>
                <w:color w:val="auto"/>
              </w:rPr>
              <w:t>2,556,434</w:t>
            </w:r>
          </w:p>
        </w:tc>
        <w:tc>
          <w:tcPr>
            <w:tcW w:w="100" w:type="dxa"/>
            <w:vAlign w:val="bottom"/>
            <w:shd w:val="clear" w:color="auto" w:fill="F5F5F5"/>
          </w:tcPr>
          <w:p>
            <w:pPr>
              <w:spacing w:after="0"/>
              <w:rPr>
                <w:sz w:val="17"/>
                <w:szCs w:val="17"/>
                <w:color w:val="auto"/>
              </w:rPr>
            </w:pPr>
          </w:p>
        </w:tc>
        <w:tc>
          <w:tcPr>
            <w:tcW w:w="220" w:type="dxa"/>
            <w:vAlign w:val="bottom"/>
            <w:shd w:val="clear" w:color="auto" w:fill="F5F5F5"/>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F5F5F5"/>
          </w:tcPr>
          <w:p>
            <w:pPr>
              <w:jc w:val="center"/>
              <w:ind w:left="48"/>
              <w:spacing w:after="0"/>
              <w:rPr>
                <w:sz w:val="20"/>
                <w:szCs w:val="20"/>
                <w:color w:val="auto"/>
              </w:rPr>
            </w:pPr>
            <w:r>
              <w:rPr>
                <w:rFonts w:ascii="Arial" w:cs="Arial" w:eastAsia="Arial" w:hAnsi="Arial"/>
                <w:sz w:val="14"/>
                <w:szCs w:val="14"/>
                <w:color w:val="auto"/>
              </w:rPr>
              <w:t>2,201,686</w:t>
            </w:r>
          </w:p>
        </w:tc>
        <w:tc>
          <w:tcPr>
            <w:tcW w:w="100" w:type="dxa"/>
            <w:vAlign w:val="bottom"/>
            <w:shd w:val="clear" w:color="auto" w:fill="F5F5F5"/>
          </w:tcPr>
          <w:p>
            <w:pPr>
              <w:spacing w:after="0"/>
              <w:rPr>
                <w:sz w:val="17"/>
                <w:szCs w:val="17"/>
                <w:color w:val="auto"/>
              </w:rPr>
            </w:pPr>
          </w:p>
        </w:tc>
        <w:tc>
          <w:tcPr>
            <w:tcW w:w="280" w:type="dxa"/>
            <w:vAlign w:val="bottom"/>
            <w:shd w:val="clear" w:color="auto" w:fill="F5F5F5"/>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shd w:val="clear" w:color="auto" w:fill="F5F5F5"/>
          </w:tcPr>
          <w:p>
            <w:pPr>
              <w:jc w:val="center"/>
              <w:ind w:left="108"/>
              <w:spacing w:after="0"/>
              <w:rPr>
                <w:sz w:val="20"/>
                <w:szCs w:val="20"/>
                <w:color w:val="auto"/>
              </w:rPr>
            </w:pPr>
            <w:r>
              <w:rPr>
                <w:rFonts w:ascii="Arial" w:cs="Arial" w:eastAsia="Arial" w:hAnsi="Arial"/>
                <w:sz w:val="14"/>
                <w:szCs w:val="14"/>
                <w:color w:val="auto"/>
              </w:rPr>
              <w:t>354,748</w:t>
            </w:r>
          </w:p>
        </w:tc>
        <w:tc>
          <w:tcPr>
            <w:tcW w:w="1320" w:type="dxa"/>
            <w:vAlign w:val="bottom"/>
            <w:gridSpan w:val="2"/>
            <w:shd w:val="clear" w:color="auto" w:fill="F5F5F5"/>
          </w:tcPr>
          <w:p>
            <w:pPr>
              <w:ind w:left="960"/>
              <w:spacing w:after="0"/>
              <w:rPr>
                <w:sz w:val="20"/>
                <w:szCs w:val="20"/>
                <w:color w:val="auto"/>
              </w:rPr>
            </w:pPr>
            <w:r>
              <w:rPr>
                <w:rFonts w:ascii="Arial" w:cs="Arial" w:eastAsia="Arial" w:hAnsi="Arial"/>
                <w:sz w:val="14"/>
                <w:szCs w:val="14"/>
                <w:color w:val="auto"/>
              </w:rPr>
              <w:t>16 %</w:t>
            </w:r>
          </w:p>
        </w:tc>
        <w:tc>
          <w:tcPr>
            <w:tcW w:w="100" w:type="dxa"/>
            <w:vAlign w:val="bottom"/>
            <w:shd w:val="clear" w:color="auto" w:fill="F5F5F5"/>
          </w:tcPr>
          <w:p>
            <w:pPr>
              <w:spacing w:after="0"/>
              <w:rPr>
                <w:sz w:val="17"/>
                <w:szCs w:val="17"/>
                <w:color w:val="auto"/>
              </w:rPr>
            </w:pPr>
          </w:p>
        </w:tc>
        <w:tc>
          <w:tcPr>
            <w:tcW w:w="1200" w:type="dxa"/>
            <w:vAlign w:val="bottom"/>
            <w:shd w:val="clear" w:color="auto" w:fill="F5F5F5"/>
          </w:tcPr>
          <w:p>
            <w:pPr>
              <w:ind w:left="860"/>
              <w:spacing w:after="0"/>
              <w:rPr>
                <w:sz w:val="20"/>
                <w:szCs w:val="20"/>
                <w:color w:val="auto"/>
              </w:rPr>
            </w:pPr>
            <w:r>
              <w:rPr>
                <w:rFonts w:ascii="Arial" w:cs="Arial" w:eastAsia="Arial" w:hAnsi="Arial"/>
                <w:sz w:val="14"/>
                <w:szCs w:val="14"/>
                <w:color w:val="auto"/>
              </w:rPr>
              <w:t>15 %</w:t>
            </w:r>
          </w:p>
        </w:tc>
        <w:tc>
          <w:tcPr>
            <w:tcW w:w="0" w:type="dxa"/>
            <w:vAlign w:val="bottom"/>
          </w:tcPr>
          <w:p>
            <w:pPr>
              <w:spacing w:after="0"/>
              <w:rPr>
                <w:sz w:val="1"/>
                <w:szCs w:val="1"/>
                <w:color w:val="auto"/>
              </w:rPr>
            </w:pPr>
          </w:p>
        </w:tc>
      </w:tr>
      <w:tr>
        <w:trPr>
          <w:trHeight w:val="198"/>
        </w:trPr>
        <w:tc>
          <w:tcPr>
            <w:tcW w:w="5120" w:type="dxa"/>
            <w:vAlign w:val="bottom"/>
            <w:tcBorders>
              <w:bottom w:val="single" w:sz="8" w:color="F5F5F5"/>
            </w:tcBorders>
          </w:tcPr>
          <w:p>
            <w:pPr>
              <w:ind w:left="20"/>
              <w:spacing w:after="0"/>
              <w:rPr>
                <w:sz w:val="20"/>
                <w:szCs w:val="20"/>
                <w:color w:val="auto"/>
              </w:rPr>
            </w:pPr>
            <w:r>
              <w:rPr>
                <w:rFonts w:ascii="Arial" w:cs="Arial" w:eastAsia="Arial" w:hAnsi="Arial"/>
                <w:sz w:val="14"/>
                <w:szCs w:val="14"/>
                <w:color w:val="auto"/>
              </w:rPr>
              <w:t>Hollister</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rPr>
              <w:t>2,392,153</w:t>
            </w:r>
          </w:p>
        </w:tc>
        <w:tc>
          <w:tcPr>
            <w:tcW w:w="100" w:type="dxa"/>
            <w:vAlign w:val="bottom"/>
            <w:tcBorders>
              <w:bottom w:val="single" w:sz="8" w:color="F5F5F5"/>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rPr>
              <w:t>2,078,991</w:t>
            </w:r>
          </w:p>
        </w:tc>
        <w:tc>
          <w:tcPr>
            <w:tcW w:w="100" w:type="dxa"/>
            <w:vAlign w:val="bottom"/>
            <w:tcBorders>
              <w:bottom w:val="single" w:sz="8" w:color="F5F5F5"/>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color w:val="auto"/>
              </w:rPr>
              <w:t>313,162</w:t>
            </w:r>
          </w:p>
        </w:tc>
        <w:tc>
          <w:tcPr>
            <w:tcW w:w="1320" w:type="dxa"/>
            <w:vAlign w:val="bottom"/>
            <w:tcBorders>
              <w:bottom w:val="single" w:sz="8" w:color="F5F5F5"/>
            </w:tcBorders>
            <w:gridSpan w:val="2"/>
          </w:tcPr>
          <w:p>
            <w:pPr>
              <w:ind w:left="960"/>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F5F5F5"/>
            </w:tcBorders>
          </w:tcPr>
          <w:p>
            <w:pPr>
              <w:spacing w:after="0"/>
              <w:rPr>
                <w:sz w:val="17"/>
                <w:szCs w:val="17"/>
                <w:color w:val="auto"/>
              </w:rPr>
            </w:pPr>
          </w:p>
        </w:tc>
        <w:tc>
          <w:tcPr>
            <w:tcW w:w="1200" w:type="dxa"/>
            <w:vAlign w:val="bottom"/>
            <w:tcBorders>
              <w:bottom w:val="single" w:sz="8" w:color="F5F5F5"/>
            </w:tcBorders>
          </w:tcPr>
          <w:p>
            <w:pPr>
              <w:ind w:left="86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25"/>
        </w:trPr>
        <w:tc>
          <w:tcPr>
            <w:tcW w:w="5120" w:type="dxa"/>
            <w:vAlign w:val="bottom"/>
            <w:tcBorders>
              <w:bottom w:val="single" w:sz="8" w:color="F5F5F5"/>
            </w:tcBorders>
            <w:shd w:val="clear" w:color="auto" w:fill="F5F5F5"/>
          </w:tcPr>
          <w:p>
            <w:pPr>
              <w:ind w:left="20"/>
              <w:spacing w:after="0"/>
              <w:rPr>
                <w:sz w:val="20"/>
                <w:szCs w:val="20"/>
                <w:color w:val="auto"/>
              </w:rPr>
            </w:pPr>
            <w:r>
              <w:rPr>
                <w:rFonts w:ascii="Arial" w:cs="Arial" w:eastAsia="Arial" w:hAnsi="Arial"/>
                <w:sz w:val="14"/>
                <w:szCs w:val="14"/>
                <w:color w:val="auto"/>
              </w:rPr>
              <w:t>Total Company</w:t>
            </w:r>
          </w:p>
        </w:tc>
        <w:tc>
          <w:tcPr>
            <w:tcW w:w="220" w:type="dxa"/>
            <w:vAlign w:val="bottom"/>
            <w:tcBorders>
              <w:bottom w:val="single" w:sz="8" w:color="auto"/>
            </w:tcBorders>
            <w:shd w:val="clear" w:color="auto" w:fill="F5F5F5"/>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F5F5F5"/>
          </w:tcPr>
          <w:p>
            <w:pPr>
              <w:jc w:val="center"/>
              <w:ind w:left="48"/>
              <w:spacing w:after="0"/>
              <w:rPr>
                <w:sz w:val="20"/>
                <w:szCs w:val="20"/>
                <w:color w:val="auto"/>
              </w:rPr>
            </w:pPr>
            <w:r>
              <w:rPr>
                <w:rFonts w:ascii="Arial" w:cs="Arial" w:eastAsia="Arial" w:hAnsi="Arial"/>
                <w:sz w:val="14"/>
                <w:szCs w:val="14"/>
                <w:color w:val="auto"/>
              </w:rPr>
              <w:t>4,948,587</w:t>
            </w:r>
          </w:p>
        </w:tc>
        <w:tc>
          <w:tcPr>
            <w:tcW w:w="100" w:type="dxa"/>
            <w:vAlign w:val="bottom"/>
            <w:tcBorders>
              <w:bottom w:val="single" w:sz="8" w:color="F5F5F5"/>
            </w:tcBorders>
            <w:shd w:val="clear" w:color="auto" w:fill="F5F5F5"/>
          </w:tcPr>
          <w:p>
            <w:pPr>
              <w:spacing w:after="0"/>
              <w:rPr>
                <w:sz w:val="19"/>
                <w:szCs w:val="19"/>
                <w:color w:val="auto"/>
              </w:rPr>
            </w:pPr>
          </w:p>
        </w:tc>
        <w:tc>
          <w:tcPr>
            <w:tcW w:w="220" w:type="dxa"/>
            <w:vAlign w:val="bottom"/>
            <w:tcBorders>
              <w:bottom w:val="single" w:sz="8" w:color="auto"/>
            </w:tcBorders>
            <w:shd w:val="clear" w:color="auto" w:fill="F5F5F5"/>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F5F5F5"/>
          </w:tcPr>
          <w:p>
            <w:pPr>
              <w:jc w:val="center"/>
              <w:ind w:left="48"/>
              <w:spacing w:after="0"/>
              <w:rPr>
                <w:sz w:val="20"/>
                <w:szCs w:val="20"/>
                <w:color w:val="auto"/>
              </w:rPr>
            </w:pPr>
            <w:r>
              <w:rPr>
                <w:rFonts w:ascii="Arial" w:cs="Arial" w:eastAsia="Arial" w:hAnsi="Arial"/>
                <w:sz w:val="14"/>
                <w:szCs w:val="14"/>
                <w:color w:val="auto"/>
              </w:rPr>
              <w:t>4,280,677</w:t>
            </w:r>
          </w:p>
        </w:tc>
        <w:tc>
          <w:tcPr>
            <w:tcW w:w="100" w:type="dxa"/>
            <w:vAlign w:val="bottom"/>
            <w:tcBorders>
              <w:bottom w:val="single" w:sz="8" w:color="F5F5F5"/>
            </w:tcBorders>
            <w:shd w:val="clear" w:color="auto" w:fill="F5F5F5"/>
          </w:tcPr>
          <w:p>
            <w:pPr>
              <w:spacing w:after="0"/>
              <w:rPr>
                <w:sz w:val="19"/>
                <w:szCs w:val="19"/>
                <w:color w:val="auto"/>
              </w:rPr>
            </w:pPr>
          </w:p>
        </w:tc>
        <w:tc>
          <w:tcPr>
            <w:tcW w:w="280" w:type="dxa"/>
            <w:vAlign w:val="bottom"/>
            <w:tcBorders>
              <w:bottom w:val="single" w:sz="8" w:color="auto"/>
            </w:tcBorders>
            <w:shd w:val="clear" w:color="auto" w:fill="F5F5F5"/>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F5F5F5"/>
          </w:tcPr>
          <w:p>
            <w:pPr>
              <w:jc w:val="center"/>
              <w:ind w:left="108"/>
              <w:spacing w:after="0"/>
              <w:rPr>
                <w:sz w:val="20"/>
                <w:szCs w:val="20"/>
                <w:color w:val="auto"/>
              </w:rPr>
            </w:pPr>
            <w:r>
              <w:rPr>
                <w:rFonts w:ascii="Arial" w:cs="Arial" w:eastAsia="Arial" w:hAnsi="Arial"/>
                <w:sz w:val="14"/>
                <w:szCs w:val="14"/>
                <w:color w:val="auto"/>
              </w:rPr>
              <w:t>667,910</w:t>
            </w:r>
          </w:p>
        </w:tc>
        <w:tc>
          <w:tcPr>
            <w:tcW w:w="1320" w:type="dxa"/>
            <w:vAlign w:val="bottom"/>
            <w:tcBorders>
              <w:bottom w:val="single" w:sz="8" w:color="F5F5F5"/>
            </w:tcBorders>
            <w:gridSpan w:val="2"/>
            <w:shd w:val="clear" w:color="auto" w:fill="F5F5F5"/>
          </w:tcPr>
          <w:p>
            <w:pPr>
              <w:ind w:left="960"/>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F5F5F5"/>
            </w:tcBorders>
            <w:shd w:val="clear" w:color="auto" w:fill="F5F5F5"/>
          </w:tcPr>
          <w:p>
            <w:pPr>
              <w:spacing w:after="0"/>
              <w:rPr>
                <w:sz w:val="19"/>
                <w:szCs w:val="19"/>
                <w:color w:val="auto"/>
              </w:rPr>
            </w:pPr>
          </w:p>
        </w:tc>
        <w:tc>
          <w:tcPr>
            <w:tcW w:w="1200" w:type="dxa"/>
            <w:vAlign w:val="bottom"/>
            <w:tcBorders>
              <w:bottom w:val="single" w:sz="8" w:color="F5F5F5"/>
            </w:tcBorders>
            <w:shd w:val="clear" w:color="auto" w:fill="F5F5F5"/>
          </w:tcPr>
          <w:p>
            <w:pPr>
              <w:ind w:left="86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
        </w:trPr>
        <w:tc>
          <w:tcPr>
            <w:tcW w:w="5120" w:type="dxa"/>
            <w:vAlign w:val="bottom"/>
            <w:tcBorders>
              <w:top w:val="single" w:sz="8" w:color="F5F5F5"/>
            </w:tcBorders>
          </w:tcPr>
          <w:p>
            <w:pPr>
              <w:spacing w:after="0" w:line="20" w:lineRule="exact"/>
              <w:rPr>
                <w:sz w:val="1"/>
                <w:szCs w:val="1"/>
                <w:color w:val="auto"/>
              </w:rPr>
            </w:pPr>
          </w:p>
        </w:tc>
        <w:tc>
          <w:tcPr>
            <w:tcW w:w="220" w:type="dxa"/>
            <w:vAlign w:val="bottom"/>
            <w:tcBorders>
              <w:top w:val="single" w:sz="8" w:color="F5F5F5"/>
              <w:bottom w:val="single" w:sz="8" w:color="auto"/>
            </w:tcBorders>
          </w:tcPr>
          <w:p>
            <w:pPr>
              <w:spacing w:after="0" w:line="20" w:lineRule="exact"/>
              <w:rPr>
                <w:sz w:val="1"/>
                <w:szCs w:val="1"/>
                <w:color w:val="auto"/>
              </w:rPr>
            </w:pPr>
          </w:p>
        </w:tc>
        <w:tc>
          <w:tcPr>
            <w:tcW w:w="880" w:type="dxa"/>
            <w:vAlign w:val="bottom"/>
            <w:tcBorders>
              <w:top w:val="single" w:sz="8" w:color="F5F5F5"/>
              <w:bottom w:val="single" w:sz="8" w:color="auto"/>
            </w:tcBorders>
          </w:tcPr>
          <w:p>
            <w:pPr>
              <w:spacing w:after="0" w:line="20" w:lineRule="exact"/>
              <w:rPr>
                <w:sz w:val="1"/>
                <w:szCs w:val="1"/>
                <w:color w:val="auto"/>
              </w:rPr>
            </w:pPr>
          </w:p>
        </w:tc>
        <w:tc>
          <w:tcPr>
            <w:tcW w:w="100" w:type="dxa"/>
            <w:vAlign w:val="bottom"/>
            <w:tcBorders>
              <w:top w:val="single" w:sz="8" w:color="F5F5F5"/>
            </w:tcBorders>
          </w:tcPr>
          <w:p>
            <w:pPr>
              <w:spacing w:after="0" w:line="20" w:lineRule="exact"/>
              <w:rPr>
                <w:sz w:val="1"/>
                <w:szCs w:val="1"/>
                <w:color w:val="auto"/>
              </w:rPr>
            </w:pPr>
          </w:p>
        </w:tc>
        <w:tc>
          <w:tcPr>
            <w:tcW w:w="220" w:type="dxa"/>
            <w:vAlign w:val="bottom"/>
            <w:tcBorders>
              <w:top w:val="single" w:sz="8" w:color="F5F5F5"/>
              <w:bottom w:val="single" w:sz="8" w:color="auto"/>
            </w:tcBorders>
          </w:tcPr>
          <w:p>
            <w:pPr>
              <w:spacing w:after="0" w:line="20" w:lineRule="exact"/>
              <w:rPr>
                <w:sz w:val="1"/>
                <w:szCs w:val="1"/>
                <w:color w:val="auto"/>
              </w:rPr>
            </w:pPr>
          </w:p>
        </w:tc>
        <w:tc>
          <w:tcPr>
            <w:tcW w:w="880" w:type="dxa"/>
            <w:vAlign w:val="bottom"/>
            <w:tcBorders>
              <w:top w:val="single" w:sz="8" w:color="F5F5F5"/>
              <w:bottom w:val="single" w:sz="8" w:color="auto"/>
            </w:tcBorders>
          </w:tcPr>
          <w:p>
            <w:pPr>
              <w:spacing w:after="0" w:line="20" w:lineRule="exact"/>
              <w:rPr>
                <w:sz w:val="1"/>
                <w:szCs w:val="1"/>
                <w:color w:val="auto"/>
              </w:rPr>
            </w:pPr>
          </w:p>
        </w:tc>
        <w:tc>
          <w:tcPr>
            <w:tcW w:w="100" w:type="dxa"/>
            <w:vAlign w:val="bottom"/>
            <w:tcBorders>
              <w:top w:val="single" w:sz="8" w:color="F5F5F5"/>
            </w:tcBorders>
          </w:tcPr>
          <w:p>
            <w:pPr>
              <w:spacing w:after="0" w:line="20" w:lineRule="exact"/>
              <w:rPr>
                <w:sz w:val="1"/>
                <w:szCs w:val="1"/>
                <w:color w:val="auto"/>
              </w:rPr>
            </w:pPr>
          </w:p>
        </w:tc>
        <w:tc>
          <w:tcPr>
            <w:tcW w:w="280" w:type="dxa"/>
            <w:vAlign w:val="bottom"/>
            <w:tcBorders>
              <w:top w:val="single" w:sz="8" w:color="F5F5F5"/>
              <w:bottom w:val="single" w:sz="8" w:color="auto"/>
            </w:tcBorders>
          </w:tcPr>
          <w:p>
            <w:pPr>
              <w:spacing w:after="0" w:line="20" w:lineRule="exact"/>
              <w:rPr>
                <w:sz w:val="1"/>
                <w:szCs w:val="1"/>
                <w:color w:val="auto"/>
              </w:rPr>
            </w:pPr>
          </w:p>
        </w:tc>
        <w:tc>
          <w:tcPr>
            <w:tcW w:w="820" w:type="dxa"/>
            <w:vAlign w:val="bottom"/>
            <w:tcBorders>
              <w:top w:val="single" w:sz="8" w:color="F5F5F5"/>
              <w:bottom w:val="single" w:sz="8" w:color="auto"/>
            </w:tcBorders>
          </w:tcPr>
          <w:p>
            <w:pPr>
              <w:spacing w:after="0" w:line="20" w:lineRule="exact"/>
              <w:rPr>
                <w:sz w:val="1"/>
                <w:szCs w:val="1"/>
                <w:color w:val="auto"/>
              </w:rPr>
            </w:pPr>
          </w:p>
        </w:tc>
        <w:tc>
          <w:tcPr>
            <w:tcW w:w="100" w:type="dxa"/>
            <w:vAlign w:val="bottom"/>
            <w:tcBorders>
              <w:top w:val="single" w:sz="8" w:color="F5F5F5"/>
            </w:tcBorders>
          </w:tcPr>
          <w:p>
            <w:pPr>
              <w:spacing w:after="0" w:line="20" w:lineRule="exact"/>
              <w:rPr>
                <w:sz w:val="1"/>
                <w:szCs w:val="1"/>
                <w:color w:val="auto"/>
              </w:rPr>
            </w:pPr>
          </w:p>
        </w:tc>
        <w:tc>
          <w:tcPr>
            <w:tcW w:w="1220" w:type="dxa"/>
            <w:vAlign w:val="bottom"/>
            <w:tcBorders>
              <w:top w:val="single" w:sz="8" w:color="F5F5F5"/>
            </w:tcBorders>
          </w:tcPr>
          <w:p>
            <w:pPr>
              <w:spacing w:after="0" w:line="20" w:lineRule="exact"/>
              <w:rPr>
                <w:sz w:val="1"/>
                <w:szCs w:val="1"/>
                <w:color w:val="auto"/>
              </w:rPr>
            </w:pPr>
          </w:p>
        </w:tc>
        <w:tc>
          <w:tcPr>
            <w:tcW w:w="100" w:type="dxa"/>
            <w:vAlign w:val="bottom"/>
            <w:tcBorders>
              <w:top w:val="single" w:sz="8" w:color="F5F5F5"/>
            </w:tcBorders>
          </w:tcPr>
          <w:p>
            <w:pPr>
              <w:spacing w:after="0" w:line="20" w:lineRule="exact"/>
              <w:rPr>
                <w:sz w:val="1"/>
                <w:szCs w:val="1"/>
                <w:color w:val="auto"/>
              </w:rPr>
            </w:pPr>
          </w:p>
        </w:tc>
        <w:tc>
          <w:tcPr>
            <w:tcW w:w="1200" w:type="dxa"/>
            <w:vAlign w:val="bottom"/>
            <w:tcBorders>
              <w:top w:val="single" w:sz="8" w:color="F5F5F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ind w:left="260" w:hanging="252"/>
        <w:spacing w:after="0"/>
        <w:tabs>
          <w:tab w:leader="none" w:pos="260" w:val="left"/>
        </w:tabs>
        <w:numPr>
          <w:ilvl w:val="0"/>
          <w:numId w:val="35"/>
        </w:numPr>
        <w:rPr>
          <w:rFonts w:ascii="Arial" w:cs="Arial" w:eastAsia="Arial" w:hAnsi="Arial"/>
          <w:sz w:val="18"/>
          <w:szCs w:val="18"/>
          <w:color w:val="auto"/>
          <w:vertAlign w:val="superscript"/>
        </w:rPr>
      </w:pPr>
      <w:r>
        <w:rPr>
          <w:rFonts w:ascii="Arial" w:cs="Arial" w:eastAsia="Arial" w:hAnsi="Arial"/>
          <w:sz w:val="13"/>
          <w:szCs w:val="13"/>
          <w:color w:val="auto"/>
        </w:rPr>
        <w:t xml:space="preserve">Comparable sales are calculated on a constant currency basis. Refer to </w:t>
      </w:r>
      <w:r>
        <w:rPr>
          <w:rFonts w:ascii="Arial" w:cs="Arial" w:eastAsia="Arial" w:hAnsi="Arial"/>
          <w:sz w:val="13"/>
          <w:szCs w:val="13"/>
          <w:i w:val="1"/>
          <w:iCs w:val="1"/>
          <w:color w:val="auto"/>
        </w:rPr>
        <w:t>“</w:t>
      </w:r>
      <w:r>
        <w:rPr>
          <w:rFonts w:ascii="Arial" w:cs="Arial" w:eastAsia="Arial" w:hAnsi="Arial"/>
          <w:sz w:val="13"/>
          <w:szCs w:val="13"/>
          <w:color w:val="auto"/>
        </w:rPr>
        <w:t>NON-GAAP FINANCIAL MEASURES,</w:t>
      </w:r>
      <w:r>
        <w:rPr>
          <w:rFonts w:ascii="Arial" w:cs="Arial" w:eastAsia="Arial" w:hAnsi="Arial"/>
          <w:sz w:val="13"/>
          <w:szCs w:val="13"/>
          <w:i w:val="1"/>
          <w:iCs w:val="1"/>
          <w:color w:val="auto"/>
        </w:rPr>
        <w:t>”</w:t>
      </w:r>
      <w:r>
        <w:rPr>
          <w:rFonts w:ascii="Arial" w:cs="Arial" w:eastAsia="Arial" w:hAnsi="Arial"/>
          <w:sz w:val="13"/>
          <w:szCs w:val="13"/>
          <w:color w:val="auto"/>
        </w:rPr>
        <w:t xml:space="preserve"> for further details on the comparable sales calculation.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Cost of Sales, Exclusive of Depreciation and Amortization</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2"/>
          </w:tcPr>
          <w:p>
            <w:pPr>
              <w:ind w:left="580"/>
              <w:spacing w:after="0"/>
              <w:rPr>
                <w:sz w:val="20"/>
                <w:szCs w:val="20"/>
                <w:color w:val="auto"/>
              </w:rPr>
            </w:pPr>
            <w:r>
              <w:rPr>
                <w:rFonts w:ascii="Arial" w:cs="Arial" w:eastAsia="Arial" w:hAnsi="Arial"/>
                <w:sz w:val="14"/>
                <w:szCs w:val="14"/>
                <w:color w:val="auto"/>
              </w:rPr>
              <w:t>Fiscal 2024</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2"/>
          </w:tcPr>
          <w:p>
            <w:pPr>
              <w:jc w:val="right"/>
              <w:ind w:right="748"/>
              <w:spacing w:after="0"/>
              <w:rPr>
                <w:sz w:val="20"/>
                <w:szCs w:val="20"/>
                <w:color w:val="auto"/>
              </w:rPr>
            </w:pPr>
            <w:r>
              <w:rPr>
                <w:rFonts w:ascii="Arial" w:cs="Arial" w:eastAsia="Arial" w:hAnsi="Arial"/>
                <w:sz w:val="14"/>
                <w:szCs w:val="14"/>
                <w:color w:val="auto"/>
              </w:rPr>
              <w:t>Fiscal 2023</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8"/>
        </w:trPr>
        <w:tc>
          <w:tcPr>
            <w:tcW w:w="5100" w:type="dxa"/>
            <w:vAlign w:val="bottom"/>
            <w:tcBorders>
              <w:bottom w:val="single" w:sz="8" w:color="F5F5F5"/>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F5F5F5"/>
            </w:tcBorders>
          </w:tcPr>
          <w:p>
            <w:pPr>
              <w:spacing w:after="0"/>
              <w:rPr>
                <w:sz w:val="17"/>
                <w:szCs w:val="17"/>
                <w:color w:val="auto"/>
              </w:rPr>
            </w:pPr>
          </w:p>
        </w:tc>
        <w:tc>
          <w:tcPr>
            <w:tcW w:w="960" w:type="dxa"/>
            <w:vAlign w:val="bottom"/>
            <w:tcBorders>
              <w:bottom w:val="single" w:sz="8" w:color="F5F5F5"/>
            </w:tcBorders>
          </w:tcPr>
          <w:p>
            <w:pPr>
              <w:spacing w:after="0"/>
              <w:rPr>
                <w:sz w:val="17"/>
                <w:szCs w:val="17"/>
                <w:color w:val="auto"/>
              </w:rPr>
            </w:pPr>
          </w:p>
        </w:tc>
        <w:tc>
          <w:tcPr>
            <w:tcW w:w="12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 of Net Sales</w:t>
            </w:r>
          </w:p>
        </w:tc>
        <w:tc>
          <w:tcPr>
            <w:tcW w:w="340" w:type="dxa"/>
            <w:vAlign w:val="bottom"/>
            <w:tcBorders>
              <w:bottom w:val="single" w:sz="8" w:color="F5F5F5"/>
            </w:tcBorders>
            <w:gridSpan w:val="2"/>
          </w:tcPr>
          <w:p>
            <w:pPr>
              <w:spacing w:after="0"/>
              <w:rPr>
                <w:sz w:val="17"/>
                <w:szCs w:val="17"/>
                <w:color w:val="auto"/>
              </w:rPr>
            </w:pPr>
          </w:p>
        </w:tc>
        <w:tc>
          <w:tcPr>
            <w:tcW w:w="960" w:type="dxa"/>
            <w:vAlign w:val="bottom"/>
            <w:tcBorders>
              <w:bottom w:val="single" w:sz="8" w:color="F5F5F5"/>
            </w:tcBorders>
          </w:tcPr>
          <w:p>
            <w:pPr>
              <w:spacing w:after="0"/>
              <w:rPr>
                <w:sz w:val="17"/>
                <w:szCs w:val="17"/>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 of Net Sales</w:t>
            </w:r>
          </w:p>
        </w:tc>
        <w:tc>
          <w:tcPr>
            <w:tcW w:w="120" w:type="dxa"/>
            <w:vAlign w:val="bottom"/>
            <w:tcBorders>
              <w:bottom w:val="single" w:sz="8" w:color="F5F5F5"/>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BPS Change</w:t>
            </w:r>
          </w:p>
        </w:tc>
      </w:tr>
      <w:tr>
        <w:trPr>
          <w:trHeight w:val="200"/>
        </w:trPr>
        <w:tc>
          <w:tcPr>
            <w:tcW w:w="5100" w:type="dxa"/>
            <w:vAlign w:val="bottom"/>
            <w:shd w:val="clear" w:color="auto" w:fill="F5F5F5"/>
          </w:tcPr>
          <w:p>
            <w:pPr>
              <w:ind w:left="20"/>
              <w:spacing w:after="0"/>
              <w:rPr>
                <w:sz w:val="20"/>
                <w:szCs w:val="20"/>
                <w:color w:val="auto"/>
              </w:rPr>
            </w:pPr>
            <w:r>
              <w:rPr>
                <w:rFonts w:ascii="Arial" w:cs="Arial" w:eastAsia="Arial" w:hAnsi="Arial"/>
                <w:sz w:val="14"/>
                <w:szCs w:val="14"/>
                <w:color w:val="auto"/>
              </w:rPr>
              <w:t>Cost of sales, exclusive of depreciation and amortization</w:t>
            </w:r>
          </w:p>
        </w:tc>
        <w:tc>
          <w:tcPr>
            <w:tcW w:w="240" w:type="dxa"/>
            <w:vAlign w:val="bottom"/>
            <w:shd w:val="clear" w:color="auto" w:fill="F5F5F5"/>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F5F5F5"/>
          </w:tcPr>
          <w:p>
            <w:pPr>
              <w:jc w:val="right"/>
              <w:ind w:right="108"/>
              <w:spacing w:after="0"/>
              <w:rPr>
                <w:sz w:val="20"/>
                <w:szCs w:val="20"/>
                <w:color w:val="auto"/>
              </w:rPr>
            </w:pPr>
            <w:r>
              <w:rPr>
                <w:rFonts w:ascii="Arial" w:cs="Arial" w:eastAsia="Arial" w:hAnsi="Arial"/>
                <w:sz w:val="14"/>
                <w:szCs w:val="14"/>
                <w:color w:val="auto"/>
              </w:rPr>
              <w:t>1,773,926</w:t>
            </w:r>
          </w:p>
        </w:tc>
        <w:tc>
          <w:tcPr>
            <w:tcW w:w="1540" w:type="dxa"/>
            <w:vAlign w:val="bottom"/>
            <w:gridSpan w:val="3"/>
            <w:shd w:val="clear" w:color="auto" w:fill="F5F5F5"/>
          </w:tcPr>
          <w:p>
            <w:pPr>
              <w:jc w:val="right"/>
              <w:ind w:right="140"/>
              <w:spacing w:after="0"/>
              <w:rPr>
                <w:sz w:val="20"/>
                <w:szCs w:val="20"/>
                <w:color w:val="auto"/>
              </w:rPr>
            </w:pPr>
            <w:r>
              <w:rPr>
                <w:rFonts w:ascii="Arial" w:cs="Arial" w:eastAsia="Arial" w:hAnsi="Arial"/>
                <w:sz w:val="14"/>
                <w:szCs w:val="14"/>
                <w:color w:val="auto"/>
              </w:rPr>
              <w:t>35.8 %  $</w:t>
            </w:r>
          </w:p>
        </w:tc>
        <w:tc>
          <w:tcPr>
            <w:tcW w:w="960" w:type="dxa"/>
            <w:vAlign w:val="bottom"/>
            <w:shd w:val="clear" w:color="auto" w:fill="F5F5F5"/>
          </w:tcPr>
          <w:p>
            <w:pPr>
              <w:jc w:val="right"/>
              <w:ind w:right="108"/>
              <w:spacing w:after="0"/>
              <w:rPr>
                <w:sz w:val="20"/>
                <w:szCs w:val="20"/>
                <w:color w:val="auto"/>
              </w:rPr>
            </w:pPr>
            <w:r>
              <w:rPr>
                <w:rFonts w:ascii="Arial" w:cs="Arial" w:eastAsia="Arial" w:hAnsi="Arial"/>
                <w:sz w:val="14"/>
                <w:szCs w:val="14"/>
                <w:color w:val="auto"/>
              </w:rPr>
              <w:t>1,587,265</w:t>
            </w:r>
          </w:p>
        </w:tc>
        <w:tc>
          <w:tcPr>
            <w:tcW w:w="12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37.1 %</w:t>
            </w:r>
          </w:p>
        </w:tc>
        <w:tc>
          <w:tcPr>
            <w:tcW w:w="120" w:type="dxa"/>
            <w:vAlign w:val="bottom"/>
            <w:shd w:val="clear" w:color="auto" w:fill="F5F5F5"/>
          </w:tcPr>
          <w:p>
            <w:pPr>
              <w:spacing w:after="0"/>
              <w:rPr>
                <w:sz w:val="17"/>
                <w:szCs w:val="17"/>
                <w:color w:val="auto"/>
              </w:rPr>
            </w:pPr>
          </w:p>
        </w:tc>
        <w:tc>
          <w:tcPr>
            <w:tcW w:w="1080" w:type="dxa"/>
            <w:vAlign w:val="bottom"/>
            <w:shd w:val="clear" w:color="auto" w:fill="F5F5F5"/>
          </w:tcPr>
          <w:p>
            <w:pPr>
              <w:jc w:val="right"/>
              <w:ind w:right="308"/>
              <w:spacing w:after="0"/>
              <w:rPr>
                <w:sz w:val="20"/>
                <w:szCs w:val="20"/>
                <w:color w:val="auto"/>
              </w:rPr>
            </w:pPr>
            <w:r>
              <w:rPr>
                <w:rFonts w:ascii="Arial" w:cs="Arial" w:eastAsia="Arial" w:hAnsi="Arial"/>
                <w:sz w:val="14"/>
                <w:szCs w:val="14"/>
                <w:color w:val="auto"/>
              </w:rPr>
              <w:t>(130)</w:t>
            </w:r>
          </w:p>
        </w:tc>
      </w:tr>
    </w:tbl>
    <w:p>
      <w:pPr>
        <w:spacing w:after="0" w:line="31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For Fiscal 2024, cost of sales, exclusive of depreciation and amortization, as a percentage of net sales decreased approximately 130 basis points as compared to Fiscal 2023. The percentage decrease was primarily attributable to cost of sales leverage from a higher AUR on reduced promotions, as well as a benefit in product costs, as certain raw material prices have declined. These benefits were partially offset by higher freight costs compared to Fiscal 2023.</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34</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Selling Expense</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2"/>
          </w:tcPr>
          <w:p>
            <w:pPr>
              <w:ind w:left="580"/>
              <w:spacing w:after="0"/>
              <w:rPr>
                <w:sz w:val="20"/>
                <w:szCs w:val="20"/>
                <w:color w:val="auto"/>
              </w:rPr>
            </w:pPr>
            <w:r>
              <w:rPr>
                <w:rFonts w:ascii="Arial" w:cs="Arial" w:eastAsia="Arial" w:hAnsi="Arial"/>
                <w:sz w:val="14"/>
                <w:szCs w:val="14"/>
                <w:color w:val="auto"/>
              </w:rPr>
              <w:t>Fiscal 2024</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2"/>
          </w:tcPr>
          <w:p>
            <w:pPr>
              <w:jc w:val="right"/>
              <w:ind w:right="748"/>
              <w:spacing w:after="0"/>
              <w:rPr>
                <w:sz w:val="20"/>
                <w:szCs w:val="20"/>
                <w:color w:val="auto"/>
              </w:rPr>
            </w:pPr>
            <w:r>
              <w:rPr>
                <w:rFonts w:ascii="Arial" w:cs="Arial" w:eastAsia="Arial" w:hAnsi="Arial"/>
                <w:sz w:val="14"/>
                <w:szCs w:val="14"/>
                <w:color w:val="auto"/>
              </w:rPr>
              <w:t>Fiscal 2023</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8"/>
        </w:trPr>
        <w:tc>
          <w:tcPr>
            <w:tcW w:w="5100" w:type="dxa"/>
            <w:vAlign w:val="bottom"/>
            <w:tcBorders>
              <w:bottom w:val="single" w:sz="8" w:color="F5F5F5"/>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F5F5F5"/>
            </w:tcBorders>
          </w:tcPr>
          <w:p>
            <w:pPr>
              <w:spacing w:after="0"/>
              <w:rPr>
                <w:sz w:val="17"/>
                <w:szCs w:val="17"/>
                <w:color w:val="auto"/>
              </w:rPr>
            </w:pPr>
          </w:p>
        </w:tc>
        <w:tc>
          <w:tcPr>
            <w:tcW w:w="960" w:type="dxa"/>
            <w:vAlign w:val="bottom"/>
            <w:tcBorders>
              <w:bottom w:val="single" w:sz="8" w:color="F5F5F5"/>
            </w:tcBorders>
          </w:tcPr>
          <w:p>
            <w:pPr>
              <w:spacing w:after="0"/>
              <w:rPr>
                <w:sz w:val="17"/>
                <w:szCs w:val="17"/>
                <w:color w:val="auto"/>
              </w:rPr>
            </w:pPr>
          </w:p>
        </w:tc>
        <w:tc>
          <w:tcPr>
            <w:tcW w:w="12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 of Net Sales</w:t>
            </w:r>
          </w:p>
        </w:tc>
        <w:tc>
          <w:tcPr>
            <w:tcW w:w="340" w:type="dxa"/>
            <w:vAlign w:val="bottom"/>
            <w:tcBorders>
              <w:bottom w:val="single" w:sz="8" w:color="F5F5F5"/>
            </w:tcBorders>
            <w:gridSpan w:val="2"/>
          </w:tcPr>
          <w:p>
            <w:pPr>
              <w:spacing w:after="0"/>
              <w:rPr>
                <w:sz w:val="17"/>
                <w:szCs w:val="17"/>
                <w:color w:val="auto"/>
              </w:rPr>
            </w:pPr>
          </w:p>
        </w:tc>
        <w:tc>
          <w:tcPr>
            <w:tcW w:w="960" w:type="dxa"/>
            <w:vAlign w:val="bottom"/>
            <w:tcBorders>
              <w:bottom w:val="single" w:sz="8" w:color="F5F5F5"/>
            </w:tcBorders>
          </w:tcPr>
          <w:p>
            <w:pPr>
              <w:spacing w:after="0"/>
              <w:rPr>
                <w:sz w:val="17"/>
                <w:szCs w:val="17"/>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 of Net Sales</w:t>
            </w:r>
          </w:p>
        </w:tc>
        <w:tc>
          <w:tcPr>
            <w:tcW w:w="120" w:type="dxa"/>
            <w:vAlign w:val="bottom"/>
            <w:tcBorders>
              <w:bottom w:val="single" w:sz="8" w:color="F5F5F5"/>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BPS Change</w:t>
            </w:r>
          </w:p>
        </w:tc>
      </w:tr>
      <w:tr>
        <w:trPr>
          <w:trHeight w:val="200"/>
        </w:trPr>
        <w:tc>
          <w:tcPr>
            <w:tcW w:w="5100" w:type="dxa"/>
            <w:vAlign w:val="bottom"/>
            <w:shd w:val="clear" w:color="auto" w:fill="F5F5F5"/>
          </w:tcPr>
          <w:p>
            <w:pPr>
              <w:ind w:left="20"/>
              <w:spacing w:after="0"/>
              <w:rPr>
                <w:sz w:val="20"/>
                <w:szCs w:val="20"/>
                <w:color w:val="auto"/>
              </w:rPr>
            </w:pPr>
            <w:r>
              <w:rPr>
                <w:rFonts w:ascii="Arial" w:cs="Arial" w:eastAsia="Arial" w:hAnsi="Arial"/>
                <w:sz w:val="14"/>
                <w:szCs w:val="14"/>
                <w:color w:val="auto"/>
              </w:rPr>
              <w:t>Selling expense</w:t>
            </w:r>
          </w:p>
        </w:tc>
        <w:tc>
          <w:tcPr>
            <w:tcW w:w="240" w:type="dxa"/>
            <w:vAlign w:val="bottom"/>
            <w:shd w:val="clear" w:color="auto" w:fill="F5F5F5"/>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F5F5F5"/>
          </w:tcPr>
          <w:p>
            <w:pPr>
              <w:jc w:val="right"/>
              <w:ind w:right="108"/>
              <w:spacing w:after="0"/>
              <w:rPr>
                <w:sz w:val="20"/>
                <w:szCs w:val="20"/>
                <w:color w:val="auto"/>
              </w:rPr>
            </w:pPr>
            <w:r>
              <w:rPr>
                <w:rFonts w:ascii="Arial" w:cs="Arial" w:eastAsia="Arial" w:hAnsi="Arial"/>
                <w:sz w:val="14"/>
                <w:szCs w:val="14"/>
                <w:color w:val="auto"/>
              </w:rPr>
              <w:t>1,689,988</w:t>
            </w:r>
          </w:p>
        </w:tc>
        <w:tc>
          <w:tcPr>
            <w:tcW w:w="1540" w:type="dxa"/>
            <w:vAlign w:val="bottom"/>
            <w:gridSpan w:val="3"/>
            <w:shd w:val="clear" w:color="auto" w:fill="F5F5F5"/>
          </w:tcPr>
          <w:p>
            <w:pPr>
              <w:jc w:val="right"/>
              <w:ind w:right="140"/>
              <w:spacing w:after="0"/>
              <w:rPr>
                <w:sz w:val="20"/>
                <w:szCs w:val="20"/>
                <w:color w:val="auto"/>
              </w:rPr>
            </w:pPr>
            <w:r>
              <w:rPr>
                <w:rFonts w:ascii="Arial" w:cs="Arial" w:eastAsia="Arial" w:hAnsi="Arial"/>
                <w:sz w:val="14"/>
                <w:szCs w:val="14"/>
                <w:color w:val="auto"/>
              </w:rPr>
              <w:t>34.2 %  $</w:t>
            </w:r>
          </w:p>
        </w:tc>
        <w:tc>
          <w:tcPr>
            <w:tcW w:w="960" w:type="dxa"/>
            <w:vAlign w:val="bottom"/>
            <w:shd w:val="clear" w:color="auto" w:fill="F5F5F5"/>
          </w:tcPr>
          <w:p>
            <w:pPr>
              <w:jc w:val="right"/>
              <w:ind w:right="108"/>
              <w:spacing w:after="0"/>
              <w:rPr>
                <w:sz w:val="20"/>
                <w:szCs w:val="20"/>
                <w:color w:val="auto"/>
              </w:rPr>
            </w:pPr>
            <w:r>
              <w:rPr>
                <w:rFonts w:ascii="Arial" w:cs="Arial" w:eastAsia="Arial" w:hAnsi="Arial"/>
                <w:sz w:val="14"/>
                <w:szCs w:val="14"/>
                <w:color w:val="auto"/>
              </w:rPr>
              <w:t>1,533,438</w:t>
            </w:r>
          </w:p>
        </w:tc>
        <w:tc>
          <w:tcPr>
            <w:tcW w:w="12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35.8 %</w:t>
            </w:r>
          </w:p>
        </w:tc>
        <w:tc>
          <w:tcPr>
            <w:tcW w:w="120" w:type="dxa"/>
            <w:vAlign w:val="bottom"/>
            <w:shd w:val="clear" w:color="auto" w:fill="F5F5F5"/>
          </w:tcPr>
          <w:p>
            <w:pPr>
              <w:spacing w:after="0"/>
              <w:rPr>
                <w:sz w:val="17"/>
                <w:szCs w:val="17"/>
                <w:color w:val="auto"/>
              </w:rPr>
            </w:pPr>
          </w:p>
        </w:tc>
        <w:tc>
          <w:tcPr>
            <w:tcW w:w="1080" w:type="dxa"/>
            <w:vAlign w:val="bottom"/>
            <w:shd w:val="clear" w:color="auto" w:fill="F5F5F5"/>
          </w:tcPr>
          <w:p>
            <w:pPr>
              <w:jc w:val="right"/>
              <w:ind w:right="308"/>
              <w:spacing w:after="0"/>
              <w:rPr>
                <w:sz w:val="20"/>
                <w:szCs w:val="20"/>
                <w:color w:val="auto"/>
              </w:rPr>
            </w:pPr>
            <w:r>
              <w:rPr>
                <w:rFonts w:ascii="Arial" w:cs="Arial" w:eastAsia="Arial" w:hAnsi="Arial"/>
                <w:sz w:val="14"/>
                <w:szCs w:val="14"/>
                <w:color w:val="auto"/>
              </w:rPr>
              <w:t>(160)</w:t>
            </w:r>
          </w:p>
        </w:tc>
      </w:tr>
    </w:tbl>
    <w:p>
      <w:pPr>
        <w:spacing w:after="0" w:line="32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For Fiscal 2024, selling expense increased by $157 million compared to Fiscal 2023. Selling expense as a percentage of net sales, decreased 160 basis points as compared to Fiscal 2023. The decrease as a percent of net sales was primarily driven by expense leverage from higher net sales, including 190 basis points in stores expense, primarily relating to store occupancy and store employee compensation costs, and 10 basis points in distribution center and order fulfillment costs. The decrease as a percent of net sales was partially offset by an increase of 40 basis points in marketing expense, primarily due to media campaigns and content, as compared to Fiscal 2023.</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General and Administrative Expense</w:t>
      </w:r>
    </w:p>
    <w:p>
      <w:pPr>
        <w:spacing w:after="0" w:line="4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color w:val="auto"/>
              </w:rPr>
              <w:t>Fiscal 2024</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2"/>
          </w:tcPr>
          <w:p>
            <w:pPr>
              <w:jc w:val="right"/>
              <w:ind w:right="748"/>
              <w:spacing w:after="0"/>
              <w:rPr>
                <w:sz w:val="20"/>
                <w:szCs w:val="20"/>
                <w:color w:val="auto"/>
              </w:rPr>
            </w:pPr>
            <w:r>
              <w:rPr>
                <w:rFonts w:ascii="Arial" w:cs="Arial" w:eastAsia="Arial" w:hAnsi="Arial"/>
                <w:sz w:val="14"/>
                <w:szCs w:val="14"/>
                <w:color w:val="auto"/>
              </w:rPr>
              <w:t>Fiscal 2023</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8"/>
        </w:trPr>
        <w:tc>
          <w:tcPr>
            <w:tcW w:w="5100" w:type="dxa"/>
            <w:vAlign w:val="bottom"/>
            <w:tcBorders>
              <w:bottom w:val="single" w:sz="8" w:color="F5F5F5"/>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F5F5F5"/>
            </w:tcBorders>
          </w:tcPr>
          <w:p>
            <w:pPr>
              <w:spacing w:after="0"/>
              <w:rPr>
                <w:sz w:val="17"/>
                <w:szCs w:val="17"/>
                <w:color w:val="auto"/>
              </w:rPr>
            </w:pPr>
          </w:p>
        </w:tc>
        <w:tc>
          <w:tcPr>
            <w:tcW w:w="900" w:type="dxa"/>
            <w:vAlign w:val="bottom"/>
            <w:tcBorders>
              <w:bottom w:val="single" w:sz="8" w:color="F5F5F5"/>
            </w:tcBorders>
          </w:tcPr>
          <w:p>
            <w:pPr>
              <w:spacing w:after="0"/>
              <w:rPr>
                <w:sz w:val="17"/>
                <w:szCs w:val="17"/>
                <w:color w:val="auto"/>
              </w:rPr>
            </w:pPr>
          </w:p>
        </w:tc>
        <w:tc>
          <w:tcPr>
            <w:tcW w:w="12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 of Net Sales</w:t>
            </w:r>
          </w:p>
        </w:tc>
        <w:tc>
          <w:tcPr>
            <w:tcW w:w="400" w:type="dxa"/>
            <w:vAlign w:val="bottom"/>
            <w:tcBorders>
              <w:bottom w:val="single" w:sz="8" w:color="F5F5F5"/>
            </w:tcBorders>
            <w:gridSpan w:val="2"/>
          </w:tcPr>
          <w:p>
            <w:pPr>
              <w:spacing w:after="0"/>
              <w:rPr>
                <w:sz w:val="17"/>
                <w:szCs w:val="17"/>
                <w:color w:val="auto"/>
              </w:rPr>
            </w:pPr>
          </w:p>
        </w:tc>
        <w:tc>
          <w:tcPr>
            <w:tcW w:w="900" w:type="dxa"/>
            <w:vAlign w:val="bottom"/>
            <w:tcBorders>
              <w:bottom w:val="single" w:sz="8" w:color="F5F5F5"/>
            </w:tcBorders>
          </w:tcPr>
          <w:p>
            <w:pPr>
              <w:spacing w:after="0"/>
              <w:rPr>
                <w:sz w:val="17"/>
                <w:szCs w:val="17"/>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 of Net Sales</w:t>
            </w:r>
          </w:p>
        </w:tc>
        <w:tc>
          <w:tcPr>
            <w:tcW w:w="120" w:type="dxa"/>
            <w:vAlign w:val="bottom"/>
            <w:tcBorders>
              <w:bottom w:val="single" w:sz="8" w:color="F5F5F5"/>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BPS Change</w:t>
            </w:r>
          </w:p>
        </w:tc>
      </w:tr>
      <w:tr>
        <w:trPr>
          <w:trHeight w:val="200"/>
        </w:trPr>
        <w:tc>
          <w:tcPr>
            <w:tcW w:w="5100" w:type="dxa"/>
            <w:vAlign w:val="bottom"/>
            <w:shd w:val="clear" w:color="auto" w:fill="F5F5F5"/>
          </w:tcPr>
          <w:p>
            <w:pPr>
              <w:ind w:left="20"/>
              <w:spacing w:after="0"/>
              <w:rPr>
                <w:sz w:val="20"/>
                <w:szCs w:val="20"/>
                <w:color w:val="auto"/>
              </w:rPr>
            </w:pPr>
            <w:r>
              <w:rPr>
                <w:rFonts w:ascii="Arial" w:cs="Arial" w:eastAsia="Arial" w:hAnsi="Arial"/>
                <w:sz w:val="14"/>
                <w:szCs w:val="14"/>
                <w:color w:val="auto"/>
              </w:rPr>
              <w:t>General and administrative expense</w:t>
            </w:r>
          </w:p>
        </w:tc>
        <w:tc>
          <w:tcPr>
            <w:tcW w:w="300" w:type="dxa"/>
            <w:vAlign w:val="bottom"/>
            <w:shd w:val="clear" w:color="auto" w:fill="F5F5F5"/>
          </w:tcPr>
          <w:p>
            <w:pPr>
              <w:jc w:val="right"/>
              <w:ind w:right="14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F5F5F5"/>
          </w:tcPr>
          <w:p>
            <w:pPr>
              <w:jc w:val="right"/>
              <w:ind w:right="108"/>
              <w:spacing w:after="0"/>
              <w:rPr>
                <w:sz w:val="20"/>
                <w:szCs w:val="20"/>
                <w:color w:val="auto"/>
              </w:rPr>
            </w:pPr>
            <w:r>
              <w:rPr>
                <w:rFonts w:ascii="Arial" w:cs="Arial" w:eastAsia="Arial" w:hAnsi="Arial"/>
                <w:sz w:val="14"/>
                <w:szCs w:val="14"/>
                <w:color w:val="auto"/>
              </w:rPr>
              <w:t>750,485</w:t>
            </w:r>
          </w:p>
        </w:tc>
        <w:tc>
          <w:tcPr>
            <w:tcW w:w="1600" w:type="dxa"/>
            <w:vAlign w:val="bottom"/>
            <w:gridSpan w:val="3"/>
            <w:shd w:val="clear" w:color="auto" w:fill="F5F5F5"/>
          </w:tcPr>
          <w:p>
            <w:pPr>
              <w:jc w:val="right"/>
              <w:ind w:right="200"/>
              <w:spacing w:after="0"/>
              <w:rPr>
                <w:sz w:val="20"/>
                <w:szCs w:val="20"/>
                <w:color w:val="auto"/>
              </w:rPr>
            </w:pPr>
            <w:r>
              <w:rPr>
                <w:rFonts w:ascii="Arial" w:cs="Arial" w:eastAsia="Arial" w:hAnsi="Arial"/>
                <w:sz w:val="14"/>
                <w:szCs w:val="14"/>
                <w:color w:val="auto"/>
              </w:rPr>
              <w:t>15.2 %  $</w:t>
            </w:r>
          </w:p>
        </w:tc>
        <w:tc>
          <w:tcPr>
            <w:tcW w:w="900" w:type="dxa"/>
            <w:vAlign w:val="bottom"/>
            <w:shd w:val="clear" w:color="auto" w:fill="F5F5F5"/>
          </w:tcPr>
          <w:p>
            <w:pPr>
              <w:jc w:val="right"/>
              <w:ind w:right="108"/>
              <w:spacing w:after="0"/>
              <w:rPr>
                <w:sz w:val="20"/>
                <w:szCs w:val="20"/>
                <w:color w:val="auto"/>
              </w:rPr>
            </w:pPr>
            <w:r>
              <w:rPr>
                <w:rFonts w:ascii="Arial" w:cs="Arial" w:eastAsia="Arial" w:hAnsi="Arial"/>
                <w:sz w:val="14"/>
                <w:szCs w:val="14"/>
                <w:color w:val="auto"/>
              </w:rPr>
              <w:t>681,176</w:t>
            </w:r>
          </w:p>
        </w:tc>
        <w:tc>
          <w:tcPr>
            <w:tcW w:w="12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15.9 %</w:t>
            </w:r>
          </w:p>
        </w:tc>
        <w:tc>
          <w:tcPr>
            <w:tcW w:w="120" w:type="dxa"/>
            <w:vAlign w:val="bottom"/>
            <w:shd w:val="clear" w:color="auto" w:fill="F5F5F5"/>
          </w:tcPr>
          <w:p>
            <w:pPr>
              <w:spacing w:after="0"/>
              <w:rPr>
                <w:sz w:val="17"/>
                <w:szCs w:val="17"/>
                <w:color w:val="auto"/>
              </w:rPr>
            </w:pPr>
          </w:p>
        </w:tc>
        <w:tc>
          <w:tcPr>
            <w:tcW w:w="1080" w:type="dxa"/>
            <w:vAlign w:val="bottom"/>
            <w:shd w:val="clear" w:color="auto" w:fill="F5F5F5"/>
          </w:tcPr>
          <w:p>
            <w:pPr>
              <w:jc w:val="right"/>
              <w:ind w:right="348"/>
              <w:spacing w:after="0"/>
              <w:rPr>
                <w:sz w:val="20"/>
                <w:szCs w:val="20"/>
                <w:color w:val="auto"/>
              </w:rPr>
            </w:pPr>
            <w:r>
              <w:rPr>
                <w:rFonts w:ascii="Arial" w:cs="Arial" w:eastAsia="Arial" w:hAnsi="Arial"/>
                <w:sz w:val="14"/>
                <w:szCs w:val="14"/>
                <w:color w:val="auto"/>
              </w:rPr>
              <w:t>(70)</w:t>
            </w:r>
          </w:p>
        </w:tc>
      </w:tr>
    </w:tbl>
    <w:p>
      <w:pPr>
        <w:spacing w:after="0" w:line="32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For Fiscal 2024, general and administrative expense increased by $69 million compared to Fiscal 2023. General and administrative expense, as a percentage of net sales decreased 70 basis points as compared to Fiscal 2023. The decrease in expense rate was primarily driven by expense leverage from higher net sales, including 100 basis points in employee compensation costs, partially offset by 40 basis points in information technology expense.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Other Operating Income, Net</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color w:val="auto"/>
              </w:rPr>
              <w:t>Fiscal 2024</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color w:val="auto"/>
              </w:rPr>
              <w:t>Fiscal 2023</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8"/>
        </w:trPr>
        <w:tc>
          <w:tcPr>
            <w:tcW w:w="52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 of Net Sales</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color w:val="auto"/>
              </w:rPr>
              <w:t>% of Net Sales</w:t>
            </w:r>
          </w:p>
        </w:tc>
        <w:tc>
          <w:tcPr>
            <w:tcW w:w="1100" w:type="dxa"/>
            <w:vAlign w:val="bottom"/>
          </w:tcPr>
          <w:p>
            <w:pPr>
              <w:jc w:val="center"/>
              <w:spacing w:after="0"/>
              <w:rPr>
                <w:sz w:val="20"/>
                <w:szCs w:val="20"/>
                <w:color w:val="auto"/>
              </w:rPr>
            </w:pPr>
            <w:r>
              <w:rPr>
                <w:rFonts w:ascii="Arial" w:cs="Arial" w:eastAsia="Arial" w:hAnsi="Arial"/>
                <w:sz w:val="14"/>
                <w:szCs w:val="14"/>
                <w:color w:val="auto"/>
              </w:rPr>
              <w:t>BPS Change</w:t>
            </w:r>
          </w:p>
        </w:tc>
      </w:tr>
      <w:tr>
        <w:trPr>
          <w:trHeight w:val="200"/>
        </w:trPr>
        <w:tc>
          <w:tcPr>
            <w:tcW w:w="5260" w:type="dxa"/>
            <w:vAlign w:val="bottom"/>
            <w:tcBorders>
              <w:top w:val="single" w:sz="8" w:color="F5F5F5"/>
            </w:tcBorders>
            <w:shd w:val="clear" w:color="auto" w:fill="F5F5F5"/>
          </w:tcPr>
          <w:p>
            <w:pPr>
              <w:ind w:left="20"/>
              <w:spacing w:after="0"/>
              <w:rPr>
                <w:sz w:val="20"/>
                <w:szCs w:val="20"/>
                <w:color w:val="auto"/>
              </w:rPr>
            </w:pPr>
            <w:r>
              <w:rPr>
                <w:rFonts w:ascii="Arial" w:cs="Arial" w:eastAsia="Arial" w:hAnsi="Arial"/>
                <w:sz w:val="14"/>
                <w:szCs w:val="14"/>
                <w:color w:val="auto"/>
              </w:rPr>
              <w:t>Other operating income, net</w:t>
            </w:r>
          </w:p>
        </w:tc>
        <w:tc>
          <w:tcPr>
            <w:tcW w:w="380" w:type="dxa"/>
            <w:vAlign w:val="bottom"/>
            <w:tcBorders>
              <w:top w:val="single" w:sz="8" w:color="F5F5F5"/>
            </w:tcBorders>
            <w:shd w:val="clear" w:color="auto" w:fill="F5F5F5"/>
          </w:tcPr>
          <w:p>
            <w:pPr>
              <w:jc w:val="right"/>
              <w:ind w:right="20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F5F5F5"/>
            </w:tcBorders>
            <w:shd w:val="clear" w:color="auto" w:fill="F5F5F5"/>
          </w:tcPr>
          <w:p>
            <w:pPr>
              <w:jc w:val="right"/>
              <w:ind w:right="88"/>
              <w:spacing w:after="0"/>
              <w:rPr>
                <w:sz w:val="20"/>
                <w:szCs w:val="20"/>
                <w:color w:val="auto"/>
              </w:rPr>
            </w:pPr>
            <w:r>
              <w:rPr>
                <w:rFonts w:ascii="Arial" w:cs="Arial" w:eastAsia="Arial" w:hAnsi="Arial"/>
                <w:sz w:val="14"/>
                <w:szCs w:val="14"/>
                <w:color w:val="auto"/>
              </w:rPr>
              <w:t>6,632</w:t>
            </w:r>
          </w:p>
        </w:tc>
        <w:tc>
          <w:tcPr>
            <w:tcW w:w="1100" w:type="dxa"/>
            <w:vAlign w:val="bottom"/>
            <w:tcBorders>
              <w:top w:val="single" w:sz="8" w:color="auto"/>
            </w:tcBorders>
            <w:shd w:val="clear" w:color="auto" w:fill="F5F5F5"/>
          </w:tcPr>
          <w:p>
            <w:pPr>
              <w:jc w:val="right"/>
              <w:ind w:right="308"/>
              <w:spacing w:after="0"/>
              <w:rPr>
                <w:sz w:val="20"/>
                <w:szCs w:val="20"/>
                <w:color w:val="auto"/>
              </w:rPr>
            </w:pPr>
            <w:r>
              <w:rPr>
                <w:rFonts w:ascii="Arial" w:cs="Arial" w:eastAsia="Arial" w:hAnsi="Arial"/>
                <w:sz w:val="14"/>
                <w:szCs w:val="14"/>
                <w:color w:val="auto"/>
              </w:rPr>
              <w:t>0.1%</w:t>
            </w:r>
          </w:p>
        </w:tc>
        <w:tc>
          <w:tcPr>
            <w:tcW w:w="500" w:type="dxa"/>
            <w:vAlign w:val="bottom"/>
            <w:tcBorders>
              <w:top w:val="single" w:sz="8" w:color="F5F5F5"/>
            </w:tcBorders>
            <w:gridSpan w:val="2"/>
            <w:shd w:val="clear" w:color="auto" w:fill="F5F5F5"/>
          </w:tcPr>
          <w:p>
            <w:pPr>
              <w:jc w:val="right"/>
              <w:ind w:right="30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F5F5F5"/>
            </w:tcBorders>
            <w:shd w:val="clear" w:color="auto" w:fill="F5F5F5"/>
          </w:tcPr>
          <w:p>
            <w:pPr>
              <w:jc w:val="right"/>
              <w:ind w:right="108"/>
              <w:spacing w:after="0"/>
              <w:rPr>
                <w:sz w:val="20"/>
                <w:szCs w:val="20"/>
                <w:color w:val="auto"/>
              </w:rPr>
            </w:pPr>
            <w:r>
              <w:rPr>
                <w:rFonts w:ascii="Arial" w:cs="Arial" w:eastAsia="Arial" w:hAnsi="Arial"/>
                <w:sz w:val="14"/>
                <w:szCs w:val="14"/>
                <w:color w:val="auto"/>
              </w:rPr>
              <w:t>5,873</w:t>
            </w:r>
          </w:p>
        </w:tc>
        <w:tc>
          <w:tcPr>
            <w:tcW w:w="1120" w:type="dxa"/>
            <w:vAlign w:val="bottom"/>
            <w:tcBorders>
              <w:top w:val="single" w:sz="8" w:color="auto"/>
            </w:tcBorders>
            <w:shd w:val="clear" w:color="auto" w:fill="F5F5F5"/>
          </w:tcPr>
          <w:p>
            <w:pPr>
              <w:jc w:val="right"/>
              <w:ind w:right="328"/>
              <w:spacing w:after="0"/>
              <w:rPr>
                <w:sz w:val="20"/>
                <w:szCs w:val="20"/>
                <w:color w:val="auto"/>
              </w:rPr>
            </w:pPr>
            <w:r>
              <w:rPr>
                <w:rFonts w:ascii="Arial" w:cs="Arial" w:eastAsia="Arial" w:hAnsi="Arial"/>
                <w:sz w:val="14"/>
                <w:szCs w:val="14"/>
                <w:color w:val="auto"/>
              </w:rPr>
              <w:t>0.1%</w:t>
            </w:r>
          </w:p>
        </w:tc>
        <w:tc>
          <w:tcPr>
            <w:tcW w:w="100" w:type="dxa"/>
            <w:vAlign w:val="bottom"/>
            <w:tcBorders>
              <w:top w:val="single" w:sz="8" w:color="F5F5F5"/>
            </w:tcBorders>
            <w:shd w:val="clear" w:color="auto" w:fill="F5F5F5"/>
          </w:tcPr>
          <w:p>
            <w:pPr>
              <w:spacing w:after="0"/>
              <w:rPr>
                <w:sz w:val="17"/>
                <w:szCs w:val="17"/>
                <w:color w:val="auto"/>
              </w:rPr>
            </w:pPr>
          </w:p>
        </w:tc>
        <w:tc>
          <w:tcPr>
            <w:tcW w:w="1100" w:type="dxa"/>
            <w:vAlign w:val="bottom"/>
            <w:tcBorders>
              <w:top w:val="single" w:sz="8" w:color="auto"/>
            </w:tcBorders>
            <w:shd w:val="clear" w:color="auto" w:fill="F5F5F5"/>
          </w:tcPr>
          <w:p>
            <w:pPr>
              <w:jc w:val="center"/>
              <w:spacing w:after="0"/>
              <w:rPr>
                <w:sz w:val="20"/>
                <w:szCs w:val="20"/>
                <w:color w:val="auto"/>
              </w:rPr>
            </w:pPr>
            <w:r>
              <w:rPr>
                <w:rFonts w:ascii="Arial" w:cs="Arial" w:eastAsia="Arial" w:hAnsi="Arial"/>
                <w:sz w:val="14"/>
                <w:szCs w:val="14"/>
                <w:color w:val="auto"/>
                <w:w w:val="99"/>
              </w:rPr>
              <w:t>—</w:t>
            </w:r>
          </w:p>
        </w:tc>
      </w:tr>
    </w:tbl>
    <w:p>
      <w:pPr>
        <w:spacing w:after="0" w:line="3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 Fiscal 2024, other operating income, net, increased as compared to Fiscal 2023, primarily due to $0.7 million foreign currency gains recognized in Fiscal 2024.</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Operating Income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748"/>
              <w:spacing w:after="0"/>
              <w:rPr>
                <w:sz w:val="20"/>
                <w:szCs w:val="20"/>
                <w:color w:val="auto"/>
              </w:rPr>
            </w:pPr>
            <w:r>
              <w:rPr>
                <w:rFonts w:ascii="Arial" w:cs="Arial" w:eastAsia="Arial" w:hAnsi="Arial"/>
                <w:sz w:val="14"/>
                <w:szCs w:val="14"/>
                <w:color w:val="auto"/>
              </w:rPr>
              <w:t>Fiscal 2024</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768"/>
              <w:spacing w:after="0"/>
              <w:rPr>
                <w:sz w:val="20"/>
                <w:szCs w:val="20"/>
                <w:color w:val="auto"/>
              </w:rPr>
            </w:pPr>
            <w:r>
              <w:rPr>
                <w:rFonts w:ascii="Arial" w:cs="Arial" w:eastAsia="Arial" w:hAnsi="Arial"/>
                <w:sz w:val="14"/>
                <w:szCs w:val="14"/>
                <w:color w:val="auto"/>
              </w:rPr>
              <w:t>Fiscal 2023</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9"/>
        </w:trPr>
        <w:tc>
          <w:tcPr>
            <w:tcW w:w="5120" w:type="dxa"/>
            <w:vAlign w:val="bottom"/>
            <w:tcBorders>
              <w:bottom w:val="single" w:sz="8" w:color="F5F5F5"/>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F5F5F5"/>
            </w:tcBorders>
          </w:tcPr>
          <w:p>
            <w:pPr>
              <w:spacing w:after="0"/>
              <w:rPr>
                <w:sz w:val="17"/>
                <w:szCs w:val="17"/>
                <w:color w:val="auto"/>
              </w:rPr>
            </w:pPr>
          </w:p>
        </w:tc>
        <w:tc>
          <w:tcPr>
            <w:tcW w:w="860" w:type="dxa"/>
            <w:vAlign w:val="bottom"/>
            <w:tcBorders>
              <w:bottom w:val="single" w:sz="8" w:color="F5F5F5"/>
            </w:tcBorders>
          </w:tcPr>
          <w:p>
            <w:pPr>
              <w:spacing w:after="0"/>
              <w:rPr>
                <w:sz w:val="17"/>
                <w:szCs w:val="17"/>
                <w:color w:val="auto"/>
              </w:rPr>
            </w:pPr>
          </w:p>
        </w:tc>
        <w:tc>
          <w:tcPr>
            <w:tcW w:w="100" w:type="dxa"/>
            <w:vAlign w:val="bottom"/>
            <w:tcBorders>
              <w:bottom w:val="single" w:sz="8" w:color="F5F5F5"/>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of Net Sales</w:t>
            </w:r>
            <w:r>
              <w:rPr>
                <w:rFonts w:ascii="Arial" w:cs="Arial" w:eastAsia="Arial" w:hAnsi="Arial"/>
                <w:sz w:val="9"/>
                <w:szCs w:val="9"/>
                <w:color w:val="auto"/>
              </w:rPr>
              <w:t>(1)</w:t>
            </w:r>
          </w:p>
        </w:tc>
        <w:tc>
          <w:tcPr>
            <w:tcW w:w="120" w:type="dxa"/>
            <w:vAlign w:val="bottom"/>
            <w:tcBorders>
              <w:bottom w:val="single" w:sz="8" w:color="F5F5F5"/>
            </w:tcBorders>
          </w:tcPr>
          <w:p>
            <w:pPr>
              <w:spacing w:after="0"/>
              <w:rPr>
                <w:sz w:val="17"/>
                <w:szCs w:val="17"/>
                <w:color w:val="auto"/>
              </w:rPr>
            </w:pPr>
          </w:p>
        </w:tc>
        <w:tc>
          <w:tcPr>
            <w:tcW w:w="260" w:type="dxa"/>
            <w:vAlign w:val="bottom"/>
            <w:tcBorders>
              <w:bottom w:val="single" w:sz="8" w:color="F5F5F5"/>
            </w:tcBorders>
          </w:tcPr>
          <w:p>
            <w:pPr>
              <w:spacing w:after="0"/>
              <w:rPr>
                <w:sz w:val="17"/>
                <w:szCs w:val="17"/>
                <w:color w:val="auto"/>
              </w:rPr>
            </w:pPr>
          </w:p>
        </w:tc>
        <w:tc>
          <w:tcPr>
            <w:tcW w:w="820" w:type="dxa"/>
            <w:vAlign w:val="bottom"/>
            <w:tcBorders>
              <w:bottom w:val="single" w:sz="8" w:color="F5F5F5"/>
            </w:tcBorders>
          </w:tcPr>
          <w:p>
            <w:pPr>
              <w:spacing w:after="0"/>
              <w:rPr>
                <w:sz w:val="17"/>
                <w:szCs w:val="17"/>
                <w:color w:val="auto"/>
              </w:rPr>
            </w:pPr>
          </w:p>
        </w:tc>
        <w:tc>
          <w:tcPr>
            <w:tcW w:w="120" w:type="dxa"/>
            <w:vAlign w:val="bottom"/>
            <w:tcBorders>
              <w:bottom w:val="single" w:sz="8" w:color="F5F5F5"/>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of Net Sales</w:t>
            </w:r>
            <w:r>
              <w:rPr>
                <w:rFonts w:ascii="Arial" w:cs="Arial" w:eastAsia="Arial" w:hAnsi="Arial"/>
                <w:sz w:val="9"/>
                <w:szCs w:val="9"/>
                <w:color w:val="auto"/>
              </w:rPr>
              <w:t>(1)</w:t>
            </w:r>
          </w:p>
        </w:tc>
        <w:tc>
          <w:tcPr>
            <w:tcW w:w="100" w:type="dxa"/>
            <w:vAlign w:val="bottom"/>
            <w:tcBorders>
              <w:bottom w:val="single" w:sz="8" w:color="F5F5F5"/>
            </w:tcBorders>
          </w:tcPr>
          <w:p>
            <w:pPr>
              <w:spacing w:after="0"/>
              <w:rPr>
                <w:sz w:val="17"/>
                <w:szCs w:val="17"/>
                <w:color w:val="auto"/>
              </w:rPr>
            </w:pP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BPS Change</w:t>
            </w:r>
          </w:p>
        </w:tc>
      </w:tr>
      <w:tr>
        <w:trPr>
          <w:trHeight w:val="200"/>
        </w:trPr>
        <w:tc>
          <w:tcPr>
            <w:tcW w:w="5120" w:type="dxa"/>
            <w:vAlign w:val="bottom"/>
            <w:shd w:val="clear" w:color="auto" w:fill="F5F5F5"/>
          </w:tcPr>
          <w:p>
            <w:pPr>
              <w:ind w:left="240"/>
              <w:spacing w:after="0"/>
              <w:rPr>
                <w:sz w:val="20"/>
                <w:szCs w:val="20"/>
                <w:color w:val="auto"/>
              </w:rPr>
            </w:pPr>
            <w:r>
              <w:rPr>
                <w:rFonts w:ascii="Arial" w:cs="Arial" w:eastAsia="Arial" w:hAnsi="Arial"/>
                <w:sz w:val="14"/>
                <w:szCs w:val="14"/>
                <w:color w:val="auto"/>
              </w:rPr>
              <w:t>Americas</w:t>
            </w:r>
          </w:p>
        </w:tc>
        <w:tc>
          <w:tcPr>
            <w:tcW w:w="240" w:type="dxa"/>
            <w:vAlign w:val="bottom"/>
            <w:shd w:val="clear" w:color="auto" w:fill="F5F5F5"/>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1,210,493</w:t>
            </w:r>
          </w:p>
        </w:tc>
        <w:tc>
          <w:tcPr>
            <w:tcW w:w="1300" w:type="dxa"/>
            <w:vAlign w:val="bottom"/>
            <w:gridSpan w:val="2"/>
            <w:shd w:val="clear" w:color="auto" w:fill="F5F5F5"/>
          </w:tcPr>
          <w:p>
            <w:pPr>
              <w:jc w:val="right"/>
              <w:spacing w:after="0"/>
              <w:rPr>
                <w:sz w:val="20"/>
                <w:szCs w:val="20"/>
                <w:color w:val="auto"/>
              </w:rPr>
            </w:pPr>
            <w:r>
              <w:rPr>
                <w:rFonts w:ascii="Arial" w:cs="Arial" w:eastAsia="Arial" w:hAnsi="Arial"/>
                <w:sz w:val="14"/>
                <w:szCs w:val="14"/>
                <w:color w:val="auto"/>
              </w:rPr>
              <w:t>24.5 %</w:t>
            </w:r>
          </w:p>
        </w:tc>
        <w:tc>
          <w:tcPr>
            <w:tcW w:w="120" w:type="dxa"/>
            <w:vAlign w:val="bottom"/>
            <w:shd w:val="clear" w:color="auto" w:fill="F5F5F5"/>
          </w:tcPr>
          <w:p>
            <w:pPr>
              <w:spacing w:after="0"/>
              <w:rPr>
                <w:sz w:val="17"/>
                <w:szCs w:val="17"/>
                <w:color w:val="auto"/>
              </w:rPr>
            </w:pPr>
          </w:p>
        </w:tc>
        <w:tc>
          <w:tcPr>
            <w:tcW w:w="260" w:type="dxa"/>
            <w:vAlign w:val="bottom"/>
            <w:shd w:val="clear" w:color="auto" w:fill="F5F5F5"/>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shd w:val="clear" w:color="auto" w:fill="F5F5F5"/>
          </w:tcPr>
          <w:p>
            <w:pPr>
              <w:jc w:val="right"/>
              <w:spacing w:after="0"/>
              <w:rPr>
                <w:sz w:val="20"/>
                <w:szCs w:val="20"/>
                <w:color w:val="auto"/>
              </w:rPr>
            </w:pPr>
            <w:r>
              <w:rPr>
                <w:rFonts w:ascii="Arial" w:cs="Arial" w:eastAsia="Arial" w:hAnsi="Arial"/>
                <w:sz w:val="14"/>
                <w:szCs w:val="14"/>
                <w:color w:val="auto"/>
              </w:rPr>
              <w:t>940,292</w:t>
            </w:r>
          </w:p>
        </w:tc>
        <w:tc>
          <w:tcPr>
            <w:tcW w:w="1320" w:type="dxa"/>
            <w:vAlign w:val="bottom"/>
            <w:gridSpan w:val="2"/>
            <w:shd w:val="clear" w:color="auto" w:fill="F5F5F5"/>
          </w:tcPr>
          <w:p>
            <w:pPr>
              <w:jc w:val="right"/>
              <w:spacing w:after="0"/>
              <w:rPr>
                <w:sz w:val="20"/>
                <w:szCs w:val="20"/>
                <w:color w:val="auto"/>
              </w:rPr>
            </w:pPr>
            <w:r>
              <w:rPr>
                <w:rFonts w:ascii="Arial" w:cs="Arial" w:eastAsia="Arial" w:hAnsi="Arial"/>
                <w:sz w:val="14"/>
                <w:szCs w:val="14"/>
                <w:color w:val="auto"/>
              </w:rPr>
              <w:t>22.0 %</w:t>
            </w:r>
          </w:p>
        </w:tc>
        <w:tc>
          <w:tcPr>
            <w:tcW w:w="100" w:type="dxa"/>
            <w:vAlign w:val="bottom"/>
            <w:shd w:val="clear" w:color="auto" w:fill="F5F5F5"/>
          </w:tcPr>
          <w:p>
            <w:pPr>
              <w:spacing w:after="0"/>
              <w:rPr>
                <w:sz w:val="17"/>
                <w:szCs w:val="17"/>
                <w:color w:val="auto"/>
              </w:rPr>
            </w:pPr>
          </w:p>
        </w:tc>
        <w:tc>
          <w:tcPr>
            <w:tcW w:w="1100" w:type="dxa"/>
            <w:vAlign w:val="bottom"/>
            <w:shd w:val="clear" w:color="auto" w:fill="F5F5F5"/>
          </w:tcPr>
          <w:p>
            <w:pPr>
              <w:jc w:val="center"/>
              <w:spacing w:after="0"/>
              <w:rPr>
                <w:sz w:val="20"/>
                <w:szCs w:val="20"/>
                <w:color w:val="auto"/>
              </w:rPr>
            </w:pPr>
            <w:r>
              <w:rPr>
                <w:rFonts w:ascii="Arial" w:cs="Arial" w:eastAsia="Arial" w:hAnsi="Arial"/>
                <w:sz w:val="14"/>
                <w:szCs w:val="14"/>
                <w:color w:val="auto"/>
              </w:rPr>
              <w:t>250</w:t>
            </w:r>
          </w:p>
        </w:tc>
      </w:tr>
      <w:tr>
        <w:trPr>
          <w:trHeight w:val="198"/>
        </w:trPr>
        <w:tc>
          <w:tcPr>
            <w:tcW w:w="5120" w:type="dxa"/>
            <w:vAlign w:val="bottom"/>
          </w:tcPr>
          <w:p>
            <w:pPr>
              <w:ind w:left="240"/>
              <w:spacing w:after="0"/>
              <w:rPr>
                <w:sz w:val="20"/>
                <w:szCs w:val="20"/>
                <w:color w:val="auto"/>
              </w:rPr>
            </w:pPr>
            <w:r>
              <w:rPr>
                <w:rFonts w:ascii="Arial" w:cs="Arial" w:eastAsia="Arial" w:hAnsi="Arial"/>
                <w:sz w:val="14"/>
                <w:szCs w:val="14"/>
                <w:color w:val="auto"/>
              </w:rPr>
              <w:t>EMEA</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109,821</w:t>
            </w:r>
          </w:p>
        </w:tc>
        <w:tc>
          <w:tcPr>
            <w:tcW w:w="1300" w:type="dxa"/>
            <w:vAlign w:val="bottom"/>
            <w:gridSpan w:val="2"/>
          </w:tcPr>
          <w:p>
            <w:pPr>
              <w:jc w:val="right"/>
              <w:ind w:right="10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81,216</w:t>
            </w:r>
          </w:p>
        </w:tc>
        <w:tc>
          <w:tcPr>
            <w:tcW w:w="1320" w:type="dxa"/>
            <w:vAlign w:val="bottom"/>
            <w:gridSpan w:val="2"/>
          </w:tcPr>
          <w:p>
            <w:pPr>
              <w:jc w:val="right"/>
              <w:ind w:right="10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30</w:t>
            </w:r>
          </w:p>
        </w:tc>
      </w:tr>
      <w:tr>
        <w:trPr>
          <w:trHeight w:val="207"/>
        </w:trPr>
        <w:tc>
          <w:tcPr>
            <w:tcW w:w="5120" w:type="dxa"/>
            <w:vAlign w:val="bottom"/>
            <w:shd w:val="clear" w:color="auto" w:fill="F5F5F5"/>
          </w:tcPr>
          <w:p>
            <w:pPr>
              <w:ind w:left="240"/>
              <w:spacing w:after="0"/>
              <w:rPr>
                <w:sz w:val="20"/>
                <w:szCs w:val="20"/>
                <w:color w:val="auto"/>
              </w:rPr>
            </w:pPr>
            <w:r>
              <w:rPr>
                <w:rFonts w:ascii="Arial" w:cs="Arial" w:eastAsia="Arial" w:hAnsi="Arial"/>
                <w:sz w:val="14"/>
                <w:szCs w:val="14"/>
                <w:color w:val="auto"/>
              </w:rPr>
              <w:t>APAC</w:t>
            </w:r>
          </w:p>
        </w:tc>
        <w:tc>
          <w:tcPr>
            <w:tcW w:w="240" w:type="dxa"/>
            <w:vAlign w:val="bottom"/>
            <w:shd w:val="clear" w:color="auto" w:fill="F5F5F5"/>
          </w:tcPr>
          <w:p>
            <w:pPr>
              <w:spacing w:after="0"/>
              <w:rPr>
                <w:sz w:val="17"/>
                <w:szCs w:val="17"/>
                <w:color w:val="auto"/>
              </w:rPr>
            </w:pPr>
          </w:p>
        </w:tc>
        <w:tc>
          <w:tcPr>
            <w:tcW w:w="86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(12,011)</w:t>
            </w:r>
          </w:p>
        </w:tc>
        <w:tc>
          <w:tcPr>
            <w:tcW w:w="1300" w:type="dxa"/>
            <w:vAlign w:val="bottom"/>
            <w:gridSpan w:val="2"/>
            <w:shd w:val="clear" w:color="auto" w:fill="F5F5F5"/>
          </w:tcPr>
          <w:p>
            <w:pPr>
              <w:jc w:val="right"/>
              <w:ind w:right="68"/>
              <w:spacing w:after="0"/>
              <w:rPr>
                <w:sz w:val="20"/>
                <w:szCs w:val="20"/>
                <w:color w:val="auto"/>
              </w:rPr>
            </w:pPr>
            <w:r>
              <w:rPr>
                <w:rFonts w:ascii="Arial" w:cs="Arial" w:eastAsia="Arial" w:hAnsi="Arial"/>
                <w:sz w:val="14"/>
                <w:szCs w:val="14"/>
                <w:color w:val="auto"/>
              </w:rPr>
              <w:t>(0.2)</w:t>
            </w:r>
          </w:p>
        </w:tc>
        <w:tc>
          <w:tcPr>
            <w:tcW w:w="120" w:type="dxa"/>
            <w:vAlign w:val="bottom"/>
            <w:shd w:val="clear" w:color="auto" w:fill="F5F5F5"/>
          </w:tcPr>
          <w:p>
            <w:pPr>
              <w:spacing w:after="0"/>
              <w:rPr>
                <w:sz w:val="17"/>
                <w:szCs w:val="17"/>
                <w:color w:val="auto"/>
              </w:rPr>
            </w:pPr>
          </w:p>
        </w:tc>
        <w:tc>
          <w:tcPr>
            <w:tcW w:w="260" w:type="dxa"/>
            <w:vAlign w:val="bottom"/>
            <w:shd w:val="clear" w:color="auto" w:fill="F5F5F5"/>
          </w:tcPr>
          <w:p>
            <w:pPr>
              <w:spacing w:after="0"/>
              <w:rPr>
                <w:sz w:val="17"/>
                <w:szCs w:val="17"/>
                <w:color w:val="auto"/>
              </w:rPr>
            </w:pPr>
          </w:p>
        </w:tc>
        <w:tc>
          <w:tcPr>
            <w:tcW w:w="82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(10,558)</w:t>
            </w:r>
          </w:p>
        </w:tc>
        <w:tc>
          <w:tcPr>
            <w:tcW w:w="1320" w:type="dxa"/>
            <w:vAlign w:val="bottom"/>
            <w:gridSpan w:val="2"/>
            <w:shd w:val="clear" w:color="auto" w:fill="F5F5F5"/>
          </w:tcPr>
          <w:p>
            <w:pPr>
              <w:jc w:val="right"/>
              <w:ind w:right="68"/>
              <w:spacing w:after="0"/>
              <w:rPr>
                <w:sz w:val="20"/>
                <w:szCs w:val="20"/>
                <w:color w:val="auto"/>
              </w:rPr>
            </w:pPr>
            <w:r>
              <w:rPr>
                <w:rFonts w:ascii="Arial" w:cs="Arial" w:eastAsia="Arial" w:hAnsi="Arial"/>
                <w:sz w:val="14"/>
                <w:szCs w:val="14"/>
                <w:color w:val="auto"/>
              </w:rPr>
              <w:t>(0.2)</w:t>
            </w:r>
          </w:p>
        </w:tc>
        <w:tc>
          <w:tcPr>
            <w:tcW w:w="100" w:type="dxa"/>
            <w:vAlign w:val="bottom"/>
            <w:shd w:val="clear" w:color="auto" w:fill="F5F5F5"/>
          </w:tcPr>
          <w:p>
            <w:pPr>
              <w:spacing w:after="0"/>
              <w:rPr>
                <w:sz w:val="17"/>
                <w:szCs w:val="17"/>
                <w:color w:val="auto"/>
              </w:rPr>
            </w:pPr>
          </w:p>
        </w:tc>
        <w:tc>
          <w:tcPr>
            <w:tcW w:w="1100" w:type="dxa"/>
            <w:vAlign w:val="bottom"/>
            <w:shd w:val="clear" w:color="auto" w:fill="F5F5F5"/>
          </w:tcPr>
          <w:p>
            <w:pPr>
              <w:jc w:val="center"/>
              <w:spacing w:after="0"/>
              <w:rPr>
                <w:sz w:val="20"/>
                <w:szCs w:val="20"/>
                <w:color w:val="auto"/>
              </w:rPr>
            </w:pPr>
            <w:r>
              <w:rPr>
                <w:rFonts w:ascii="Arial" w:cs="Arial" w:eastAsia="Arial" w:hAnsi="Arial"/>
                <w:sz w:val="14"/>
                <w:szCs w:val="14"/>
                <w:color w:val="auto"/>
                <w:w w:val="99"/>
              </w:rPr>
              <w:t>—</w:t>
            </w:r>
          </w:p>
        </w:tc>
      </w:tr>
      <w:tr>
        <w:trPr>
          <w:trHeight w:val="198"/>
        </w:trPr>
        <w:tc>
          <w:tcPr>
            <w:tcW w:w="5120" w:type="dxa"/>
            <w:vAlign w:val="bottom"/>
            <w:tcBorders>
              <w:bottom w:val="single" w:sz="8" w:color="F5F5F5"/>
            </w:tcBorders>
          </w:tcPr>
          <w:p>
            <w:pPr>
              <w:ind w:left="240"/>
              <w:spacing w:after="0"/>
              <w:rPr>
                <w:sz w:val="20"/>
                <w:szCs w:val="20"/>
                <w:color w:val="auto"/>
              </w:rPr>
            </w:pPr>
            <w:r>
              <w:rPr>
                <w:rFonts w:ascii="Arial" w:cs="Arial" w:eastAsia="Arial" w:hAnsi="Arial"/>
                <w:sz w:val="14"/>
                <w:szCs w:val="14"/>
                <w:color w:val="auto"/>
              </w:rPr>
              <w:t>Operating loss not attributed to segments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(567,483)</w:t>
            </w:r>
          </w:p>
        </w:tc>
        <w:tc>
          <w:tcPr>
            <w:tcW w:w="1300" w:type="dxa"/>
            <w:vAlign w:val="bottom"/>
            <w:tcBorders>
              <w:bottom w:val="single" w:sz="8" w:color="F5F5F5"/>
            </w:tcBorders>
            <w:gridSpan w:val="2"/>
          </w:tcPr>
          <w:p>
            <w:pPr>
              <w:jc w:val="right"/>
              <w:ind w:right="68"/>
              <w:spacing w:after="0"/>
              <w:rPr>
                <w:sz w:val="20"/>
                <w:szCs w:val="20"/>
                <w:color w:val="auto"/>
              </w:rPr>
            </w:pPr>
            <w:r>
              <w:rPr>
                <w:rFonts w:ascii="Arial" w:cs="Arial" w:eastAsia="Arial" w:hAnsi="Arial"/>
                <w:sz w:val="14"/>
                <w:szCs w:val="14"/>
                <w:color w:val="auto"/>
              </w:rPr>
              <w:t>(11.5)</w:t>
            </w:r>
          </w:p>
        </w:tc>
        <w:tc>
          <w:tcPr>
            <w:tcW w:w="120" w:type="dxa"/>
            <w:vAlign w:val="bottom"/>
            <w:tcBorders>
              <w:bottom w:val="single" w:sz="8" w:color="F5F5F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(526,279)</w:t>
            </w:r>
          </w:p>
        </w:tc>
        <w:tc>
          <w:tcPr>
            <w:tcW w:w="1320" w:type="dxa"/>
            <w:vAlign w:val="bottom"/>
            <w:tcBorders>
              <w:bottom w:val="single" w:sz="8" w:color="F5F5F5"/>
            </w:tcBorders>
            <w:gridSpan w:val="2"/>
          </w:tcPr>
          <w:p>
            <w:pPr>
              <w:jc w:val="right"/>
              <w:ind w:right="68"/>
              <w:spacing w:after="0"/>
              <w:rPr>
                <w:sz w:val="20"/>
                <w:szCs w:val="20"/>
                <w:color w:val="auto"/>
              </w:rPr>
            </w:pPr>
            <w:r>
              <w:rPr>
                <w:rFonts w:ascii="Arial" w:cs="Arial" w:eastAsia="Arial" w:hAnsi="Arial"/>
                <w:sz w:val="14"/>
                <w:szCs w:val="14"/>
                <w:color w:val="auto"/>
              </w:rPr>
              <w:t>(12.3)</w:t>
            </w:r>
          </w:p>
        </w:tc>
        <w:tc>
          <w:tcPr>
            <w:tcW w:w="100" w:type="dxa"/>
            <w:vAlign w:val="bottom"/>
            <w:tcBorders>
              <w:bottom w:val="single" w:sz="8" w:color="F5F5F5"/>
            </w:tcBorders>
          </w:tcPr>
          <w:p>
            <w:pPr>
              <w:spacing w:after="0"/>
              <w:rPr>
                <w:sz w:val="17"/>
                <w:szCs w:val="17"/>
                <w:color w:val="auto"/>
              </w:rPr>
            </w:pPr>
          </w:p>
        </w:tc>
        <w:tc>
          <w:tcPr>
            <w:tcW w:w="1100" w:type="dxa"/>
            <w:vAlign w:val="bottom"/>
            <w:tcBorders>
              <w:bottom w:val="single" w:sz="8" w:color="F5F5F5"/>
            </w:tcBorders>
          </w:tcPr>
          <w:p>
            <w:pPr>
              <w:jc w:val="center"/>
              <w:spacing w:after="0"/>
              <w:rPr>
                <w:sz w:val="20"/>
                <w:szCs w:val="20"/>
                <w:color w:val="auto"/>
              </w:rPr>
            </w:pPr>
            <w:r>
              <w:rPr>
                <w:rFonts w:ascii="Arial" w:cs="Arial" w:eastAsia="Arial" w:hAnsi="Arial"/>
                <w:sz w:val="14"/>
                <w:szCs w:val="14"/>
                <w:color w:val="auto"/>
              </w:rPr>
              <w:t>80</w:t>
            </w:r>
          </w:p>
        </w:tc>
      </w:tr>
      <w:tr>
        <w:trPr>
          <w:trHeight w:val="200"/>
        </w:trPr>
        <w:tc>
          <w:tcPr>
            <w:tcW w:w="5120" w:type="dxa"/>
            <w:vAlign w:val="bottom"/>
            <w:shd w:val="clear" w:color="auto" w:fill="F5F5F5"/>
          </w:tcPr>
          <w:p>
            <w:pPr>
              <w:ind w:left="20"/>
              <w:spacing w:after="0"/>
              <w:rPr>
                <w:sz w:val="20"/>
                <w:szCs w:val="20"/>
                <w:color w:val="auto"/>
              </w:rPr>
            </w:pPr>
            <w:r>
              <w:rPr>
                <w:rFonts w:ascii="Arial" w:cs="Arial" w:eastAsia="Arial" w:hAnsi="Arial"/>
                <w:sz w:val="14"/>
                <w:szCs w:val="14"/>
                <w:color w:val="auto"/>
              </w:rPr>
              <w:t>Operating income</w:t>
            </w:r>
          </w:p>
        </w:tc>
        <w:tc>
          <w:tcPr>
            <w:tcW w:w="240" w:type="dxa"/>
            <w:vAlign w:val="bottom"/>
            <w:shd w:val="clear" w:color="auto" w:fill="F5F5F5"/>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F5F5F5"/>
          </w:tcPr>
          <w:p>
            <w:pPr>
              <w:jc w:val="right"/>
              <w:spacing w:after="0"/>
              <w:rPr>
                <w:sz w:val="20"/>
                <w:szCs w:val="20"/>
                <w:color w:val="auto"/>
              </w:rPr>
            </w:pPr>
            <w:r>
              <w:rPr>
                <w:rFonts w:ascii="Arial" w:cs="Arial" w:eastAsia="Arial" w:hAnsi="Arial"/>
                <w:sz w:val="14"/>
                <w:szCs w:val="14"/>
                <w:color w:val="auto"/>
              </w:rPr>
              <w:t>740,820</w:t>
            </w:r>
          </w:p>
        </w:tc>
        <w:tc>
          <w:tcPr>
            <w:tcW w:w="1300" w:type="dxa"/>
            <w:vAlign w:val="bottom"/>
            <w:gridSpan w:val="2"/>
            <w:shd w:val="clear" w:color="auto" w:fill="F5F5F5"/>
          </w:tcPr>
          <w:p>
            <w:pPr>
              <w:jc w:val="right"/>
              <w:ind w:right="108"/>
              <w:spacing w:after="0"/>
              <w:rPr>
                <w:sz w:val="20"/>
                <w:szCs w:val="20"/>
                <w:color w:val="auto"/>
              </w:rPr>
            </w:pPr>
            <w:r>
              <w:rPr>
                <w:rFonts w:ascii="Arial" w:cs="Arial" w:eastAsia="Arial" w:hAnsi="Arial"/>
                <w:sz w:val="14"/>
                <w:szCs w:val="14"/>
                <w:color w:val="auto"/>
              </w:rPr>
              <w:t>15.0</w:t>
            </w:r>
          </w:p>
        </w:tc>
        <w:tc>
          <w:tcPr>
            <w:tcW w:w="120" w:type="dxa"/>
            <w:vAlign w:val="bottom"/>
            <w:shd w:val="clear" w:color="auto" w:fill="F5F5F5"/>
          </w:tcPr>
          <w:p>
            <w:pPr>
              <w:spacing w:after="0"/>
              <w:rPr>
                <w:sz w:val="17"/>
                <w:szCs w:val="17"/>
                <w:color w:val="auto"/>
              </w:rPr>
            </w:pPr>
          </w:p>
        </w:tc>
        <w:tc>
          <w:tcPr>
            <w:tcW w:w="260" w:type="dxa"/>
            <w:vAlign w:val="bottom"/>
            <w:shd w:val="clear" w:color="auto" w:fill="F5F5F5"/>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shd w:val="clear" w:color="auto" w:fill="F5F5F5"/>
          </w:tcPr>
          <w:p>
            <w:pPr>
              <w:jc w:val="right"/>
              <w:spacing w:after="0"/>
              <w:rPr>
                <w:sz w:val="20"/>
                <w:szCs w:val="20"/>
                <w:color w:val="auto"/>
              </w:rPr>
            </w:pPr>
            <w:r>
              <w:rPr>
                <w:rFonts w:ascii="Arial" w:cs="Arial" w:eastAsia="Arial" w:hAnsi="Arial"/>
                <w:sz w:val="14"/>
                <w:szCs w:val="14"/>
                <w:color w:val="auto"/>
              </w:rPr>
              <w:t>484,671</w:t>
            </w:r>
          </w:p>
        </w:tc>
        <w:tc>
          <w:tcPr>
            <w:tcW w:w="1320" w:type="dxa"/>
            <w:vAlign w:val="bottom"/>
            <w:gridSpan w:val="2"/>
            <w:shd w:val="clear" w:color="auto" w:fill="F5F5F5"/>
          </w:tcPr>
          <w:p>
            <w:pPr>
              <w:jc w:val="right"/>
              <w:ind w:right="108"/>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F5F5F5"/>
          </w:tcPr>
          <w:p>
            <w:pPr>
              <w:spacing w:after="0"/>
              <w:rPr>
                <w:sz w:val="17"/>
                <w:szCs w:val="17"/>
                <w:color w:val="auto"/>
              </w:rPr>
            </w:pPr>
          </w:p>
        </w:tc>
        <w:tc>
          <w:tcPr>
            <w:tcW w:w="1100" w:type="dxa"/>
            <w:vAlign w:val="bottom"/>
            <w:shd w:val="clear" w:color="auto" w:fill="F5F5F5"/>
          </w:tcPr>
          <w:p>
            <w:pPr>
              <w:jc w:val="center"/>
              <w:spacing w:after="0"/>
              <w:rPr>
                <w:sz w:val="20"/>
                <w:szCs w:val="20"/>
                <w:color w:val="auto"/>
              </w:rPr>
            </w:pPr>
            <w:r>
              <w:rPr>
                <w:rFonts w:ascii="Arial" w:cs="Arial" w:eastAsia="Arial" w:hAnsi="Arial"/>
                <w:sz w:val="14"/>
                <w:szCs w:val="14"/>
                <w:color w:val="auto"/>
              </w:rPr>
              <w:t>370</w:t>
            </w:r>
          </w:p>
        </w:tc>
      </w:tr>
      <w:tr>
        <w:trPr>
          <w:trHeight w:val="198"/>
        </w:trPr>
        <w:tc>
          <w:tcPr>
            <w:tcW w:w="5120" w:type="dxa"/>
            <w:vAlign w:val="bottom"/>
          </w:tcPr>
          <w:p>
            <w:pPr>
              <w:ind w:left="20"/>
              <w:spacing w:after="0"/>
              <w:rPr>
                <w:sz w:val="20"/>
                <w:szCs w:val="20"/>
                <w:color w:val="auto"/>
              </w:rPr>
            </w:pPr>
            <w:r>
              <w:rPr>
                <w:rFonts w:ascii="Arial" w:cs="Arial" w:eastAsia="Arial" w:hAnsi="Arial"/>
                <w:sz w:val="14"/>
                <w:szCs w:val="14"/>
                <w:color w:val="auto"/>
              </w:rPr>
              <w:t>Excluded items:</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5120" w:type="dxa"/>
            <w:vAlign w:val="bottom"/>
            <w:shd w:val="clear" w:color="auto" w:fill="F5F5F5"/>
          </w:tcPr>
          <w:p>
            <w:pPr>
              <w:ind w:left="140"/>
              <w:spacing w:after="0"/>
              <w:rPr>
                <w:sz w:val="20"/>
                <w:szCs w:val="20"/>
                <w:color w:val="auto"/>
              </w:rPr>
            </w:pPr>
            <w:r>
              <w:rPr>
                <w:rFonts w:ascii="Arial" w:cs="Arial" w:eastAsia="Arial" w:hAnsi="Arial"/>
                <w:sz w:val="14"/>
                <w:szCs w:val="14"/>
                <w:color w:val="auto"/>
              </w:rPr>
              <w:t xml:space="preserve">Asset impairment charges </w:t>
            </w:r>
            <w:r>
              <w:rPr>
                <w:rFonts w:ascii="Arial" w:cs="Arial" w:eastAsia="Arial" w:hAnsi="Arial"/>
                <w:sz w:val="9"/>
                <w:szCs w:val="9"/>
                <w:color w:val="auto"/>
              </w:rPr>
              <w:t>(2)</w:t>
            </w:r>
          </w:p>
        </w:tc>
        <w:tc>
          <w:tcPr>
            <w:tcW w:w="240" w:type="dxa"/>
            <w:vAlign w:val="bottom"/>
            <w:tcBorders>
              <w:bottom w:val="single" w:sz="8" w:color="auto"/>
            </w:tcBorders>
            <w:shd w:val="clear" w:color="auto" w:fill="F5F5F5"/>
          </w:tcPr>
          <w:p>
            <w:pPr>
              <w:spacing w:after="0"/>
              <w:rPr>
                <w:sz w:val="17"/>
                <w:szCs w:val="17"/>
                <w:color w:val="auto"/>
              </w:rPr>
            </w:pPr>
          </w:p>
        </w:tc>
        <w:tc>
          <w:tcPr>
            <w:tcW w:w="86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F5F5F5"/>
          </w:tcPr>
          <w:p>
            <w:pPr>
              <w:spacing w:after="0"/>
              <w:rPr>
                <w:sz w:val="17"/>
                <w:szCs w:val="17"/>
                <w:color w:val="auto"/>
              </w:rPr>
            </w:pPr>
          </w:p>
        </w:tc>
        <w:tc>
          <w:tcPr>
            <w:tcW w:w="1320" w:type="dxa"/>
            <w:vAlign w:val="bottom"/>
            <w:gridSpan w:val="2"/>
            <w:shd w:val="clear" w:color="auto" w:fill="F5F5F5"/>
          </w:tcPr>
          <w:p>
            <w:pPr>
              <w:jc w:val="right"/>
              <w:ind w:right="30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F5F5F5"/>
          </w:tcPr>
          <w:p>
            <w:pPr>
              <w:spacing w:after="0"/>
              <w:rPr>
                <w:sz w:val="17"/>
                <w:szCs w:val="17"/>
                <w:color w:val="auto"/>
              </w:rPr>
            </w:pPr>
          </w:p>
        </w:tc>
        <w:tc>
          <w:tcPr>
            <w:tcW w:w="82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4,436</w:t>
            </w:r>
          </w:p>
        </w:tc>
        <w:tc>
          <w:tcPr>
            <w:tcW w:w="1320" w:type="dxa"/>
            <w:vAlign w:val="bottom"/>
            <w:gridSpan w:val="2"/>
            <w:shd w:val="clear" w:color="auto" w:fill="F5F5F5"/>
          </w:tcPr>
          <w:p>
            <w:pPr>
              <w:jc w:val="right"/>
              <w:ind w:right="10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F5F5F5"/>
          </w:tcPr>
          <w:p>
            <w:pPr>
              <w:spacing w:after="0"/>
              <w:rPr>
                <w:sz w:val="17"/>
                <w:szCs w:val="17"/>
                <w:color w:val="auto"/>
              </w:rPr>
            </w:pPr>
          </w:p>
        </w:tc>
        <w:tc>
          <w:tcPr>
            <w:tcW w:w="1100" w:type="dxa"/>
            <w:vAlign w:val="bottom"/>
            <w:shd w:val="clear" w:color="auto" w:fill="F5F5F5"/>
          </w:tcPr>
          <w:p>
            <w:pPr>
              <w:jc w:val="center"/>
              <w:spacing w:after="0"/>
              <w:rPr>
                <w:sz w:val="20"/>
                <w:szCs w:val="20"/>
                <w:color w:val="auto"/>
              </w:rPr>
            </w:pPr>
            <w:r>
              <w:rPr>
                <w:rFonts w:ascii="Arial" w:cs="Arial" w:eastAsia="Arial" w:hAnsi="Arial"/>
                <w:sz w:val="14"/>
                <w:szCs w:val="14"/>
                <w:color w:val="auto"/>
              </w:rPr>
              <w:t>(10)</w:t>
            </w:r>
          </w:p>
        </w:tc>
      </w:tr>
      <w:tr>
        <w:trPr>
          <w:trHeight w:val="188"/>
        </w:trPr>
        <w:tc>
          <w:tcPr>
            <w:tcW w:w="5120" w:type="dxa"/>
            <w:vAlign w:val="bottom"/>
          </w:tcPr>
          <w:p>
            <w:pPr>
              <w:ind w:left="20"/>
              <w:spacing w:after="0"/>
              <w:rPr>
                <w:sz w:val="20"/>
                <w:szCs w:val="20"/>
                <w:color w:val="auto"/>
              </w:rPr>
            </w:pPr>
            <w:r>
              <w:rPr>
                <w:rFonts w:ascii="Arial" w:cs="Arial" w:eastAsia="Arial" w:hAnsi="Arial"/>
                <w:sz w:val="14"/>
                <w:szCs w:val="14"/>
                <w:color w:val="auto"/>
              </w:rPr>
              <w:t>Adjusted non-GAAP operating income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740,820</w:t>
            </w:r>
          </w:p>
        </w:tc>
        <w:tc>
          <w:tcPr>
            <w:tcW w:w="1300" w:type="dxa"/>
            <w:vAlign w:val="bottom"/>
            <w:gridSpan w:val="2"/>
          </w:tcPr>
          <w:p>
            <w:pPr>
              <w:jc w:val="right"/>
              <w:ind w:right="108"/>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489,107</w:t>
            </w:r>
          </w:p>
        </w:tc>
        <w:tc>
          <w:tcPr>
            <w:tcW w:w="1320" w:type="dxa"/>
            <w:vAlign w:val="bottom"/>
            <w:gridSpan w:val="2"/>
          </w:tcPr>
          <w:p>
            <w:pPr>
              <w:jc w:val="right"/>
              <w:ind w:right="108"/>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360</w:t>
            </w:r>
          </w:p>
        </w:tc>
      </w:tr>
    </w:tbl>
    <w:p>
      <w:pPr>
        <w:spacing w:after="0" w:line="57" w:lineRule="exact"/>
        <w:rPr>
          <w:sz w:val="20"/>
          <w:szCs w:val="20"/>
          <w:color w:val="auto"/>
        </w:rPr>
      </w:pPr>
    </w:p>
    <w:p>
      <w:pPr>
        <w:ind w:left="220" w:hanging="212"/>
        <w:spacing w:after="0"/>
        <w:tabs>
          <w:tab w:leader="none" w:pos="220" w:val="left"/>
        </w:tabs>
        <w:numPr>
          <w:ilvl w:val="0"/>
          <w:numId w:val="36"/>
        </w:numPr>
        <w:rPr>
          <w:rFonts w:ascii="Arial" w:cs="Arial" w:eastAsia="Arial" w:hAnsi="Arial"/>
          <w:sz w:val="18"/>
          <w:szCs w:val="18"/>
          <w:color w:val="auto"/>
          <w:vertAlign w:val="superscript"/>
        </w:rPr>
      </w:pPr>
      <w:r>
        <w:rPr>
          <w:rFonts w:ascii="Arial" w:cs="Arial" w:eastAsia="Arial" w:hAnsi="Arial"/>
          <w:sz w:val="13"/>
          <w:szCs w:val="13"/>
          <w:color w:val="auto"/>
        </w:rPr>
        <w:t>Segment operating income as a percentage of net sales is calculated by attributing the segment’s operating income with the respective net sales in the segment.</w:t>
      </w:r>
    </w:p>
    <w:p>
      <w:pPr>
        <w:ind w:left="240" w:hanging="232"/>
        <w:spacing w:after="0" w:line="190" w:lineRule="auto"/>
        <w:tabs>
          <w:tab w:leader="none" w:pos="240" w:val="left"/>
        </w:tabs>
        <w:numPr>
          <w:ilvl w:val="0"/>
          <w:numId w:val="36"/>
        </w:numPr>
        <w:rPr>
          <w:rFonts w:ascii="Arial" w:cs="Arial" w:eastAsia="Arial" w:hAnsi="Arial"/>
          <w:sz w:val="18"/>
          <w:szCs w:val="18"/>
          <w:color w:val="auto"/>
          <w:vertAlign w:val="superscript"/>
        </w:rPr>
      </w:pPr>
      <w:r>
        <w:rPr>
          <w:rFonts w:ascii="Arial" w:cs="Arial" w:eastAsia="Arial" w:hAnsi="Arial"/>
          <w:sz w:val="13"/>
          <w:szCs w:val="13"/>
          <w:color w:val="auto"/>
        </w:rPr>
        <w:t>Refer to “</w:t>
      </w:r>
      <w:r>
        <w:rPr>
          <w:rFonts w:ascii="Arial" w:cs="Arial" w:eastAsia="Arial" w:hAnsi="Arial"/>
          <w:sz w:val="13"/>
          <w:szCs w:val="13"/>
          <w:i w:val="1"/>
          <w:iCs w:val="1"/>
          <w:u w:val="single" w:color="auto"/>
          <w:color w:val="0000FF"/>
        </w:rPr>
        <w:t>NON-GAAP FINANCIAL MEASURES</w:t>
      </w:r>
      <w:r>
        <w:rPr>
          <w:rFonts w:ascii="Arial" w:cs="Arial" w:eastAsia="Arial" w:hAnsi="Arial"/>
          <w:sz w:val="13"/>
          <w:szCs w:val="13"/>
          <w:color w:val="auto"/>
        </w:rPr>
        <w:t>,” for further details.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35</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For Fiscal 2024, operating income increased by $256 million or 370 basis points, as a percentage of net sales, as compared to Fiscal 2023.</w:t>
      </w:r>
    </w:p>
    <w:p>
      <w:pPr>
        <w:spacing w:after="0" w:line="59" w:lineRule="exact"/>
        <w:rPr>
          <w:sz w:val="20"/>
          <w:szCs w:val="20"/>
          <w:color w:val="auto"/>
        </w:rPr>
      </w:pPr>
    </w:p>
    <w:p>
      <w:pPr>
        <w:jc w:val="both"/>
        <w:ind w:left="660" w:hanging="328"/>
        <w:spacing w:after="0" w:line="275" w:lineRule="auto"/>
        <w:tabs>
          <w:tab w:leader="none" w:pos="649" w:val="left"/>
        </w:tabs>
        <w:numPr>
          <w:ilvl w:val="0"/>
          <w:numId w:val="37"/>
        </w:numPr>
        <w:rPr>
          <w:rFonts w:ascii="Arial" w:cs="Arial" w:eastAsia="Arial" w:hAnsi="Arial"/>
          <w:sz w:val="16"/>
          <w:szCs w:val="16"/>
          <w:color w:val="auto"/>
        </w:rPr>
      </w:pPr>
      <w:r>
        <w:rPr>
          <w:rFonts w:ascii="Arial" w:cs="Arial" w:eastAsia="Arial" w:hAnsi="Arial"/>
          <w:sz w:val="16"/>
          <w:szCs w:val="16"/>
          <w:color w:val="auto"/>
        </w:rPr>
        <w:t>Operating income for the Americas increased $270 million or 250 basis points as a percentage of region net sales as compared to Fiscal 2023. The increase as a percent of sales primarily relates to positive comparable sales of 17%, relating to higher unit volume, increased AUR on reduced promotions, and expense leverage relating to employee compensation costs and store occupancy expenses.</w:t>
      </w:r>
    </w:p>
    <w:p>
      <w:pPr>
        <w:spacing w:after="0" w:line="15" w:lineRule="exact"/>
        <w:rPr>
          <w:rFonts w:ascii="Arial" w:cs="Arial" w:eastAsia="Arial" w:hAnsi="Arial"/>
          <w:sz w:val="16"/>
          <w:szCs w:val="16"/>
          <w:color w:val="auto"/>
        </w:rPr>
      </w:pPr>
    </w:p>
    <w:p>
      <w:pPr>
        <w:jc w:val="both"/>
        <w:ind w:left="660" w:hanging="328"/>
        <w:spacing w:after="0" w:line="266" w:lineRule="auto"/>
        <w:tabs>
          <w:tab w:leader="none" w:pos="649" w:val="left"/>
        </w:tabs>
        <w:numPr>
          <w:ilvl w:val="0"/>
          <w:numId w:val="37"/>
        </w:numPr>
        <w:rPr>
          <w:rFonts w:ascii="Arial" w:cs="Arial" w:eastAsia="Arial" w:hAnsi="Arial"/>
          <w:sz w:val="16"/>
          <w:szCs w:val="16"/>
          <w:color w:val="auto"/>
        </w:rPr>
      </w:pPr>
      <w:r>
        <w:rPr>
          <w:rFonts w:ascii="Arial" w:cs="Arial" w:eastAsia="Arial" w:hAnsi="Arial"/>
          <w:sz w:val="16"/>
          <w:szCs w:val="16"/>
          <w:color w:val="auto"/>
        </w:rPr>
        <w:t>Operating income for EMEA increased $29 million or 30 basis points as a percentage of region net sales as compared to Fiscal 2023. The increase as a percent of sales primarily relates to positive comparable sales of 16%, relating to higher unit volume, increased AUR on reduced promotions, and expense leverage relating to employee compensation costs and store occupancy expenses.</w:t>
      </w:r>
    </w:p>
    <w:p>
      <w:pPr>
        <w:spacing w:after="0" w:line="22"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37"/>
        </w:numPr>
        <w:rPr>
          <w:rFonts w:ascii="Arial" w:cs="Arial" w:eastAsia="Arial" w:hAnsi="Arial"/>
          <w:sz w:val="16"/>
          <w:szCs w:val="16"/>
          <w:color w:val="auto"/>
        </w:rPr>
      </w:pPr>
      <w:r>
        <w:rPr>
          <w:rFonts w:ascii="Arial" w:cs="Arial" w:eastAsia="Arial" w:hAnsi="Arial"/>
          <w:sz w:val="16"/>
          <w:szCs w:val="16"/>
          <w:color w:val="auto"/>
        </w:rPr>
        <w:t>Operating (loss) for APAC increased $(1) million or 0 basis points as a percentage of region net sales as compared to Fiscal 2023. The loss was impacted by marketing, occupancy, and general and administrative investments, which more than offset the expense leverage from comparable sales growth of 19%.</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Interest (Income) Expense, Net</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ind w:right="768"/>
              <w:spacing w:after="0"/>
              <w:rPr>
                <w:sz w:val="20"/>
                <w:szCs w:val="20"/>
                <w:color w:val="auto"/>
              </w:rPr>
            </w:pPr>
            <w:r>
              <w:rPr>
                <w:rFonts w:ascii="Arial" w:cs="Arial" w:eastAsia="Arial" w:hAnsi="Arial"/>
                <w:sz w:val="14"/>
                <w:szCs w:val="14"/>
                <w:color w:val="auto"/>
              </w:rPr>
              <w:t>Fiscal 2024</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748"/>
              <w:spacing w:after="0"/>
              <w:rPr>
                <w:sz w:val="20"/>
                <w:szCs w:val="20"/>
                <w:color w:val="auto"/>
              </w:rPr>
            </w:pPr>
            <w:r>
              <w:rPr>
                <w:rFonts w:ascii="Arial" w:cs="Arial" w:eastAsia="Arial" w:hAnsi="Arial"/>
                <w:sz w:val="14"/>
                <w:szCs w:val="14"/>
                <w:color w:val="auto"/>
              </w:rPr>
              <w:t>Fiscal 2023</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8"/>
        </w:trPr>
        <w:tc>
          <w:tcPr>
            <w:tcW w:w="5100" w:type="dxa"/>
            <w:vAlign w:val="bottom"/>
            <w:tcBorders>
              <w:bottom w:val="single" w:sz="8" w:color="F5F5F5"/>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F5F5F5"/>
            </w:tcBorders>
          </w:tcPr>
          <w:p>
            <w:pPr>
              <w:spacing w:after="0"/>
              <w:rPr>
                <w:sz w:val="17"/>
                <w:szCs w:val="17"/>
                <w:color w:val="auto"/>
              </w:rPr>
            </w:pPr>
          </w:p>
        </w:tc>
        <w:tc>
          <w:tcPr>
            <w:tcW w:w="780" w:type="dxa"/>
            <w:vAlign w:val="bottom"/>
            <w:tcBorders>
              <w:bottom w:val="single" w:sz="8" w:color="F5F5F5"/>
            </w:tcBorders>
          </w:tcPr>
          <w:p>
            <w:pPr>
              <w:spacing w:after="0"/>
              <w:rPr>
                <w:sz w:val="17"/>
                <w:szCs w:val="17"/>
                <w:color w:val="auto"/>
              </w:rPr>
            </w:pPr>
          </w:p>
        </w:tc>
        <w:tc>
          <w:tcPr>
            <w:tcW w:w="120" w:type="dxa"/>
            <w:vAlign w:val="bottom"/>
            <w:tcBorders>
              <w:bottom w:val="single" w:sz="8" w:color="F5F5F5"/>
            </w:tcBorders>
          </w:tcPr>
          <w:p>
            <w:pPr>
              <w:spacing w:after="0"/>
              <w:rPr>
                <w:sz w:val="17"/>
                <w:szCs w:val="17"/>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 of Net Sales</w:t>
            </w:r>
          </w:p>
        </w:tc>
        <w:tc>
          <w:tcPr>
            <w:tcW w:w="100" w:type="dxa"/>
            <w:vAlign w:val="bottom"/>
            <w:tcBorders>
              <w:bottom w:val="single" w:sz="8" w:color="F5F5F5"/>
            </w:tcBorders>
          </w:tcPr>
          <w:p>
            <w:pPr>
              <w:spacing w:after="0"/>
              <w:rPr>
                <w:sz w:val="17"/>
                <w:szCs w:val="17"/>
                <w:color w:val="auto"/>
              </w:rPr>
            </w:pPr>
          </w:p>
        </w:tc>
        <w:tc>
          <w:tcPr>
            <w:tcW w:w="320" w:type="dxa"/>
            <w:vAlign w:val="bottom"/>
            <w:tcBorders>
              <w:bottom w:val="single" w:sz="8" w:color="F5F5F5"/>
            </w:tcBorders>
          </w:tcPr>
          <w:p>
            <w:pPr>
              <w:spacing w:after="0"/>
              <w:rPr>
                <w:sz w:val="17"/>
                <w:szCs w:val="17"/>
                <w:color w:val="auto"/>
              </w:rPr>
            </w:pPr>
          </w:p>
        </w:tc>
        <w:tc>
          <w:tcPr>
            <w:tcW w:w="780" w:type="dxa"/>
            <w:vAlign w:val="bottom"/>
            <w:tcBorders>
              <w:bottom w:val="single" w:sz="8" w:color="F5F5F5"/>
            </w:tcBorders>
          </w:tcPr>
          <w:p>
            <w:pPr>
              <w:spacing w:after="0"/>
              <w:rPr>
                <w:sz w:val="17"/>
                <w:szCs w:val="17"/>
                <w:color w:val="auto"/>
              </w:rPr>
            </w:pPr>
          </w:p>
        </w:tc>
        <w:tc>
          <w:tcPr>
            <w:tcW w:w="100" w:type="dxa"/>
            <w:vAlign w:val="bottom"/>
            <w:tcBorders>
              <w:bottom w:val="single" w:sz="8" w:color="F5F5F5"/>
            </w:tcBorders>
          </w:tcPr>
          <w:p>
            <w:pPr>
              <w:spacing w:after="0"/>
              <w:rPr>
                <w:sz w:val="17"/>
                <w:szCs w:val="17"/>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 of Net Sales</w:t>
            </w:r>
          </w:p>
        </w:tc>
        <w:tc>
          <w:tcPr>
            <w:tcW w:w="120" w:type="dxa"/>
            <w:vAlign w:val="bottom"/>
            <w:tcBorders>
              <w:bottom w:val="single" w:sz="8" w:color="F5F5F5"/>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BPS Change</w:t>
            </w:r>
          </w:p>
        </w:tc>
      </w:tr>
      <w:tr>
        <w:trPr>
          <w:trHeight w:val="200"/>
        </w:trPr>
        <w:tc>
          <w:tcPr>
            <w:tcW w:w="5100" w:type="dxa"/>
            <w:vAlign w:val="bottom"/>
            <w:shd w:val="clear" w:color="auto" w:fill="F5F5F5"/>
          </w:tcPr>
          <w:p>
            <w:pPr>
              <w:ind w:left="20"/>
              <w:spacing w:after="0"/>
              <w:rPr>
                <w:sz w:val="20"/>
                <w:szCs w:val="20"/>
                <w:color w:val="auto"/>
              </w:rPr>
            </w:pPr>
            <w:r>
              <w:rPr>
                <w:rFonts w:ascii="Arial" w:cs="Arial" w:eastAsia="Arial" w:hAnsi="Arial"/>
                <w:sz w:val="14"/>
                <w:szCs w:val="14"/>
                <w:color w:val="auto"/>
              </w:rPr>
              <w:t>Interest expense</w:t>
            </w:r>
          </w:p>
        </w:tc>
        <w:tc>
          <w:tcPr>
            <w:tcW w:w="300" w:type="dxa"/>
            <w:vAlign w:val="bottom"/>
            <w:shd w:val="clear" w:color="auto" w:fill="F5F5F5"/>
          </w:tcPr>
          <w:p>
            <w:pPr>
              <w:jc w:val="right"/>
              <w:ind w:right="14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F5F5F5"/>
          </w:tcPr>
          <w:p>
            <w:pPr>
              <w:jc w:val="center"/>
              <w:ind w:left="148"/>
              <w:spacing w:after="0"/>
              <w:rPr>
                <w:sz w:val="20"/>
                <w:szCs w:val="20"/>
                <w:color w:val="auto"/>
              </w:rPr>
            </w:pPr>
            <w:r>
              <w:rPr>
                <w:rFonts w:ascii="Arial" w:cs="Arial" w:eastAsia="Arial" w:hAnsi="Arial"/>
                <w:sz w:val="14"/>
                <w:szCs w:val="14"/>
                <w:color w:val="auto"/>
              </w:rPr>
              <w:t>12,077</w:t>
            </w:r>
          </w:p>
        </w:tc>
        <w:tc>
          <w:tcPr>
            <w:tcW w:w="1320" w:type="dxa"/>
            <w:vAlign w:val="bottom"/>
            <w:gridSpan w:val="2"/>
            <w:shd w:val="clear" w:color="auto" w:fill="F5F5F5"/>
          </w:tcPr>
          <w:p>
            <w:pPr>
              <w:jc w:val="right"/>
              <w:spacing w:after="0"/>
              <w:rPr>
                <w:sz w:val="20"/>
                <w:szCs w:val="20"/>
                <w:color w:val="auto"/>
              </w:rPr>
            </w:pPr>
            <w:r>
              <w:rPr>
                <w:rFonts w:ascii="Arial" w:cs="Arial" w:eastAsia="Arial" w:hAnsi="Arial"/>
                <w:sz w:val="14"/>
                <w:szCs w:val="14"/>
                <w:color w:val="auto"/>
              </w:rPr>
              <w:t>0.2 %</w:t>
            </w:r>
          </w:p>
        </w:tc>
        <w:tc>
          <w:tcPr>
            <w:tcW w:w="100" w:type="dxa"/>
            <w:vAlign w:val="bottom"/>
            <w:shd w:val="clear" w:color="auto" w:fill="F5F5F5"/>
          </w:tcPr>
          <w:p>
            <w:pPr>
              <w:spacing w:after="0"/>
              <w:rPr>
                <w:sz w:val="17"/>
                <w:szCs w:val="17"/>
                <w:color w:val="auto"/>
              </w:rPr>
            </w:pPr>
          </w:p>
        </w:tc>
        <w:tc>
          <w:tcPr>
            <w:tcW w:w="320" w:type="dxa"/>
            <w:vAlign w:val="bottom"/>
            <w:shd w:val="clear" w:color="auto" w:fill="F5F5F5"/>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30,352</w:t>
            </w:r>
          </w:p>
        </w:tc>
        <w:tc>
          <w:tcPr>
            <w:tcW w:w="1300" w:type="dxa"/>
            <w:vAlign w:val="bottom"/>
            <w:gridSpan w:val="2"/>
            <w:shd w:val="clear" w:color="auto" w:fill="F5F5F5"/>
          </w:tcPr>
          <w:p>
            <w:pPr>
              <w:jc w:val="right"/>
              <w:spacing w:after="0"/>
              <w:rPr>
                <w:sz w:val="20"/>
                <w:szCs w:val="20"/>
                <w:color w:val="auto"/>
              </w:rPr>
            </w:pPr>
            <w:r>
              <w:rPr>
                <w:rFonts w:ascii="Arial" w:cs="Arial" w:eastAsia="Arial" w:hAnsi="Arial"/>
                <w:sz w:val="14"/>
                <w:szCs w:val="14"/>
                <w:color w:val="auto"/>
              </w:rPr>
              <w:t>0.7 %</w:t>
            </w:r>
          </w:p>
        </w:tc>
        <w:tc>
          <w:tcPr>
            <w:tcW w:w="120" w:type="dxa"/>
            <w:vAlign w:val="bottom"/>
            <w:shd w:val="clear" w:color="auto" w:fill="F5F5F5"/>
          </w:tcPr>
          <w:p>
            <w:pPr>
              <w:spacing w:after="0"/>
              <w:rPr>
                <w:sz w:val="17"/>
                <w:szCs w:val="17"/>
                <w:color w:val="auto"/>
              </w:rPr>
            </w:pPr>
          </w:p>
        </w:tc>
        <w:tc>
          <w:tcPr>
            <w:tcW w:w="1080" w:type="dxa"/>
            <w:vAlign w:val="bottom"/>
            <w:shd w:val="clear" w:color="auto" w:fill="F5F5F5"/>
          </w:tcPr>
          <w:p>
            <w:pPr>
              <w:jc w:val="center"/>
              <w:spacing w:after="0"/>
              <w:rPr>
                <w:sz w:val="20"/>
                <w:szCs w:val="20"/>
                <w:color w:val="auto"/>
              </w:rPr>
            </w:pPr>
            <w:r>
              <w:rPr>
                <w:rFonts w:ascii="Arial" w:cs="Arial" w:eastAsia="Arial" w:hAnsi="Arial"/>
                <w:sz w:val="14"/>
                <w:szCs w:val="14"/>
                <w:color w:val="auto"/>
                <w:w w:val="96"/>
              </w:rPr>
              <w:t>(50)</w:t>
            </w:r>
          </w:p>
        </w:tc>
      </w:tr>
      <w:tr>
        <w:trPr>
          <w:trHeight w:val="198"/>
        </w:trPr>
        <w:tc>
          <w:tcPr>
            <w:tcW w:w="5100" w:type="dxa"/>
            <w:vAlign w:val="bottom"/>
            <w:tcBorders>
              <w:bottom w:val="single" w:sz="8" w:color="F5F5F5"/>
            </w:tcBorders>
          </w:tcPr>
          <w:p>
            <w:pPr>
              <w:ind w:left="20"/>
              <w:spacing w:after="0"/>
              <w:rPr>
                <w:sz w:val="20"/>
                <w:szCs w:val="20"/>
                <w:color w:val="auto"/>
              </w:rPr>
            </w:pPr>
            <w:r>
              <w:rPr>
                <w:rFonts w:ascii="Arial" w:cs="Arial" w:eastAsia="Arial" w:hAnsi="Arial"/>
                <w:sz w:val="14"/>
                <w:szCs w:val="14"/>
                <w:color w:val="auto"/>
              </w:rPr>
              <w:t>Interest income</w:t>
            </w: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color w:val="auto"/>
              </w:rPr>
              <w:t>(39,934)</w:t>
            </w:r>
          </w:p>
        </w:tc>
        <w:tc>
          <w:tcPr>
            <w:tcW w:w="1320" w:type="dxa"/>
            <w:vAlign w:val="bottom"/>
            <w:tcBorders>
              <w:bottom w:val="single" w:sz="8" w:color="F5F5F5"/>
            </w:tcBorders>
            <w:gridSpan w:val="2"/>
          </w:tcPr>
          <w:p>
            <w:pPr>
              <w:jc w:val="right"/>
              <w:ind w:right="88"/>
              <w:spacing w:after="0"/>
              <w:rPr>
                <w:sz w:val="20"/>
                <w:szCs w:val="20"/>
                <w:color w:val="auto"/>
              </w:rPr>
            </w:pPr>
            <w:r>
              <w:rPr>
                <w:rFonts w:ascii="Arial" w:cs="Arial" w:eastAsia="Arial" w:hAnsi="Arial"/>
                <w:sz w:val="14"/>
                <w:szCs w:val="14"/>
                <w:color w:val="auto"/>
              </w:rPr>
              <w:t>(0.8)</w:t>
            </w:r>
          </w:p>
        </w:tc>
        <w:tc>
          <w:tcPr>
            <w:tcW w:w="100" w:type="dxa"/>
            <w:vAlign w:val="bottom"/>
            <w:tcBorders>
              <w:bottom w:val="single" w:sz="8" w:color="F5F5F5"/>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(29,980)</w:t>
            </w:r>
          </w:p>
        </w:tc>
        <w:tc>
          <w:tcPr>
            <w:tcW w:w="1300" w:type="dxa"/>
            <w:vAlign w:val="bottom"/>
            <w:tcBorders>
              <w:bottom w:val="single" w:sz="8" w:color="F5F5F5"/>
            </w:tcBorders>
            <w:gridSpan w:val="2"/>
          </w:tcPr>
          <w:p>
            <w:pPr>
              <w:jc w:val="right"/>
              <w:ind w:right="68"/>
              <w:spacing w:after="0"/>
              <w:rPr>
                <w:sz w:val="20"/>
                <w:szCs w:val="20"/>
                <w:color w:val="auto"/>
              </w:rPr>
            </w:pPr>
            <w:r>
              <w:rPr>
                <w:rFonts w:ascii="Arial" w:cs="Arial" w:eastAsia="Arial" w:hAnsi="Arial"/>
                <w:sz w:val="14"/>
                <w:szCs w:val="14"/>
                <w:color w:val="auto"/>
              </w:rPr>
              <w:t>(0.7)</w:t>
            </w:r>
          </w:p>
        </w:tc>
        <w:tc>
          <w:tcPr>
            <w:tcW w:w="120" w:type="dxa"/>
            <w:vAlign w:val="bottom"/>
            <w:tcBorders>
              <w:bottom w:val="single" w:sz="8" w:color="F5F5F5"/>
            </w:tcBorders>
          </w:tcPr>
          <w:p>
            <w:pPr>
              <w:spacing w:after="0"/>
              <w:rPr>
                <w:sz w:val="17"/>
                <w:szCs w:val="17"/>
                <w:color w:val="auto"/>
              </w:rPr>
            </w:pPr>
          </w:p>
        </w:tc>
        <w:tc>
          <w:tcPr>
            <w:tcW w:w="1080" w:type="dxa"/>
            <w:vAlign w:val="bottom"/>
            <w:tcBorders>
              <w:bottom w:val="single" w:sz="8" w:color="F5F5F5"/>
            </w:tcBorders>
          </w:tcPr>
          <w:p>
            <w:pPr>
              <w:jc w:val="center"/>
              <w:spacing w:after="0"/>
              <w:rPr>
                <w:sz w:val="20"/>
                <w:szCs w:val="20"/>
                <w:color w:val="auto"/>
              </w:rPr>
            </w:pPr>
            <w:r>
              <w:rPr>
                <w:rFonts w:ascii="Arial" w:cs="Arial" w:eastAsia="Arial" w:hAnsi="Arial"/>
                <w:sz w:val="14"/>
                <w:szCs w:val="14"/>
                <w:color w:val="auto"/>
                <w:w w:val="96"/>
              </w:rPr>
              <w:t>(10)</w:t>
            </w:r>
          </w:p>
        </w:tc>
      </w:tr>
      <w:tr>
        <w:trPr>
          <w:trHeight w:val="200"/>
        </w:trPr>
        <w:tc>
          <w:tcPr>
            <w:tcW w:w="5100" w:type="dxa"/>
            <w:vAlign w:val="bottom"/>
            <w:shd w:val="clear" w:color="auto" w:fill="F5F5F5"/>
          </w:tcPr>
          <w:p>
            <w:pPr>
              <w:ind w:left="20"/>
              <w:spacing w:after="0"/>
              <w:rPr>
                <w:sz w:val="20"/>
                <w:szCs w:val="20"/>
                <w:color w:val="auto"/>
              </w:rPr>
            </w:pPr>
            <w:r>
              <w:rPr>
                <w:rFonts w:ascii="Arial" w:cs="Arial" w:eastAsia="Arial" w:hAnsi="Arial"/>
                <w:sz w:val="14"/>
                <w:szCs w:val="14"/>
                <w:color w:val="auto"/>
              </w:rPr>
              <w:t>Interest (income) expense, net</w:t>
            </w:r>
          </w:p>
        </w:tc>
        <w:tc>
          <w:tcPr>
            <w:tcW w:w="300" w:type="dxa"/>
            <w:vAlign w:val="bottom"/>
            <w:shd w:val="clear" w:color="auto" w:fill="F5F5F5"/>
          </w:tcPr>
          <w:p>
            <w:pPr>
              <w:jc w:val="right"/>
              <w:ind w:right="14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F5F5F5"/>
          </w:tcPr>
          <w:p>
            <w:pPr>
              <w:jc w:val="center"/>
              <w:ind w:left="128"/>
              <w:spacing w:after="0"/>
              <w:rPr>
                <w:sz w:val="20"/>
                <w:szCs w:val="20"/>
                <w:color w:val="auto"/>
              </w:rPr>
            </w:pPr>
            <w:r>
              <w:rPr>
                <w:rFonts w:ascii="Arial" w:cs="Arial" w:eastAsia="Arial" w:hAnsi="Arial"/>
                <w:sz w:val="14"/>
                <w:szCs w:val="14"/>
                <w:color w:val="auto"/>
              </w:rPr>
              <w:t>(27,857)</w:t>
            </w:r>
          </w:p>
        </w:tc>
        <w:tc>
          <w:tcPr>
            <w:tcW w:w="1320" w:type="dxa"/>
            <w:vAlign w:val="bottom"/>
            <w:gridSpan w:val="2"/>
            <w:shd w:val="clear" w:color="auto" w:fill="F5F5F5"/>
          </w:tcPr>
          <w:p>
            <w:pPr>
              <w:jc w:val="right"/>
              <w:ind w:right="88"/>
              <w:spacing w:after="0"/>
              <w:rPr>
                <w:sz w:val="20"/>
                <w:szCs w:val="20"/>
                <w:color w:val="auto"/>
              </w:rPr>
            </w:pPr>
            <w:r>
              <w:rPr>
                <w:rFonts w:ascii="Arial" w:cs="Arial" w:eastAsia="Arial" w:hAnsi="Arial"/>
                <w:sz w:val="14"/>
                <w:szCs w:val="14"/>
                <w:color w:val="auto"/>
              </w:rPr>
              <w:t>(0.6)</w:t>
            </w:r>
          </w:p>
        </w:tc>
        <w:tc>
          <w:tcPr>
            <w:tcW w:w="100" w:type="dxa"/>
            <w:vAlign w:val="bottom"/>
            <w:shd w:val="clear" w:color="auto" w:fill="F5F5F5"/>
          </w:tcPr>
          <w:p>
            <w:pPr>
              <w:spacing w:after="0"/>
              <w:rPr>
                <w:sz w:val="17"/>
                <w:szCs w:val="17"/>
                <w:color w:val="auto"/>
              </w:rPr>
            </w:pPr>
          </w:p>
        </w:tc>
        <w:tc>
          <w:tcPr>
            <w:tcW w:w="320" w:type="dxa"/>
            <w:vAlign w:val="bottom"/>
            <w:shd w:val="clear" w:color="auto" w:fill="F5F5F5"/>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372</w:t>
            </w:r>
          </w:p>
        </w:tc>
        <w:tc>
          <w:tcPr>
            <w:tcW w:w="100" w:type="dxa"/>
            <w:vAlign w:val="bottom"/>
            <w:shd w:val="clear" w:color="auto" w:fill="F5F5F5"/>
          </w:tcPr>
          <w:p>
            <w:pPr>
              <w:spacing w:after="0"/>
              <w:rPr>
                <w:sz w:val="17"/>
                <w:szCs w:val="17"/>
                <w:color w:val="auto"/>
              </w:rPr>
            </w:pPr>
          </w:p>
        </w:tc>
        <w:tc>
          <w:tcPr>
            <w:tcW w:w="1320" w:type="dxa"/>
            <w:vAlign w:val="bottom"/>
            <w:gridSpan w:val="2"/>
            <w:shd w:val="clear" w:color="auto" w:fill="F5F5F5"/>
          </w:tcPr>
          <w:p>
            <w:pPr>
              <w:jc w:val="right"/>
              <w:ind w:right="300"/>
              <w:spacing w:after="0"/>
              <w:rPr>
                <w:sz w:val="20"/>
                <w:szCs w:val="20"/>
                <w:color w:val="auto"/>
              </w:rPr>
            </w:pPr>
            <w:r>
              <w:rPr>
                <w:rFonts w:ascii="Arial" w:cs="Arial" w:eastAsia="Arial" w:hAnsi="Arial"/>
                <w:sz w:val="14"/>
                <w:szCs w:val="14"/>
                <w:color w:val="auto"/>
              </w:rPr>
              <w:t>—</w:t>
            </w:r>
          </w:p>
        </w:tc>
        <w:tc>
          <w:tcPr>
            <w:tcW w:w="1080" w:type="dxa"/>
            <w:vAlign w:val="bottom"/>
            <w:shd w:val="clear" w:color="auto" w:fill="F5F5F5"/>
          </w:tcPr>
          <w:p>
            <w:pPr>
              <w:jc w:val="center"/>
              <w:spacing w:after="0"/>
              <w:rPr>
                <w:sz w:val="20"/>
                <w:szCs w:val="20"/>
                <w:color w:val="auto"/>
              </w:rPr>
            </w:pPr>
            <w:r>
              <w:rPr>
                <w:rFonts w:ascii="Arial" w:cs="Arial" w:eastAsia="Arial" w:hAnsi="Arial"/>
                <w:sz w:val="14"/>
                <w:szCs w:val="14"/>
                <w:color w:val="auto"/>
                <w:w w:val="96"/>
              </w:rPr>
              <w:t>(60)</w:t>
            </w:r>
          </w:p>
        </w:tc>
      </w:tr>
    </w:tbl>
    <w:p>
      <w:pPr>
        <w:spacing w:after="0" w:line="32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For Fiscal 2024, interest (income) expense, net, increased 60 basis points as compared to Fiscal 2023. The net increase was a result of lower interest expense in Fiscal 2024 compared to Fiscal 2023 as result of the repurchases of Senior Secured Notes in late Fiscal 2023 and Fiscal 2024 and redemption of the remaining outstanding balance on July 15, 2024. Additionally, interest income increased due to the increase in balance and rates received on time deposits and money market accounts as compared to Fiscal 2023.</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Income Tax Expense</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color w:val="auto"/>
              </w:rPr>
              <w:t>Fiscal 2024</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color w:val="auto"/>
              </w:rPr>
              <w:t>Fiscal 2023</w:t>
            </w:r>
          </w:p>
        </w:tc>
      </w:tr>
      <w:tr>
        <w:trPr>
          <w:trHeight w:val="198"/>
        </w:trPr>
        <w:tc>
          <w:tcPr>
            <w:tcW w:w="5460" w:type="dxa"/>
            <w:vAlign w:val="bottom"/>
            <w:tcBorders>
              <w:bottom w:val="single" w:sz="8" w:color="F5F5F5"/>
            </w:tcBorders>
          </w:tcPr>
          <w:p>
            <w:pPr>
              <w:ind w:left="20"/>
              <w:spacing w:after="0"/>
              <w:rPr>
                <w:sz w:val="20"/>
                <w:szCs w:val="20"/>
                <w:color w:val="auto"/>
              </w:rPr>
            </w:pPr>
            <w:r>
              <w:rPr>
                <w:rFonts w:ascii="Arial" w:cs="Arial" w:eastAsia="Arial" w:hAnsi="Arial"/>
                <w:sz w:val="14"/>
                <w:szCs w:val="14"/>
                <w:i w:val="1"/>
                <w:iCs w:val="1"/>
                <w:color w:val="auto"/>
              </w:rPr>
              <w:t>(in thousands, except ratios)</w:t>
            </w:r>
          </w:p>
        </w:tc>
        <w:tc>
          <w:tcPr>
            <w:tcW w:w="400" w:type="dxa"/>
            <w:vAlign w:val="bottom"/>
            <w:tcBorders>
              <w:bottom w:val="single" w:sz="8" w:color="F5F5F5"/>
            </w:tcBorders>
          </w:tcPr>
          <w:p>
            <w:pPr>
              <w:spacing w:after="0"/>
              <w:rPr>
                <w:sz w:val="17"/>
                <w:szCs w:val="17"/>
                <w:color w:val="auto"/>
              </w:rPr>
            </w:pPr>
          </w:p>
        </w:tc>
        <w:tc>
          <w:tcPr>
            <w:tcW w:w="900" w:type="dxa"/>
            <w:vAlign w:val="bottom"/>
            <w:tcBorders>
              <w:bottom w:val="single" w:sz="8" w:color="F5F5F5"/>
            </w:tcBorders>
          </w:tcPr>
          <w:p>
            <w:pPr>
              <w:spacing w:after="0"/>
              <w:rPr>
                <w:sz w:val="17"/>
                <w:szCs w:val="17"/>
                <w:color w:val="auto"/>
              </w:rPr>
            </w:pPr>
          </w:p>
        </w:tc>
        <w:tc>
          <w:tcPr>
            <w:tcW w:w="100" w:type="dxa"/>
            <w:vAlign w:val="bottom"/>
            <w:tcBorders>
              <w:bottom w:val="single" w:sz="8" w:color="F5F5F5"/>
            </w:tcBorders>
          </w:tcPr>
          <w:p>
            <w:pPr>
              <w:spacing w:after="0"/>
              <w:rPr>
                <w:sz w:val="17"/>
                <w:szCs w:val="17"/>
                <w:color w:val="auto"/>
              </w:rPr>
            </w:pPr>
          </w:p>
        </w:tc>
        <w:tc>
          <w:tcPr>
            <w:tcW w:w="14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Effective Tax Rate</w:t>
            </w:r>
          </w:p>
        </w:tc>
        <w:tc>
          <w:tcPr>
            <w:tcW w:w="100" w:type="dxa"/>
            <w:vAlign w:val="bottom"/>
            <w:tcBorders>
              <w:bottom w:val="single" w:sz="8" w:color="F5F5F5"/>
            </w:tcBorders>
          </w:tcPr>
          <w:p>
            <w:pPr>
              <w:spacing w:after="0"/>
              <w:rPr>
                <w:sz w:val="17"/>
                <w:szCs w:val="17"/>
                <w:color w:val="auto"/>
              </w:rPr>
            </w:pPr>
          </w:p>
        </w:tc>
        <w:tc>
          <w:tcPr>
            <w:tcW w:w="400" w:type="dxa"/>
            <w:vAlign w:val="bottom"/>
            <w:tcBorders>
              <w:bottom w:val="single" w:sz="8" w:color="F5F5F5"/>
            </w:tcBorders>
          </w:tcPr>
          <w:p>
            <w:pPr>
              <w:spacing w:after="0"/>
              <w:rPr>
                <w:sz w:val="17"/>
                <w:szCs w:val="17"/>
                <w:color w:val="auto"/>
              </w:rPr>
            </w:pPr>
          </w:p>
        </w:tc>
        <w:tc>
          <w:tcPr>
            <w:tcW w:w="900" w:type="dxa"/>
            <w:vAlign w:val="bottom"/>
            <w:tcBorders>
              <w:bottom w:val="single" w:sz="8" w:color="F5F5F5"/>
            </w:tcBorders>
          </w:tcPr>
          <w:p>
            <w:pPr>
              <w:spacing w:after="0"/>
              <w:rPr>
                <w:sz w:val="17"/>
                <w:szCs w:val="17"/>
                <w:color w:val="auto"/>
              </w:rPr>
            </w:pPr>
          </w:p>
        </w:tc>
        <w:tc>
          <w:tcPr>
            <w:tcW w:w="100" w:type="dxa"/>
            <w:vAlign w:val="bottom"/>
            <w:tcBorders>
              <w:bottom w:val="single" w:sz="8" w:color="F5F5F5"/>
            </w:tcBorders>
          </w:tcPr>
          <w:p>
            <w:pPr>
              <w:spacing w:after="0"/>
              <w:rPr>
                <w:sz w:val="17"/>
                <w:szCs w:val="17"/>
                <w:color w:val="auto"/>
              </w:rPr>
            </w:pPr>
          </w:p>
        </w:tc>
        <w:tc>
          <w:tcPr>
            <w:tcW w:w="14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Effective Tax Rate</w:t>
            </w:r>
          </w:p>
        </w:tc>
      </w:tr>
      <w:tr>
        <w:trPr>
          <w:trHeight w:val="200"/>
        </w:trPr>
        <w:tc>
          <w:tcPr>
            <w:tcW w:w="5460" w:type="dxa"/>
            <w:vAlign w:val="bottom"/>
            <w:shd w:val="clear" w:color="auto" w:fill="F5F5F5"/>
          </w:tcPr>
          <w:p>
            <w:pPr>
              <w:ind w:left="20"/>
              <w:spacing w:after="0"/>
              <w:rPr>
                <w:sz w:val="20"/>
                <w:szCs w:val="20"/>
                <w:color w:val="auto"/>
              </w:rPr>
            </w:pPr>
            <w:r>
              <w:rPr>
                <w:rFonts w:ascii="Arial" w:cs="Arial" w:eastAsia="Arial" w:hAnsi="Arial"/>
                <w:sz w:val="14"/>
                <w:szCs w:val="14"/>
                <w:color w:val="auto"/>
              </w:rPr>
              <w:t>Income tax expense</w:t>
            </w:r>
          </w:p>
        </w:tc>
        <w:tc>
          <w:tcPr>
            <w:tcW w:w="400" w:type="dxa"/>
            <w:vAlign w:val="bottom"/>
            <w:shd w:val="clear" w:color="auto" w:fill="F5F5F5"/>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194,661</w:t>
            </w:r>
          </w:p>
        </w:tc>
        <w:tc>
          <w:tcPr>
            <w:tcW w:w="1520" w:type="dxa"/>
            <w:vAlign w:val="bottom"/>
            <w:gridSpan w:val="2"/>
            <w:shd w:val="clear" w:color="auto" w:fill="F5F5F5"/>
          </w:tcPr>
          <w:p>
            <w:pPr>
              <w:ind w:left="1040"/>
              <w:spacing w:after="0"/>
              <w:rPr>
                <w:sz w:val="20"/>
                <w:szCs w:val="20"/>
                <w:color w:val="auto"/>
              </w:rPr>
            </w:pPr>
            <w:r>
              <w:rPr>
                <w:rFonts w:ascii="Arial" w:cs="Arial" w:eastAsia="Arial" w:hAnsi="Arial"/>
                <w:sz w:val="14"/>
                <w:szCs w:val="14"/>
                <w:color w:val="auto"/>
              </w:rPr>
              <w:t>25.3 %</w:t>
            </w:r>
          </w:p>
        </w:tc>
        <w:tc>
          <w:tcPr>
            <w:tcW w:w="100" w:type="dxa"/>
            <w:vAlign w:val="bottom"/>
            <w:shd w:val="clear" w:color="auto" w:fill="F5F5F5"/>
          </w:tcPr>
          <w:p>
            <w:pPr>
              <w:spacing w:after="0"/>
              <w:rPr>
                <w:sz w:val="17"/>
                <w:szCs w:val="17"/>
                <w:color w:val="auto"/>
              </w:rPr>
            </w:pPr>
          </w:p>
        </w:tc>
        <w:tc>
          <w:tcPr>
            <w:tcW w:w="400" w:type="dxa"/>
            <w:vAlign w:val="bottom"/>
            <w:shd w:val="clear" w:color="auto" w:fill="F5F5F5"/>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148,886</w:t>
            </w:r>
          </w:p>
        </w:tc>
        <w:tc>
          <w:tcPr>
            <w:tcW w:w="1520" w:type="dxa"/>
            <w:vAlign w:val="bottom"/>
            <w:gridSpan w:val="2"/>
            <w:shd w:val="clear" w:color="auto" w:fill="F5F5F5"/>
          </w:tcPr>
          <w:p>
            <w:pPr>
              <w:ind w:left="1060"/>
              <w:spacing w:after="0"/>
              <w:rPr>
                <w:sz w:val="20"/>
                <w:szCs w:val="20"/>
                <w:color w:val="auto"/>
              </w:rPr>
            </w:pPr>
            <w:r>
              <w:rPr>
                <w:rFonts w:ascii="Arial" w:cs="Arial" w:eastAsia="Arial" w:hAnsi="Arial"/>
                <w:sz w:val="14"/>
                <w:szCs w:val="14"/>
                <w:color w:val="auto"/>
              </w:rPr>
              <w:t>30.7 %</w:t>
            </w:r>
          </w:p>
        </w:tc>
      </w:tr>
      <w:tr>
        <w:trPr>
          <w:trHeight w:val="198"/>
        </w:trPr>
        <w:tc>
          <w:tcPr>
            <w:tcW w:w="5460" w:type="dxa"/>
            <w:vAlign w:val="bottom"/>
          </w:tcPr>
          <w:p>
            <w:pPr>
              <w:ind w:left="20"/>
              <w:spacing w:after="0"/>
              <w:rPr>
                <w:sz w:val="20"/>
                <w:szCs w:val="20"/>
                <w:color w:val="auto"/>
              </w:rPr>
            </w:pPr>
            <w:r>
              <w:rPr>
                <w:rFonts w:ascii="Arial" w:cs="Arial" w:eastAsia="Arial" w:hAnsi="Arial"/>
                <w:sz w:val="14"/>
                <w:szCs w:val="14"/>
                <w:color w:val="auto"/>
              </w:rPr>
              <w:t>Excluded items:</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7"/>
        </w:trPr>
        <w:tc>
          <w:tcPr>
            <w:tcW w:w="5460" w:type="dxa"/>
            <w:vAlign w:val="bottom"/>
            <w:shd w:val="clear" w:color="auto" w:fill="F5F5F5"/>
          </w:tcPr>
          <w:p>
            <w:pPr>
              <w:ind w:left="140"/>
              <w:spacing w:after="0"/>
              <w:rPr>
                <w:sz w:val="20"/>
                <w:szCs w:val="20"/>
                <w:color w:val="auto"/>
              </w:rPr>
            </w:pPr>
            <w:r>
              <w:rPr>
                <w:rFonts w:ascii="Arial" w:cs="Arial" w:eastAsia="Arial" w:hAnsi="Arial"/>
                <w:sz w:val="14"/>
                <w:szCs w:val="14"/>
                <w:color w:val="auto"/>
              </w:rPr>
              <w:t xml:space="preserve">Tax effect of pre-tax excluded items </w:t>
            </w:r>
            <w:r>
              <w:rPr>
                <w:rFonts w:ascii="Arial" w:cs="Arial" w:eastAsia="Arial" w:hAnsi="Arial"/>
                <w:sz w:val="9"/>
                <w:szCs w:val="9"/>
                <w:color w:val="auto"/>
              </w:rPr>
              <w:t>(1)</w:t>
            </w:r>
          </w:p>
        </w:tc>
        <w:tc>
          <w:tcPr>
            <w:tcW w:w="400" w:type="dxa"/>
            <w:vAlign w:val="bottom"/>
            <w:tcBorders>
              <w:bottom w:val="single" w:sz="8" w:color="auto"/>
            </w:tcBorders>
            <w:shd w:val="clear" w:color="auto" w:fill="F5F5F5"/>
          </w:tcPr>
          <w:p>
            <w:pPr>
              <w:spacing w:after="0"/>
              <w:rPr>
                <w:sz w:val="17"/>
                <w:szCs w:val="17"/>
                <w:color w:val="auto"/>
              </w:rPr>
            </w:pPr>
          </w:p>
        </w:tc>
        <w:tc>
          <w:tcPr>
            <w:tcW w:w="900" w:type="dxa"/>
            <w:vAlign w:val="bottom"/>
            <w:tcBorders>
              <w:bottom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F5F5F5"/>
          </w:tcPr>
          <w:p>
            <w:pPr>
              <w:spacing w:after="0"/>
              <w:rPr>
                <w:sz w:val="17"/>
                <w:szCs w:val="17"/>
                <w:color w:val="auto"/>
              </w:rPr>
            </w:pPr>
          </w:p>
        </w:tc>
        <w:tc>
          <w:tcPr>
            <w:tcW w:w="1420" w:type="dxa"/>
            <w:vAlign w:val="bottom"/>
            <w:shd w:val="clear" w:color="auto" w:fill="F5F5F5"/>
          </w:tcPr>
          <w:p>
            <w:pPr>
              <w:spacing w:after="0"/>
              <w:rPr>
                <w:sz w:val="17"/>
                <w:szCs w:val="17"/>
                <w:color w:val="auto"/>
              </w:rPr>
            </w:pPr>
          </w:p>
        </w:tc>
        <w:tc>
          <w:tcPr>
            <w:tcW w:w="100" w:type="dxa"/>
            <w:vAlign w:val="bottom"/>
            <w:shd w:val="clear" w:color="auto" w:fill="F5F5F5"/>
          </w:tcPr>
          <w:p>
            <w:pPr>
              <w:spacing w:after="0"/>
              <w:rPr>
                <w:sz w:val="17"/>
                <w:szCs w:val="17"/>
                <w:color w:val="auto"/>
              </w:rPr>
            </w:pPr>
          </w:p>
        </w:tc>
        <w:tc>
          <w:tcPr>
            <w:tcW w:w="400" w:type="dxa"/>
            <w:vAlign w:val="bottom"/>
            <w:tcBorders>
              <w:bottom w:val="single" w:sz="8" w:color="auto"/>
            </w:tcBorders>
            <w:shd w:val="clear" w:color="auto" w:fill="F5F5F5"/>
          </w:tcPr>
          <w:p>
            <w:pPr>
              <w:spacing w:after="0"/>
              <w:rPr>
                <w:sz w:val="17"/>
                <w:szCs w:val="17"/>
                <w:color w:val="auto"/>
              </w:rPr>
            </w:pPr>
          </w:p>
        </w:tc>
        <w:tc>
          <w:tcPr>
            <w:tcW w:w="90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1,231</w:t>
            </w:r>
          </w:p>
        </w:tc>
        <w:tc>
          <w:tcPr>
            <w:tcW w:w="100" w:type="dxa"/>
            <w:vAlign w:val="bottom"/>
            <w:shd w:val="clear" w:color="auto" w:fill="F5F5F5"/>
          </w:tcPr>
          <w:p>
            <w:pPr>
              <w:spacing w:after="0"/>
              <w:rPr>
                <w:sz w:val="17"/>
                <w:szCs w:val="17"/>
                <w:color w:val="auto"/>
              </w:rPr>
            </w:pPr>
          </w:p>
        </w:tc>
        <w:tc>
          <w:tcPr>
            <w:tcW w:w="1420" w:type="dxa"/>
            <w:vAlign w:val="bottom"/>
            <w:shd w:val="clear" w:color="auto" w:fill="F5F5F5"/>
          </w:tcPr>
          <w:p>
            <w:pPr>
              <w:spacing w:after="0"/>
              <w:rPr>
                <w:sz w:val="17"/>
                <w:szCs w:val="17"/>
                <w:color w:val="auto"/>
              </w:rPr>
            </w:pPr>
          </w:p>
        </w:tc>
      </w:tr>
      <w:tr>
        <w:trPr>
          <w:trHeight w:val="188"/>
        </w:trPr>
        <w:tc>
          <w:tcPr>
            <w:tcW w:w="5460" w:type="dxa"/>
            <w:vAlign w:val="bottom"/>
          </w:tcPr>
          <w:p>
            <w:pPr>
              <w:ind w:left="20"/>
              <w:spacing w:after="0"/>
              <w:rPr>
                <w:sz w:val="20"/>
                <w:szCs w:val="20"/>
                <w:color w:val="auto"/>
              </w:rPr>
            </w:pPr>
            <w:r>
              <w:rPr>
                <w:rFonts w:ascii="Arial" w:cs="Arial" w:eastAsia="Arial" w:hAnsi="Arial"/>
                <w:sz w:val="14"/>
                <w:szCs w:val="14"/>
                <w:color w:val="auto"/>
              </w:rPr>
              <w:t>Adjusted non-GAAP income tax expense</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194,661</w:t>
            </w:r>
          </w:p>
        </w:tc>
        <w:tc>
          <w:tcPr>
            <w:tcW w:w="1520" w:type="dxa"/>
            <w:vAlign w:val="bottom"/>
            <w:gridSpan w:val="2"/>
          </w:tcPr>
          <w:p>
            <w:pPr>
              <w:ind w:left="1040"/>
              <w:spacing w:after="0"/>
              <w:rPr>
                <w:sz w:val="20"/>
                <w:szCs w:val="20"/>
                <w:color w:val="auto"/>
              </w:rPr>
            </w:pPr>
            <w:r>
              <w:rPr>
                <w:rFonts w:ascii="Arial" w:cs="Arial" w:eastAsia="Arial" w:hAnsi="Arial"/>
                <w:sz w:val="14"/>
                <w:szCs w:val="14"/>
                <w:color w:val="auto"/>
              </w:rPr>
              <w:t>25.3</w:t>
            </w:r>
          </w:p>
        </w:tc>
        <w:tc>
          <w:tcPr>
            <w:tcW w:w="10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150,117</w:t>
            </w:r>
          </w:p>
        </w:tc>
        <w:tc>
          <w:tcPr>
            <w:tcW w:w="1520" w:type="dxa"/>
            <w:vAlign w:val="bottom"/>
            <w:gridSpan w:val="2"/>
          </w:tcPr>
          <w:p>
            <w:pPr>
              <w:ind w:left="1060"/>
              <w:spacing w:after="0"/>
              <w:rPr>
                <w:sz w:val="20"/>
                <w:szCs w:val="20"/>
                <w:color w:val="auto"/>
              </w:rPr>
            </w:pPr>
            <w:r>
              <w:rPr>
                <w:rFonts w:ascii="Arial" w:cs="Arial" w:eastAsia="Arial" w:hAnsi="Arial"/>
                <w:sz w:val="14"/>
                <w:szCs w:val="14"/>
                <w:color w:val="auto"/>
              </w:rPr>
              <w:t>30.7</w:t>
            </w:r>
          </w:p>
        </w:tc>
      </w:tr>
    </w:tbl>
    <w:p>
      <w:pPr>
        <w:spacing w:after="0" w:line="144" w:lineRule="exact"/>
        <w:rPr>
          <w:sz w:val="20"/>
          <w:szCs w:val="20"/>
          <w:color w:val="auto"/>
        </w:rPr>
      </w:pPr>
    </w:p>
    <w:p>
      <w:pPr>
        <w:ind w:left="340" w:hanging="332"/>
        <w:spacing w:after="0" w:line="227" w:lineRule="auto"/>
        <w:tabs>
          <w:tab w:leader="none" w:pos="234" w:val="left"/>
        </w:tabs>
        <w:numPr>
          <w:ilvl w:val="0"/>
          <w:numId w:val="38"/>
        </w:numPr>
        <w:rPr>
          <w:rFonts w:ascii="Arial" w:cs="Arial" w:eastAsia="Arial" w:hAnsi="Arial"/>
          <w:sz w:val="18"/>
          <w:szCs w:val="18"/>
          <w:color w:val="auto"/>
          <w:vertAlign w:val="superscript"/>
        </w:rPr>
      </w:pPr>
      <w:r>
        <w:rPr>
          <w:rFonts w:ascii="Arial" w:cs="Arial" w:eastAsia="Arial" w:hAnsi="Arial"/>
          <w:sz w:val="13"/>
          <w:szCs w:val="13"/>
          <w:color w:val="auto"/>
        </w:rPr>
        <w:t xml:space="preserve">Refer to </w:t>
      </w: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19408E"/>
        </w:rPr>
        <w:t>Operating Income</w:t>
      </w:r>
      <w:r>
        <w:rPr>
          <w:rFonts w:ascii="Arial" w:cs="Arial" w:eastAsia="Arial" w:hAnsi="Arial"/>
          <w:sz w:val="13"/>
          <w:szCs w:val="13"/>
          <w:i w:val="1"/>
          <w:iCs w:val="1"/>
          <w:color w:val="auto"/>
        </w:rPr>
        <w:t>”</w:t>
      </w:r>
      <w:r>
        <w:rPr>
          <w:rFonts w:ascii="Arial" w:cs="Arial" w:eastAsia="Arial" w:hAnsi="Arial"/>
          <w:sz w:val="13"/>
          <w:szCs w:val="13"/>
          <w:color w:val="auto"/>
        </w:rPr>
        <w:t xml:space="preserve"> for details of pre-tax excluded items. The tax effect of pre-tax excluded items is the difference between the tax provision calculation on a GAAP basis and an adjusted non-GAAP basis. Refer to “NON-GAAP FINANCIAL MEASURES” for further details.</w:t>
      </w:r>
    </w:p>
    <w:p>
      <w:pPr>
        <w:spacing w:after="0" w:line="22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increase in income tax expense compared to Fiscal 2023 can be attributed to higher domestic income resulting from higher sales volume and higher AURs. The decrease in effective tax rate compared to Fiscal 2023 can be attributed to higher domestic income, a higher tax benefit recognized on vesting of share based compensation awards, and continued business improvement in the EMEA and APAC segments.</w:t>
      </w:r>
    </w:p>
    <w:p>
      <w:pPr>
        <w:spacing w:after="0" w:line="19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During Fiscal 2024, the Company did not recognize income tax benefits on $53.8 million of pre-tax losses, primarily in Switzerland, resulting in adverse tax impacts of $8.2 million. The primary driver relates to expense deleverage within the APAC and EMEA regions.</w:t>
      </w:r>
    </w:p>
    <w:p>
      <w:pPr>
        <w:spacing w:after="0" w:line="19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During Fiscal 2023, the Company did not recognize income tax benefits on $103.0 million of pre-tax losses, primarily in Switzerland, resulting in adverse tax impacts of $15.6 million. The primary driver relates to expense deleverage within the APAC and EMEA regions, although to a lesser extent than in Fiscal 2022.</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Refer to Note 11, “</w:t>
      </w:r>
      <w:r>
        <w:rPr>
          <w:rFonts w:ascii="Arial" w:cs="Arial" w:eastAsia="Arial" w:hAnsi="Arial"/>
          <w:sz w:val="16"/>
          <w:szCs w:val="16"/>
          <w:i w:val="1"/>
          <w:iCs w:val="1"/>
          <w:u w:val="single" w:color="auto"/>
          <w:color w:val="0000FF"/>
        </w:rPr>
        <w:t>INCOME TAXES</w:t>
      </w:r>
      <w:r>
        <w:rPr>
          <w:rFonts w:ascii="Arial" w:cs="Arial" w:eastAsia="Arial" w:hAnsi="Arial"/>
          <w:sz w:val="16"/>
          <w:szCs w:val="16"/>
          <w:color w:val="auto"/>
        </w:rPr>
        <w:t>,” for further discussion on factors that impacted the effective tax rate in Fiscal 2024 and Fiscal 2023.</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36</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Net Income Attributable to A&amp;F</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ind w:right="748"/>
              <w:spacing w:after="0"/>
              <w:rPr>
                <w:sz w:val="20"/>
                <w:szCs w:val="20"/>
                <w:color w:val="auto"/>
              </w:rPr>
            </w:pPr>
            <w:r>
              <w:rPr>
                <w:rFonts w:ascii="Arial" w:cs="Arial" w:eastAsia="Arial" w:hAnsi="Arial"/>
                <w:sz w:val="14"/>
                <w:szCs w:val="14"/>
                <w:color w:val="auto"/>
              </w:rPr>
              <w:t>Fiscal 2024</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color w:val="auto"/>
              </w:rPr>
              <w:t>Fiscal 2023</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9"/>
        </w:trPr>
        <w:tc>
          <w:tcPr>
            <w:tcW w:w="5100" w:type="dxa"/>
            <w:vAlign w:val="bottom"/>
            <w:tcBorders>
              <w:bottom w:val="single" w:sz="8" w:color="F5F5F5"/>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F5F5F5"/>
            </w:tcBorders>
          </w:tcPr>
          <w:p>
            <w:pPr>
              <w:spacing w:after="0"/>
              <w:rPr>
                <w:sz w:val="17"/>
                <w:szCs w:val="17"/>
                <w:color w:val="auto"/>
              </w:rPr>
            </w:pPr>
          </w:p>
        </w:tc>
        <w:tc>
          <w:tcPr>
            <w:tcW w:w="800" w:type="dxa"/>
            <w:vAlign w:val="bottom"/>
            <w:tcBorders>
              <w:bottom w:val="single" w:sz="8" w:color="F5F5F5"/>
            </w:tcBorders>
          </w:tcPr>
          <w:p>
            <w:pPr>
              <w:spacing w:after="0"/>
              <w:rPr>
                <w:sz w:val="17"/>
                <w:szCs w:val="17"/>
                <w:color w:val="auto"/>
              </w:rPr>
            </w:pPr>
          </w:p>
        </w:tc>
        <w:tc>
          <w:tcPr>
            <w:tcW w:w="100" w:type="dxa"/>
            <w:vAlign w:val="bottom"/>
            <w:tcBorders>
              <w:bottom w:val="single" w:sz="8" w:color="F5F5F5"/>
            </w:tcBorders>
          </w:tcPr>
          <w:p>
            <w:pPr>
              <w:spacing w:after="0"/>
              <w:rPr>
                <w:sz w:val="17"/>
                <w:szCs w:val="17"/>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 of Net Sales</w:t>
            </w:r>
          </w:p>
        </w:tc>
        <w:tc>
          <w:tcPr>
            <w:tcW w:w="120" w:type="dxa"/>
            <w:vAlign w:val="bottom"/>
            <w:tcBorders>
              <w:bottom w:val="single" w:sz="8" w:color="F5F5F5"/>
            </w:tcBorders>
          </w:tcPr>
          <w:p>
            <w:pPr>
              <w:spacing w:after="0"/>
              <w:rPr>
                <w:sz w:val="17"/>
                <w:szCs w:val="17"/>
                <w:color w:val="auto"/>
              </w:rPr>
            </w:pPr>
          </w:p>
        </w:tc>
        <w:tc>
          <w:tcPr>
            <w:tcW w:w="300" w:type="dxa"/>
            <w:vAlign w:val="bottom"/>
            <w:tcBorders>
              <w:bottom w:val="single" w:sz="8" w:color="F5F5F5"/>
            </w:tcBorders>
          </w:tcPr>
          <w:p>
            <w:pPr>
              <w:spacing w:after="0"/>
              <w:rPr>
                <w:sz w:val="17"/>
                <w:szCs w:val="17"/>
                <w:color w:val="auto"/>
              </w:rPr>
            </w:pPr>
          </w:p>
        </w:tc>
        <w:tc>
          <w:tcPr>
            <w:tcW w:w="780" w:type="dxa"/>
            <w:vAlign w:val="bottom"/>
            <w:tcBorders>
              <w:bottom w:val="single" w:sz="8" w:color="F5F5F5"/>
            </w:tcBorders>
          </w:tcPr>
          <w:p>
            <w:pPr>
              <w:spacing w:after="0"/>
              <w:rPr>
                <w:sz w:val="17"/>
                <w:szCs w:val="17"/>
                <w:color w:val="auto"/>
              </w:rPr>
            </w:pPr>
          </w:p>
        </w:tc>
        <w:tc>
          <w:tcPr>
            <w:tcW w:w="120" w:type="dxa"/>
            <w:vAlign w:val="bottom"/>
            <w:tcBorders>
              <w:bottom w:val="single" w:sz="8" w:color="F5F5F5"/>
            </w:tcBorders>
          </w:tcPr>
          <w:p>
            <w:pPr>
              <w:spacing w:after="0"/>
              <w:rPr>
                <w:sz w:val="17"/>
                <w:szCs w:val="17"/>
                <w:color w:val="auto"/>
              </w:rPr>
            </w:pPr>
          </w:p>
        </w:tc>
        <w:tc>
          <w:tcPr>
            <w:tcW w:w="11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 of Net Sales</w:t>
            </w:r>
          </w:p>
        </w:tc>
        <w:tc>
          <w:tcPr>
            <w:tcW w:w="120" w:type="dxa"/>
            <w:vAlign w:val="bottom"/>
            <w:tcBorders>
              <w:bottom w:val="single" w:sz="8" w:color="F5F5F5"/>
            </w:tcBorders>
          </w:tcPr>
          <w:p>
            <w:pPr>
              <w:spacing w:after="0"/>
              <w:rPr>
                <w:sz w:val="17"/>
                <w:szCs w:val="17"/>
                <w:color w:val="auto"/>
              </w:rPr>
            </w:pPr>
          </w:p>
        </w:tc>
        <w:tc>
          <w:tcPr>
            <w:tcW w:w="10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BPS Change</w:t>
            </w:r>
          </w:p>
        </w:tc>
      </w:tr>
      <w:tr>
        <w:trPr>
          <w:trHeight w:val="200"/>
        </w:trPr>
        <w:tc>
          <w:tcPr>
            <w:tcW w:w="5100" w:type="dxa"/>
            <w:vAlign w:val="bottom"/>
            <w:shd w:val="clear" w:color="auto" w:fill="F5F5F5"/>
          </w:tcPr>
          <w:p>
            <w:pPr>
              <w:ind w:left="20"/>
              <w:spacing w:after="0"/>
              <w:rPr>
                <w:sz w:val="20"/>
                <w:szCs w:val="20"/>
                <w:color w:val="auto"/>
              </w:rPr>
            </w:pPr>
            <w:r>
              <w:rPr>
                <w:rFonts w:ascii="Arial" w:cs="Arial" w:eastAsia="Arial" w:hAnsi="Arial"/>
                <w:sz w:val="14"/>
                <w:szCs w:val="14"/>
                <w:color w:val="auto"/>
              </w:rPr>
              <w:t>Net income attributable to A&amp;F</w:t>
            </w:r>
          </w:p>
        </w:tc>
        <w:tc>
          <w:tcPr>
            <w:tcW w:w="300" w:type="dxa"/>
            <w:vAlign w:val="bottom"/>
            <w:shd w:val="clear" w:color="auto" w:fill="F5F5F5"/>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566,223</w:t>
            </w:r>
          </w:p>
        </w:tc>
        <w:tc>
          <w:tcPr>
            <w:tcW w:w="1300" w:type="dxa"/>
            <w:vAlign w:val="bottom"/>
            <w:gridSpan w:val="2"/>
            <w:shd w:val="clear" w:color="auto" w:fill="F5F5F5"/>
          </w:tcPr>
          <w:p>
            <w:pPr>
              <w:jc w:val="right"/>
              <w:spacing w:after="0"/>
              <w:rPr>
                <w:sz w:val="20"/>
                <w:szCs w:val="20"/>
                <w:color w:val="auto"/>
              </w:rPr>
            </w:pPr>
            <w:r>
              <w:rPr>
                <w:rFonts w:ascii="Arial" w:cs="Arial" w:eastAsia="Arial" w:hAnsi="Arial"/>
                <w:sz w:val="14"/>
                <w:szCs w:val="14"/>
                <w:color w:val="auto"/>
              </w:rPr>
              <w:t>11.4 %</w:t>
            </w:r>
          </w:p>
        </w:tc>
        <w:tc>
          <w:tcPr>
            <w:tcW w:w="120" w:type="dxa"/>
            <w:vAlign w:val="bottom"/>
            <w:shd w:val="clear" w:color="auto" w:fill="F5F5F5"/>
          </w:tcPr>
          <w:p>
            <w:pPr>
              <w:spacing w:after="0"/>
              <w:rPr>
                <w:sz w:val="17"/>
                <w:szCs w:val="17"/>
                <w:color w:val="auto"/>
              </w:rPr>
            </w:pPr>
          </w:p>
        </w:tc>
        <w:tc>
          <w:tcPr>
            <w:tcW w:w="300" w:type="dxa"/>
            <w:vAlign w:val="bottom"/>
            <w:shd w:val="clear" w:color="auto" w:fill="F5F5F5"/>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328,123</w:t>
            </w:r>
          </w:p>
        </w:tc>
        <w:tc>
          <w:tcPr>
            <w:tcW w:w="1300" w:type="dxa"/>
            <w:vAlign w:val="bottom"/>
            <w:gridSpan w:val="2"/>
            <w:shd w:val="clear" w:color="auto" w:fill="F5F5F5"/>
          </w:tcPr>
          <w:p>
            <w:pPr>
              <w:ind w:left="920"/>
              <w:spacing w:after="0"/>
              <w:rPr>
                <w:sz w:val="20"/>
                <w:szCs w:val="20"/>
                <w:color w:val="auto"/>
              </w:rPr>
            </w:pPr>
            <w:r>
              <w:rPr>
                <w:rFonts w:ascii="Arial" w:cs="Arial" w:eastAsia="Arial" w:hAnsi="Arial"/>
                <w:sz w:val="14"/>
                <w:szCs w:val="14"/>
                <w:color w:val="auto"/>
              </w:rPr>
              <w:t>7.7 %</w:t>
            </w:r>
          </w:p>
        </w:tc>
        <w:tc>
          <w:tcPr>
            <w:tcW w:w="120" w:type="dxa"/>
            <w:vAlign w:val="bottom"/>
            <w:shd w:val="clear" w:color="auto" w:fill="F5F5F5"/>
          </w:tcPr>
          <w:p>
            <w:pPr>
              <w:spacing w:after="0"/>
              <w:rPr>
                <w:sz w:val="17"/>
                <w:szCs w:val="17"/>
                <w:color w:val="auto"/>
              </w:rPr>
            </w:pPr>
          </w:p>
        </w:tc>
        <w:tc>
          <w:tcPr>
            <w:tcW w:w="1080" w:type="dxa"/>
            <w:vAlign w:val="bottom"/>
            <w:shd w:val="clear" w:color="auto" w:fill="F5F5F5"/>
          </w:tcPr>
          <w:p>
            <w:pPr>
              <w:jc w:val="center"/>
              <w:spacing w:after="0"/>
              <w:rPr>
                <w:sz w:val="20"/>
                <w:szCs w:val="20"/>
                <w:color w:val="auto"/>
              </w:rPr>
            </w:pPr>
            <w:r>
              <w:rPr>
                <w:rFonts w:ascii="Arial" w:cs="Arial" w:eastAsia="Arial" w:hAnsi="Arial"/>
                <w:sz w:val="14"/>
                <w:szCs w:val="14"/>
                <w:color w:val="auto"/>
              </w:rPr>
              <w:t>370</w:t>
            </w:r>
          </w:p>
        </w:tc>
      </w:tr>
      <w:tr>
        <w:trPr>
          <w:trHeight w:val="203"/>
        </w:trPr>
        <w:tc>
          <w:tcPr>
            <w:tcW w:w="5100" w:type="dxa"/>
            <w:vAlign w:val="bottom"/>
            <w:tcBorders>
              <w:bottom w:val="single" w:sz="8" w:color="F5F5F5"/>
            </w:tcBorders>
          </w:tcPr>
          <w:p>
            <w:pPr>
              <w:ind w:left="180"/>
              <w:spacing w:after="0" w:line="202" w:lineRule="exact"/>
              <w:rPr>
                <w:sz w:val="20"/>
                <w:szCs w:val="20"/>
                <w:color w:val="auto"/>
              </w:rPr>
            </w:pPr>
            <w:r>
              <w:rPr>
                <w:rFonts w:ascii="Arial" w:cs="Arial" w:eastAsia="Arial" w:hAnsi="Arial"/>
                <w:sz w:val="14"/>
                <w:szCs w:val="14"/>
                <w:color w:val="auto"/>
              </w:rPr>
              <w:t xml:space="preserve">Excluded items, net of tax </w:t>
            </w:r>
            <w:r>
              <w:rPr>
                <w:rFonts w:ascii="Arial" w:cs="Arial" w:eastAsia="Arial" w:hAnsi="Arial"/>
                <w:sz w:val="18"/>
                <w:szCs w:val="18"/>
                <w:color w:val="auto"/>
                <w:vertAlign w:val="superscript"/>
              </w:rPr>
              <w:t>(1)</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F5F5F5"/>
            </w:tcBorders>
          </w:tcPr>
          <w:p>
            <w:pPr>
              <w:spacing w:after="0"/>
              <w:rPr>
                <w:sz w:val="17"/>
                <w:szCs w:val="17"/>
                <w:color w:val="auto"/>
              </w:rPr>
            </w:pPr>
          </w:p>
        </w:tc>
        <w:tc>
          <w:tcPr>
            <w:tcW w:w="1320" w:type="dxa"/>
            <w:vAlign w:val="bottom"/>
            <w:tcBorders>
              <w:bottom w:val="single" w:sz="8" w:color="F5F5F5"/>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3,205</w:t>
            </w:r>
          </w:p>
        </w:tc>
        <w:tc>
          <w:tcPr>
            <w:tcW w:w="1300" w:type="dxa"/>
            <w:vAlign w:val="bottom"/>
            <w:tcBorders>
              <w:bottom w:val="single" w:sz="8" w:color="F5F5F5"/>
            </w:tcBorders>
            <w:gridSpan w:val="2"/>
          </w:tcPr>
          <w:p>
            <w:pPr>
              <w:ind w:left="920"/>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F5F5F5"/>
            </w:tcBorders>
          </w:tcPr>
          <w:p>
            <w:pPr>
              <w:spacing w:after="0"/>
              <w:rPr>
                <w:sz w:val="17"/>
                <w:szCs w:val="17"/>
                <w:color w:val="auto"/>
              </w:rPr>
            </w:pPr>
          </w:p>
        </w:tc>
        <w:tc>
          <w:tcPr>
            <w:tcW w:w="1080" w:type="dxa"/>
            <w:vAlign w:val="bottom"/>
            <w:tcBorders>
              <w:bottom w:val="single" w:sz="8" w:color="F5F5F5"/>
            </w:tcBorders>
          </w:tcPr>
          <w:p>
            <w:pPr>
              <w:jc w:val="center"/>
              <w:spacing w:after="0"/>
              <w:rPr>
                <w:sz w:val="20"/>
                <w:szCs w:val="20"/>
                <w:color w:val="auto"/>
              </w:rPr>
            </w:pPr>
            <w:r>
              <w:rPr>
                <w:rFonts w:ascii="Arial" w:cs="Arial" w:eastAsia="Arial" w:hAnsi="Arial"/>
                <w:sz w:val="14"/>
                <w:szCs w:val="14"/>
                <w:color w:val="auto"/>
                <w:w w:val="96"/>
              </w:rPr>
              <w:t>(10)</w:t>
            </w:r>
          </w:p>
        </w:tc>
      </w:tr>
      <w:tr>
        <w:trPr>
          <w:trHeight w:val="196"/>
        </w:trPr>
        <w:tc>
          <w:tcPr>
            <w:tcW w:w="5100" w:type="dxa"/>
            <w:vAlign w:val="bottom"/>
            <w:shd w:val="clear" w:color="auto" w:fill="F5F5F5"/>
          </w:tcPr>
          <w:p>
            <w:pPr>
              <w:ind w:left="20"/>
              <w:spacing w:after="0" w:line="196" w:lineRule="exact"/>
              <w:rPr>
                <w:sz w:val="20"/>
                <w:szCs w:val="20"/>
                <w:color w:val="auto"/>
              </w:rPr>
            </w:pPr>
            <w:r>
              <w:rPr>
                <w:rFonts w:ascii="Arial" w:cs="Arial" w:eastAsia="Arial" w:hAnsi="Arial"/>
                <w:sz w:val="14"/>
                <w:szCs w:val="14"/>
                <w:color w:val="auto"/>
              </w:rPr>
              <w:t xml:space="preserve">Adjusted non-GAAP net income attributable to A&amp;F </w:t>
            </w:r>
            <w:r>
              <w:rPr>
                <w:rFonts w:ascii="Arial" w:cs="Arial" w:eastAsia="Arial" w:hAnsi="Arial"/>
                <w:sz w:val="18"/>
                <w:szCs w:val="18"/>
                <w:color w:val="auto"/>
                <w:vertAlign w:val="superscript"/>
              </w:rPr>
              <w:t>(2)</w:t>
            </w:r>
          </w:p>
        </w:tc>
        <w:tc>
          <w:tcPr>
            <w:tcW w:w="300" w:type="dxa"/>
            <w:vAlign w:val="bottom"/>
            <w:shd w:val="clear" w:color="auto" w:fill="F5F5F5"/>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566,223</w:t>
            </w:r>
          </w:p>
        </w:tc>
        <w:tc>
          <w:tcPr>
            <w:tcW w:w="1300" w:type="dxa"/>
            <w:vAlign w:val="bottom"/>
            <w:gridSpan w:val="2"/>
            <w:shd w:val="clear" w:color="auto" w:fill="F5F5F5"/>
          </w:tcPr>
          <w:p>
            <w:pPr>
              <w:jc w:val="right"/>
              <w:ind w:right="108"/>
              <w:spacing w:after="0"/>
              <w:rPr>
                <w:sz w:val="20"/>
                <w:szCs w:val="20"/>
                <w:color w:val="auto"/>
              </w:rPr>
            </w:pPr>
            <w:r>
              <w:rPr>
                <w:rFonts w:ascii="Arial" w:cs="Arial" w:eastAsia="Arial" w:hAnsi="Arial"/>
                <w:sz w:val="14"/>
                <w:szCs w:val="14"/>
                <w:color w:val="auto"/>
              </w:rPr>
              <w:t>11.4</w:t>
            </w:r>
          </w:p>
        </w:tc>
        <w:tc>
          <w:tcPr>
            <w:tcW w:w="120" w:type="dxa"/>
            <w:vAlign w:val="bottom"/>
            <w:shd w:val="clear" w:color="auto" w:fill="F5F5F5"/>
          </w:tcPr>
          <w:p>
            <w:pPr>
              <w:spacing w:after="0"/>
              <w:rPr>
                <w:sz w:val="17"/>
                <w:szCs w:val="17"/>
                <w:color w:val="auto"/>
              </w:rPr>
            </w:pPr>
          </w:p>
        </w:tc>
        <w:tc>
          <w:tcPr>
            <w:tcW w:w="300" w:type="dxa"/>
            <w:vAlign w:val="bottom"/>
            <w:shd w:val="clear" w:color="auto" w:fill="F5F5F5"/>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331,328</w:t>
            </w:r>
          </w:p>
        </w:tc>
        <w:tc>
          <w:tcPr>
            <w:tcW w:w="1300" w:type="dxa"/>
            <w:vAlign w:val="bottom"/>
            <w:gridSpan w:val="2"/>
            <w:shd w:val="clear" w:color="auto" w:fill="F5F5F5"/>
          </w:tcPr>
          <w:p>
            <w:pPr>
              <w:ind w:left="920"/>
              <w:spacing w:after="0"/>
              <w:rPr>
                <w:sz w:val="20"/>
                <w:szCs w:val="20"/>
                <w:color w:val="auto"/>
              </w:rPr>
            </w:pPr>
            <w:r>
              <w:rPr>
                <w:rFonts w:ascii="Arial" w:cs="Arial" w:eastAsia="Arial" w:hAnsi="Arial"/>
                <w:sz w:val="14"/>
                <w:szCs w:val="14"/>
                <w:color w:val="auto"/>
              </w:rPr>
              <w:t>7.7</w:t>
            </w:r>
          </w:p>
        </w:tc>
        <w:tc>
          <w:tcPr>
            <w:tcW w:w="120" w:type="dxa"/>
            <w:vAlign w:val="bottom"/>
            <w:shd w:val="clear" w:color="auto" w:fill="F5F5F5"/>
          </w:tcPr>
          <w:p>
            <w:pPr>
              <w:spacing w:after="0"/>
              <w:rPr>
                <w:sz w:val="17"/>
                <w:szCs w:val="17"/>
                <w:color w:val="auto"/>
              </w:rPr>
            </w:pPr>
          </w:p>
        </w:tc>
        <w:tc>
          <w:tcPr>
            <w:tcW w:w="1080" w:type="dxa"/>
            <w:vAlign w:val="bottom"/>
            <w:shd w:val="clear" w:color="auto" w:fill="F5F5F5"/>
          </w:tcPr>
          <w:p>
            <w:pPr>
              <w:jc w:val="center"/>
              <w:spacing w:after="0"/>
              <w:rPr>
                <w:sz w:val="20"/>
                <w:szCs w:val="20"/>
                <w:color w:val="auto"/>
              </w:rPr>
            </w:pPr>
            <w:r>
              <w:rPr>
                <w:rFonts w:ascii="Arial" w:cs="Arial" w:eastAsia="Arial" w:hAnsi="Arial"/>
                <w:sz w:val="14"/>
                <w:szCs w:val="14"/>
                <w:color w:val="auto"/>
              </w:rPr>
              <w:t>370</w:t>
            </w:r>
          </w:p>
        </w:tc>
      </w:tr>
    </w:tbl>
    <w:p>
      <w:pPr>
        <w:spacing w:after="0" w:line="105" w:lineRule="exact"/>
        <w:rPr>
          <w:sz w:val="20"/>
          <w:szCs w:val="20"/>
          <w:color w:val="auto"/>
        </w:rPr>
      </w:pPr>
    </w:p>
    <w:p>
      <w:pPr>
        <w:ind w:left="220" w:hanging="212"/>
        <w:spacing w:after="0"/>
        <w:tabs>
          <w:tab w:leader="none" w:pos="220" w:val="left"/>
        </w:tabs>
        <w:numPr>
          <w:ilvl w:val="0"/>
          <w:numId w:val="39"/>
        </w:numPr>
        <w:rPr>
          <w:rFonts w:ascii="Arial" w:cs="Arial" w:eastAsia="Arial" w:hAnsi="Arial"/>
          <w:sz w:val="18"/>
          <w:szCs w:val="18"/>
          <w:color w:val="auto"/>
          <w:vertAlign w:val="superscript"/>
        </w:rPr>
      </w:pPr>
      <w:r>
        <w:rPr>
          <w:rFonts w:ascii="Arial" w:cs="Arial" w:eastAsia="Arial" w:hAnsi="Arial"/>
          <w:sz w:val="13"/>
          <w:szCs w:val="13"/>
          <w:color w:val="auto"/>
        </w:rPr>
        <w:t>Excludes items presented above under “</w:t>
      </w:r>
      <w:r>
        <w:rPr>
          <w:rFonts w:ascii="Arial" w:cs="Arial" w:eastAsia="Arial" w:hAnsi="Arial"/>
          <w:sz w:val="13"/>
          <w:szCs w:val="13"/>
          <w:i w:val="1"/>
          <w:iCs w:val="1"/>
          <w:u w:val="single" w:color="auto"/>
          <w:color w:val="auto"/>
        </w:rPr>
        <w:t>Operating Income</w:t>
      </w:r>
      <w:r>
        <w:rPr>
          <w:rFonts w:ascii="Arial" w:cs="Arial" w:eastAsia="Arial" w:hAnsi="Arial"/>
          <w:sz w:val="13"/>
          <w:szCs w:val="13"/>
          <w:i w:val="1"/>
          <w:iCs w:val="1"/>
          <w:color w:val="auto"/>
        </w:rPr>
        <w:t>,</w:t>
      </w:r>
      <w:r>
        <w:rPr>
          <w:rFonts w:ascii="Arial" w:cs="Arial" w:eastAsia="Arial" w:hAnsi="Arial"/>
          <w:sz w:val="13"/>
          <w:szCs w:val="13"/>
          <w:color w:val="auto"/>
        </w:rPr>
        <w:t>” and “</w:t>
      </w:r>
      <w:r>
        <w:rPr>
          <w:rFonts w:ascii="Arial" w:cs="Arial" w:eastAsia="Arial" w:hAnsi="Arial"/>
          <w:sz w:val="13"/>
          <w:szCs w:val="13"/>
          <w:i w:val="1"/>
          <w:iCs w:val="1"/>
          <w:u w:val="single" w:color="auto"/>
          <w:color w:val="auto"/>
        </w:rPr>
        <w:t>Income Tax Expense</w:t>
      </w:r>
      <w:r>
        <w:rPr>
          <w:rFonts w:ascii="Arial" w:cs="Arial" w:eastAsia="Arial" w:hAnsi="Arial"/>
          <w:sz w:val="13"/>
          <w:szCs w:val="13"/>
          <w:i w:val="1"/>
          <w:iCs w:val="1"/>
          <w:color w:val="auto"/>
        </w:rPr>
        <w:t>.</w:t>
      </w:r>
      <w:r>
        <w:rPr>
          <w:rFonts w:ascii="Arial" w:cs="Arial" w:eastAsia="Arial" w:hAnsi="Arial"/>
          <w:sz w:val="13"/>
          <w:szCs w:val="13"/>
          <w:color w:val="auto"/>
        </w:rPr>
        <w:t>”</w:t>
      </w:r>
    </w:p>
    <w:p>
      <w:pPr>
        <w:spacing w:after="0" w:line="50" w:lineRule="exact"/>
        <w:rPr>
          <w:rFonts w:ascii="Arial" w:cs="Arial" w:eastAsia="Arial" w:hAnsi="Arial"/>
          <w:sz w:val="18"/>
          <w:szCs w:val="18"/>
          <w:color w:val="auto"/>
          <w:vertAlign w:val="superscript"/>
        </w:rPr>
      </w:pPr>
    </w:p>
    <w:p>
      <w:pPr>
        <w:ind w:left="220" w:hanging="212"/>
        <w:spacing w:after="0" w:line="191" w:lineRule="auto"/>
        <w:tabs>
          <w:tab w:leader="none" w:pos="220" w:val="left"/>
        </w:tabs>
        <w:numPr>
          <w:ilvl w:val="0"/>
          <w:numId w:val="39"/>
        </w:numPr>
        <w:rPr>
          <w:rFonts w:ascii="Arial" w:cs="Arial" w:eastAsia="Arial" w:hAnsi="Arial"/>
          <w:sz w:val="18"/>
          <w:szCs w:val="18"/>
          <w:color w:val="auto"/>
          <w:vertAlign w:val="superscript"/>
        </w:rPr>
      </w:pPr>
      <w:r>
        <w:rPr>
          <w:rFonts w:ascii="Arial" w:cs="Arial" w:eastAsia="Arial" w:hAnsi="Arial"/>
          <w:sz w:val="13"/>
          <w:szCs w:val="13"/>
          <w:color w:val="auto"/>
        </w:rPr>
        <w:t>Refer to “</w:t>
      </w:r>
      <w:r>
        <w:rPr>
          <w:rFonts w:ascii="Arial" w:cs="Arial" w:eastAsia="Arial" w:hAnsi="Arial"/>
          <w:sz w:val="13"/>
          <w:szCs w:val="13"/>
          <w:i w:val="1"/>
          <w:iCs w:val="1"/>
          <w:u w:val="single" w:color="auto"/>
          <w:color w:val="0000FF"/>
        </w:rPr>
        <w:t>NON-GAAP FINANCIAL MEASURES</w:t>
      </w:r>
      <w:r>
        <w:rPr>
          <w:rFonts w:ascii="Arial" w:cs="Arial" w:eastAsia="Arial" w:hAnsi="Arial"/>
          <w:sz w:val="13"/>
          <w:szCs w:val="13"/>
          <w:color w:val="auto"/>
        </w:rPr>
        <w:t>,” for further details.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Net Income Per Diluted Share Attributable to A&amp;F</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860" w:type="dxa"/>
            <w:vAlign w:val="bottom"/>
            <w:tcBorders>
              <w:bottom w:val="single" w:sz="8" w:color="F5F5F5"/>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Fiscal 2024</w:t>
            </w:r>
          </w:p>
        </w:tc>
        <w:tc>
          <w:tcPr>
            <w:tcW w:w="120" w:type="dxa"/>
            <w:vAlign w:val="bottom"/>
            <w:tcBorders>
              <w:bottom w:val="single" w:sz="8" w:color="F5F5F5"/>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Fiscal 2023</w:t>
            </w:r>
          </w:p>
        </w:tc>
        <w:tc>
          <w:tcPr>
            <w:tcW w:w="120" w:type="dxa"/>
            <w:vAlign w:val="bottom"/>
            <w:tcBorders>
              <w:bottom w:val="single" w:sz="8" w:color="F5F5F5"/>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 Change</w:t>
            </w:r>
          </w:p>
        </w:tc>
      </w:tr>
      <w:tr>
        <w:trPr>
          <w:trHeight w:val="200"/>
        </w:trPr>
        <w:tc>
          <w:tcPr>
            <w:tcW w:w="7860" w:type="dxa"/>
            <w:vAlign w:val="bottom"/>
            <w:shd w:val="clear" w:color="auto" w:fill="F5F5F5"/>
          </w:tcPr>
          <w:p>
            <w:pPr>
              <w:ind w:left="20"/>
              <w:spacing w:after="0"/>
              <w:rPr>
                <w:sz w:val="20"/>
                <w:szCs w:val="20"/>
                <w:color w:val="auto"/>
              </w:rPr>
            </w:pPr>
            <w:r>
              <w:rPr>
                <w:rFonts w:ascii="Arial" w:cs="Arial" w:eastAsia="Arial" w:hAnsi="Arial"/>
                <w:sz w:val="14"/>
                <w:szCs w:val="14"/>
                <w:color w:val="auto"/>
              </w:rPr>
              <w:t>Net income per diluted share attributable to A&amp;F</w:t>
            </w:r>
          </w:p>
        </w:tc>
        <w:tc>
          <w:tcPr>
            <w:tcW w:w="240" w:type="dxa"/>
            <w:vAlign w:val="bottom"/>
            <w:shd w:val="clear" w:color="auto" w:fill="F5F5F5"/>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10.69</w:t>
            </w:r>
          </w:p>
        </w:tc>
        <w:tc>
          <w:tcPr>
            <w:tcW w:w="120" w:type="dxa"/>
            <w:vAlign w:val="bottom"/>
            <w:shd w:val="clear" w:color="auto" w:fill="F5F5F5"/>
          </w:tcPr>
          <w:p>
            <w:pPr>
              <w:spacing w:after="0"/>
              <w:rPr>
                <w:sz w:val="17"/>
                <w:szCs w:val="17"/>
                <w:color w:val="auto"/>
              </w:rPr>
            </w:pPr>
          </w:p>
        </w:tc>
        <w:tc>
          <w:tcPr>
            <w:tcW w:w="240" w:type="dxa"/>
            <w:vAlign w:val="bottom"/>
            <w:shd w:val="clear" w:color="auto" w:fill="F5F5F5"/>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6.22</w:t>
            </w:r>
          </w:p>
        </w:tc>
        <w:tc>
          <w:tcPr>
            <w:tcW w:w="300" w:type="dxa"/>
            <w:vAlign w:val="bottom"/>
            <w:gridSpan w:val="2"/>
            <w:shd w:val="clear" w:color="auto" w:fill="F5F5F5"/>
          </w:tcPr>
          <w:p>
            <w:pPr>
              <w:jc w:val="right"/>
              <w:ind w:right="80"/>
              <w:spacing w:after="0"/>
              <w:rPr>
                <w:sz w:val="20"/>
                <w:szCs w:val="20"/>
                <w:color w:val="auto"/>
              </w:rPr>
            </w:pPr>
            <w:r>
              <w:rPr>
                <w:rFonts w:ascii="Arial" w:cs="Arial" w:eastAsia="Arial" w:hAnsi="Arial"/>
                <w:sz w:val="14"/>
                <w:szCs w:val="14"/>
                <w:color w:val="auto"/>
              </w:rPr>
              <w:t>$</w:t>
            </w:r>
          </w:p>
        </w:tc>
        <w:tc>
          <w:tcPr>
            <w:tcW w:w="720" w:type="dxa"/>
            <w:vAlign w:val="bottom"/>
            <w:shd w:val="clear" w:color="auto" w:fill="F5F5F5"/>
          </w:tcPr>
          <w:p>
            <w:pPr>
              <w:jc w:val="center"/>
              <w:ind w:left="248"/>
              <w:spacing w:after="0"/>
              <w:rPr>
                <w:sz w:val="20"/>
                <w:szCs w:val="20"/>
                <w:color w:val="auto"/>
              </w:rPr>
            </w:pPr>
            <w:r>
              <w:rPr>
                <w:rFonts w:ascii="Arial" w:cs="Arial" w:eastAsia="Arial" w:hAnsi="Arial"/>
                <w:sz w:val="14"/>
                <w:szCs w:val="14"/>
                <w:color w:val="auto"/>
              </w:rPr>
              <w:t>4.47</w:t>
            </w:r>
          </w:p>
        </w:tc>
      </w:tr>
      <w:tr>
        <w:trPr>
          <w:trHeight w:val="203"/>
        </w:trPr>
        <w:tc>
          <w:tcPr>
            <w:tcW w:w="7860" w:type="dxa"/>
            <w:vAlign w:val="bottom"/>
          </w:tcPr>
          <w:p>
            <w:pPr>
              <w:ind w:left="180"/>
              <w:spacing w:after="0" w:line="202" w:lineRule="exact"/>
              <w:rPr>
                <w:sz w:val="20"/>
                <w:szCs w:val="20"/>
                <w:color w:val="auto"/>
              </w:rPr>
            </w:pPr>
            <w:r>
              <w:rPr>
                <w:rFonts w:ascii="Arial" w:cs="Arial" w:eastAsia="Arial" w:hAnsi="Arial"/>
                <w:sz w:val="14"/>
                <w:szCs w:val="14"/>
                <w:color w:val="auto"/>
              </w:rPr>
              <w:t xml:space="preserve">Excluded items, net of tax </w:t>
            </w:r>
            <w:r>
              <w:rPr>
                <w:rFonts w:ascii="Arial" w:cs="Arial" w:eastAsia="Arial" w:hAnsi="Arial"/>
                <w:sz w:val="18"/>
                <w:szCs w:val="18"/>
                <w:color w:val="auto"/>
                <w:vertAlign w:val="superscript"/>
              </w:rPr>
              <w:t>(1)</w:t>
            </w:r>
          </w:p>
        </w:tc>
        <w:tc>
          <w:tcPr>
            <w:tcW w:w="24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0.06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ind w:left="228"/>
              <w:spacing w:after="0"/>
              <w:rPr>
                <w:sz w:val="20"/>
                <w:szCs w:val="20"/>
                <w:color w:val="auto"/>
              </w:rPr>
            </w:pPr>
            <w:r>
              <w:rPr>
                <w:rFonts w:ascii="Arial" w:cs="Arial" w:eastAsia="Arial" w:hAnsi="Arial"/>
                <w:sz w:val="14"/>
                <w:szCs w:val="14"/>
                <w:color w:val="auto"/>
              </w:rPr>
              <w:t>(0.06)</w:t>
            </w:r>
          </w:p>
        </w:tc>
      </w:tr>
      <w:tr>
        <w:trPr>
          <w:trHeight w:val="196"/>
        </w:trPr>
        <w:tc>
          <w:tcPr>
            <w:tcW w:w="7860" w:type="dxa"/>
            <w:vAlign w:val="bottom"/>
            <w:tcBorders>
              <w:top w:val="single" w:sz="8" w:color="F5F5F5"/>
            </w:tcBorders>
            <w:shd w:val="clear" w:color="auto" w:fill="F5F5F5"/>
          </w:tcPr>
          <w:p>
            <w:pPr>
              <w:ind w:left="20"/>
              <w:spacing w:after="0"/>
              <w:rPr>
                <w:sz w:val="20"/>
                <w:szCs w:val="20"/>
                <w:color w:val="auto"/>
              </w:rPr>
            </w:pPr>
            <w:r>
              <w:rPr>
                <w:rFonts w:ascii="Arial" w:cs="Arial" w:eastAsia="Arial" w:hAnsi="Arial"/>
                <w:sz w:val="14"/>
                <w:szCs w:val="14"/>
                <w:color w:val="auto"/>
              </w:rPr>
              <w:t>Adjusted non-GAAP net income per diluted share attributable to A&amp;F</w:t>
            </w:r>
          </w:p>
        </w:tc>
        <w:tc>
          <w:tcPr>
            <w:tcW w:w="240" w:type="dxa"/>
            <w:vAlign w:val="bottom"/>
            <w:tcBorders>
              <w:top w:val="single" w:sz="8" w:color="auto"/>
            </w:tcBorders>
            <w:shd w:val="clear" w:color="auto" w:fill="F5F5F5"/>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10.69</w:t>
            </w:r>
          </w:p>
        </w:tc>
        <w:tc>
          <w:tcPr>
            <w:tcW w:w="120" w:type="dxa"/>
            <w:vAlign w:val="bottom"/>
            <w:tcBorders>
              <w:top w:val="single" w:sz="8" w:color="F5F5F5"/>
            </w:tcBorders>
            <w:shd w:val="clear" w:color="auto" w:fill="F5F5F5"/>
          </w:tcPr>
          <w:p>
            <w:pPr>
              <w:spacing w:after="0"/>
              <w:rPr>
                <w:sz w:val="17"/>
                <w:szCs w:val="17"/>
                <w:color w:val="auto"/>
              </w:rPr>
            </w:pPr>
          </w:p>
        </w:tc>
        <w:tc>
          <w:tcPr>
            <w:tcW w:w="240" w:type="dxa"/>
            <w:vAlign w:val="bottom"/>
            <w:tcBorders>
              <w:top w:val="single" w:sz="8" w:color="auto"/>
            </w:tcBorders>
            <w:shd w:val="clear" w:color="auto" w:fill="F5F5F5"/>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6.28</w:t>
            </w:r>
          </w:p>
        </w:tc>
        <w:tc>
          <w:tcPr>
            <w:tcW w:w="300" w:type="dxa"/>
            <w:vAlign w:val="bottom"/>
            <w:tcBorders>
              <w:top w:val="single" w:sz="8" w:color="F5F5F5"/>
            </w:tcBorders>
            <w:gridSpan w:val="2"/>
            <w:shd w:val="clear" w:color="auto" w:fill="F5F5F5"/>
          </w:tcPr>
          <w:p>
            <w:pPr>
              <w:jc w:val="right"/>
              <w:ind w:right="8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F5F5F5"/>
            </w:tcBorders>
            <w:shd w:val="clear" w:color="auto" w:fill="F5F5F5"/>
          </w:tcPr>
          <w:p>
            <w:pPr>
              <w:jc w:val="center"/>
              <w:ind w:left="248"/>
              <w:spacing w:after="0"/>
              <w:rPr>
                <w:sz w:val="20"/>
                <w:szCs w:val="20"/>
                <w:color w:val="auto"/>
              </w:rPr>
            </w:pPr>
            <w:r>
              <w:rPr>
                <w:rFonts w:ascii="Arial" w:cs="Arial" w:eastAsia="Arial" w:hAnsi="Arial"/>
                <w:sz w:val="14"/>
                <w:szCs w:val="14"/>
                <w:color w:val="auto"/>
              </w:rPr>
              <w:t>4.41</w:t>
            </w:r>
          </w:p>
        </w:tc>
      </w:tr>
      <w:tr>
        <w:trPr>
          <w:trHeight w:val="198"/>
        </w:trPr>
        <w:tc>
          <w:tcPr>
            <w:tcW w:w="7860" w:type="dxa"/>
            <w:vAlign w:val="bottom"/>
          </w:tcPr>
          <w:p>
            <w:pPr>
              <w:ind w:left="180"/>
              <w:spacing w:after="0"/>
              <w:rPr>
                <w:sz w:val="20"/>
                <w:szCs w:val="20"/>
                <w:color w:val="auto"/>
              </w:rPr>
            </w:pPr>
            <w:r>
              <w:rPr>
                <w:rFonts w:ascii="Arial" w:cs="Arial" w:eastAsia="Arial" w:hAnsi="Arial"/>
                <w:sz w:val="14"/>
                <w:szCs w:val="14"/>
                <w:color w:val="auto"/>
              </w:rPr>
              <w:t>Impact from changes in foreign currency exchange rates</w:t>
            </w:r>
          </w:p>
        </w:tc>
        <w:tc>
          <w:tcPr>
            <w:tcW w:w="24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0.05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ind w:left="228"/>
              <w:spacing w:after="0"/>
              <w:rPr>
                <w:sz w:val="20"/>
                <w:szCs w:val="20"/>
                <w:color w:val="auto"/>
              </w:rPr>
            </w:pPr>
            <w:r>
              <w:rPr>
                <w:rFonts w:ascii="Arial" w:cs="Arial" w:eastAsia="Arial" w:hAnsi="Arial"/>
                <w:sz w:val="14"/>
                <w:szCs w:val="14"/>
                <w:color w:val="auto"/>
              </w:rPr>
              <w:t>(0.05)</w:t>
            </w:r>
          </w:p>
        </w:tc>
      </w:tr>
      <w:tr>
        <w:trPr>
          <w:trHeight w:val="200"/>
        </w:trPr>
        <w:tc>
          <w:tcPr>
            <w:tcW w:w="7860" w:type="dxa"/>
            <w:vAlign w:val="bottom"/>
            <w:tcBorders>
              <w:top w:val="single" w:sz="8" w:color="F5F5F5"/>
            </w:tcBorders>
            <w:shd w:val="clear" w:color="auto" w:fill="F5F5F5"/>
          </w:tcPr>
          <w:p>
            <w:pPr>
              <w:ind w:left="20"/>
              <w:spacing w:after="0" w:line="200" w:lineRule="exact"/>
              <w:rPr>
                <w:sz w:val="20"/>
                <w:szCs w:val="20"/>
                <w:color w:val="auto"/>
              </w:rPr>
            </w:pPr>
            <w:r>
              <w:rPr>
                <w:rFonts w:ascii="Arial" w:cs="Arial" w:eastAsia="Arial" w:hAnsi="Arial"/>
                <w:sz w:val="14"/>
                <w:szCs w:val="14"/>
                <w:color w:val="auto"/>
              </w:rPr>
              <w:t>Adjusted non-GAAP net income per diluted share attributable to A&amp;F on a constant currency basis</w:t>
            </w:r>
            <w:r>
              <w:rPr>
                <w:rFonts w:ascii="Arial" w:cs="Arial" w:eastAsia="Arial" w:hAnsi="Arial"/>
                <w:sz w:val="18"/>
                <w:szCs w:val="18"/>
                <w:color w:val="auto"/>
                <w:vertAlign w:val="superscript"/>
              </w:rPr>
              <w:t>(2)</w:t>
            </w:r>
          </w:p>
        </w:tc>
        <w:tc>
          <w:tcPr>
            <w:tcW w:w="240" w:type="dxa"/>
            <w:vAlign w:val="bottom"/>
            <w:tcBorders>
              <w:top w:val="single" w:sz="8" w:color="auto"/>
            </w:tcBorders>
            <w:shd w:val="clear" w:color="auto" w:fill="F5F5F5"/>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10.69</w:t>
            </w:r>
          </w:p>
        </w:tc>
        <w:tc>
          <w:tcPr>
            <w:tcW w:w="120" w:type="dxa"/>
            <w:vAlign w:val="bottom"/>
            <w:tcBorders>
              <w:top w:val="single" w:sz="8" w:color="F5F5F5"/>
            </w:tcBorders>
            <w:shd w:val="clear" w:color="auto" w:fill="F5F5F5"/>
          </w:tcPr>
          <w:p>
            <w:pPr>
              <w:spacing w:after="0"/>
              <w:rPr>
                <w:sz w:val="17"/>
                <w:szCs w:val="17"/>
                <w:color w:val="auto"/>
              </w:rPr>
            </w:pPr>
          </w:p>
        </w:tc>
        <w:tc>
          <w:tcPr>
            <w:tcW w:w="240" w:type="dxa"/>
            <w:vAlign w:val="bottom"/>
            <w:tcBorders>
              <w:top w:val="single" w:sz="8" w:color="auto"/>
            </w:tcBorders>
            <w:shd w:val="clear" w:color="auto" w:fill="F5F5F5"/>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6.33</w:t>
            </w:r>
          </w:p>
        </w:tc>
        <w:tc>
          <w:tcPr>
            <w:tcW w:w="300" w:type="dxa"/>
            <w:vAlign w:val="bottom"/>
            <w:tcBorders>
              <w:top w:val="single" w:sz="8" w:color="F5F5F5"/>
            </w:tcBorders>
            <w:gridSpan w:val="2"/>
            <w:shd w:val="clear" w:color="auto" w:fill="F5F5F5"/>
          </w:tcPr>
          <w:p>
            <w:pPr>
              <w:jc w:val="right"/>
              <w:ind w:right="8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F5F5F5"/>
            </w:tcBorders>
            <w:shd w:val="clear" w:color="auto" w:fill="F5F5F5"/>
          </w:tcPr>
          <w:p>
            <w:pPr>
              <w:jc w:val="center"/>
              <w:ind w:left="248"/>
              <w:spacing w:after="0"/>
              <w:rPr>
                <w:sz w:val="20"/>
                <w:szCs w:val="20"/>
                <w:color w:val="auto"/>
              </w:rPr>
            </w:pPr>
            <w:r>
              <w:rPr>
                <w:rFonts w:ascii="Arial" w:cs="Arial" w:eastAsia="Arial" w:hAnsi="Arial"/>
                <w:sz w:val="14"/>
                <w:szCs w:val="14"/>
                <w:color w:val="auto"/>
              </w:rPr>
              <w:t>4.36</w:t>
            </w:r>
          </w:p>
        </w:tc>
      </w:tr>
    </w:tbl>
    <w:p>
      <w:pPr>
        <w:spacing w:after="0" w:line="89" w:lineRule="exact"/>
        <w:rPr>
          <w:sz w:val="20"/>
          <w:szCs w:val="20"/>
          <w:color w:val="auto"/>
        </w:rPr>
      </w:pPr>
    </w:p>
    <w:p>
      <w:pPr>
        <w:ind w:left="260" w:hanging="252"/>
        <w:spacing w:after="0"/>
        <w:tabs>
          <w:tab w:leader="none" w:pos="260" w:val="left"/>
        </w:tabs>
        <w:numPr>
          <w:ilvl w:val="0"/>
          <w:numId w:val="40"/>
        </w:numPr>
        <w:rPr>
          <w:rFonts w:ascii="Arial" w:cs="Arial" w:eastAsia="Arial" w:hAnsi="Arial"/>
          <w:sz w:val="18"/>
          <w:szCs w:val="18"/>
          <w:color w:val="auto"/>
          <w:vertAlign w:val="superscript"/>
        </w:rPr>
      </w:pPr>
      <w:r>
        <w:rPr>
          <w:rFonts w:ascii="Arial" w:cs="Arial" w:eastAsia="Arial" w:hAnsi="Arial"/>
          <w:sz w:val="13"/>
          <w:szCs w:val="13"/>
          <w:color w:val="auto"/>
        </w:rPr>
        <w:t>Excludes items presented above under “</w:t>
      </w:r>
      <w:r>
        <w:rPr>
          <w:rFonts w:ascii="Arial" w:cs="Arial" w:eastAsia="Arial" w:hAnsi="Arial"/>
          <w:sz w:val="13"/>
          <w:szCs w:val="13"/>
          <w:i w:val="1"/>
          <w:iCs w:val="1"/>
          <w:u w:val="single" w:color="auto"/>
          <w:color w:val="auto"/>
        </w:rPr>
        <w:t>Operating Income</w:t>
      </w:r>
      <w:r>
        <w:rPr>
          <w:rFonts w:ascii="Arial" w:cs="Arial" w:eastAsia="Arial" w:hAnsi="Arial"/>
          <w:sz w:val="13"/>
          <w:szCs w:val="13"/>
          <w:i w:val="1"/>
          <w:iCs w:val="1"/>
          <w:color w:val="auto"/>
        </w:rPr>
        <w:t>,</w:t>
      </w:r>
      <w:r>
        <w:rPr>
          <w:rFonts w:ascii="Arial" w:cs="Arial" w:eastAsia="Arial" w:hAnsi="Arial"/>
          <w:sz w:val="13"/>
          <w:szCs w:val="13"/>
          <w:color w:val="auto"/>
        </w:rPr>
        <w:t>” and “</w:t>
      </w:r>
      <w:r>
        <w:rPr>
          <w:rFonts w:ascii="Arial" w:cs="Arial" w:eastAsia="Arial" w:hAnsi="Arial"/>
          <w:sz w:val="13"/>
          <w:szCs w:val="13"/>
          <w:i w:val="1"/>
          <w:iCs w:val="1"/>
          <w:u w:val="single" w:color="auto"/>
          <w:color w:val="auto"/>
        </w:rPr>
        <w:t>Income Tax Expense</w:t>
      </w:r>
      <w:r>
        <w:rPr>
          <w:rFonts w:ascii="Arial" w:cs="Arial" w:eastAsia="Arial" w:hAnsi="Arial"/>
          <w:sz w:val="13"/>
          <w:szCs w:val="13"/>
          <w:i w:val="1"/>
          <w:iCs w:val="1"/>
          <w:color w:val="auto"/>
        </w:rPr>
        <w:t>.</w:t>
      </w:r>
      <w:r>
        <w:rPr>
          <w:rFonts w:ascii="Arial" w:cs="Arial" w:eastAsia="Arial" w:hAnsi="Arial"/>
          <w:sz w:val="13"/>
          <w:szCs w:val="13"/>
          <w:color w:val="auto"/>
        </w:rPr>
        <w:t>”</w:t>
      </w:r>
    </w:p>
    <w:p>
      <w:pPr>
        <w:ind w:left="220" w:hanging="212"/>
        <w:spacing w:after="0" w:line="190" w:lineRule="auto"/>
        <w:tabs>
          <w:tab w:leader="none" w:pos="220" w:val="left"/>
        </w:tabs>
        <w:numPr>
          <w:ilvl w:val="0"/>
          <w:numId w:val="40"/>
        </w:numPr>
        <w:rPr>
          <w:rFonts w:ascii="Arial" w:cs="Arial" w:eastAsia="Arial" w:hAnsi="Arial"/>
          <w:sz w:val="18"/>
          <w:szCs w:val="18"/>
          <w:color w:val="auto"/>
          <w:vertAlign w:val="superscript"/>
        </w:rPr>
      </w:pPr>
      <w:r>
        <w:rPr>
          <w:rFonts w:ascii="Arial" w:cs="Arial" w:eastAsia="Arial" w:hAnsi="Arial"/>
          <w:sz w:val="13"/>
          <w:szCs w:val="13"/>
          <w:color w:val="auto"/>
        </w:rPr>
        <w:t>Refer to “</w:t>
      </w:r>
      <w:r>
        <w:rPr>
          <w:rFonts w:ascii="Arial" w:cs="Arial" w:eastAsia="Arial" w:hAnsi="Arial"/>
          <w:sz w:val="13"/>
          <w:szCs w:val="13"/>
          <w:i w:val="1"/>
          <w:iCs w:val="1"/>
          <w:u w:val="single" w:color="auto"/>
          <w:color w:val="0000FF"/>
        </w:rPr>
        <w:t>NON-GAAP FINANCIAL MEASURES</w:t>
      </w:r>
      <w:r>
        <w:rPr>
          <w:rFonts w:ascii="Arial" w:cs="Arial" w:eastAsia="Arial" w:hAnsi="Arial"/>
          <w:sz w:val="13"/>
          <w:szCs w:val="13"/>
          <w:color w:val="auto"/>
        </w:rPr>
        <w:t>,” for further details.</w:t>
      </w: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6"/>
          <w:szCs w:val="16"/>
          <w:i w:val="1"/>
          <w:iCs w:val="1"/>
          <w:u w:val="single" w:color="auto"/>
          <w:color w:val="AC7E65"/>
        </w:rPr>
        <w:t>EBITDA and Adjusted EBITDA</w:t>
      </w: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6080" w:type="dxa"/>
            <w:vAlign w:val="bottom"/>
            <w:shd w:val="clear" w:color="auto" w:fill="F5F5F5"/>
          </w:tcPr>
          <w:p>
            <w:pPr>
              <w:spacing w:after="0"/>
              <w:rPr>
                <w:sz w:val="17"/>
                <w:szCs w:val="17"/>
                <w:color w:val="auto"/>
              </w:rPr>
            </w:pPr>
          </w:p>
        </w:tc>
        <w:tc>
          <w:tcPr>
            <w:tcW w:w="320" w:type="dxa"/>
            <w:vAlign w:val="bottom"/>
            <w:tcBorders>
              <w:bottom w:val="single" w:sz="8" w:color="auto"/>
            </w:tcBorders>
            <w:shd w:val="clear" w:color="auto" w:fill="F5F5F5"/>
          </w:tcPr>
          <w:p>
            <w:pPr>
              <w:spacing w:after="0"/>
              <w:rPr>
                <w:sz w:val="17"/>
                <w:szCs w:val="17"/>
                <w:color w:val="auto"/>
              </w:rPr>
            </w:pPr>
          </w:p>
        </w:tc>
        <w:tc>
          <w:tcPr>
            <w:tcW w:w="2080" w:type="dxa"/>
            <w:vAlign w:val="bottom"/>
            <w:tcBorders>
              <w:bottom w:val="single" w:sz="8" w:color="auto"/>
            </w:tcBorders>
            <w:gridSpan w:val="3"/>
            <w:shd w:val="clear" w:color="auto" w:fill="F5F5F5"/>
          </w:tcPr>
          <w:p>
            <w:pPr>
              <w:jc w:val="right"/>
              <w:ind w:right="748"/>
              <w:spacing w:after="0"/>
              <w:rPr>
                <w:sz w:val="20"/>
                <w:szCs w:val="20"/>
                <w:color w:val="auto"/>
              </w:rPr>
            </w:pPr>
            <w:r>
              <w:rPr>
                <w:rFonts w:ascii="Arial" w:cs="Arial" w:eastAsia="Arial" w:hAnsi="Arial"/>
                <w:sz w:val="14"/>
                <w:szCs w:val="14"/>
                <w:color w:val="auto"/>
              </w:rPr>
              <w:t>Fiscal 2024</w:t>
            </w:r>
          </w:p>
        </w:tc>
        <w:tc>
          <w:tcPr>
            <w:tcW w:w="100" w:type="dxa"/>
            <w:vAlign w:val="bottom"/>
            <w:shd w:val="clear" w:color="auto" w:fill="F5F5F5"/>
          </w:tcPr>
          <w:p>
            <w:pPr>
              <w:spacing w:after="0"/>
              <w:rPr>
                <w:sz w:val="17"/>
                <w:szCs w:val="17"/>
                <w:color w:val="auto"/>
              </w:rPr>
            </w:pPr>
          </w:p>
        </w:tc>
        <w:tc>
          <w:tcPr>
            <w:tcW w:w="320" w:type="dxa"/>
            <w:vAlign w:val="bottom"/>
            <w:tcBorders>
              <w:bottom w:val="single" w:sz="8" w:color="auto"/>
            </w:tcBorders>
            <w:shd w:val="clear" w:color="auto" w:fill="F5F5F5"/>
          </w:tcPr>
          <w:p>
            <w:pPr>
              <w:spacing w:after="0"/>
              <w:rPr>
                <w:sz w:val="17"/>
                <w:szCs w:val="17"/>
                <w:color w:val="auto"/>
              </w:rPr>
            </w:pPr>
          </w:p>
        </w:tc>
        <w:tc>
          <w:tcPr>
            <w:tcW w:w="2060" w:type="dxa"/>
            <w:vAlign w:val="bottom"/>
            <w:tcBorders>
              <w:bottom w:val="single" w:sz="8" w:color="auto"/>
            </w:tcBorders>
            <w:gridSpan w:val="3"/>
            <w:shd w:val="clear" w:color="auto" w:fill="F5F5F5"/>
          </w:tcPr>
          <w:p>
            <w:pPr>
              <w:jc w:val="right"/>
              <w:ind w:right="748"/>
              <w:spacing w:after="0"/>
              <w:rPr>
                <w:sz w:val="20"/>
                <w:szCs w:val="20"/>
                <w:color w:val="auto"/>
              </w:rPr>
            </w:pPr>
            <w:r>
              <w:rPr>
                <w:rFonts w:ascii="Arial" w:cs="Arial" w:eastAsia="Arial" w:hAnsi="Arial"/>
                <w:sz w:val="14"/>
                <w:szCs w:val="14"/>
                <w:color w:val="auto"/>
              </w:rPr>
              <w:t>Fiscal 2023</w:t>
            </w:r>
          </w:p>
        </w:tc>
      </w:tr>
      <w:tr>
        <w:trPr>
          <w:trHeight w:val="192"/>
        </w:trPr>
        <w:tc>
          <w:tcPr>
            <w:tcW w:w="6080" w:type="dxa"/>
            <w:vAlign w:val="bottom"/>
            <w:tcBorders>
              <w:bottom w:val="single" w:sz="8" w:color="F5F5F5"/>
            </w:tcBorders>
          </w:tcPr>
          <w:p>
            <w:pPr>
              <w:ind w:left="20"/>
              <w:spacing w:after="0"/>
              <w:rPr>
                <w:sz w:val="20"/>
                <w:szCs w:val="20"/>
                <w:color w:val="auto"/>
              </w:rPr>
            </w:pPr>
            <w:r>
              <w:rPr>
                <w:rFonts w:ascii="Arial" w:cs="Arial" w:eastAsia="Arial" w:hAnsi="Arial"/>
                <w:sz w:val="14"/>
                <w:szCs w:val="14"/>
                <w:i w:val="1"/>
                <w:iCs w:val="1"/>
                <w:color w:val="auto"/>
              </w:rPr>
              <w:t>(in thousands, except ratios)</w:t>
            </w:r>
          </w:p>
        </w:tc>
        <w:tc>
          <w:tcPr>
            <w:tcW w:w="320" w:type="dxa"/>
            <w:vAlign w:val="bottom"/>
            <w:tcBorders>
              <w:bottom w:val="single" w:sz="8" w:color="F5F5F5"/>
            </w:tcBorders>
          </w:tcPr>
          <w:p>
            <w:pPr>
              <w:spacing w:after="0"/>
              <w:rPr>
                <w:sz w:val="16"/>
                <w:szCs w:val="16"/>
                <w:color w:val="auto"/>
              </w:rPr>
            </w:pPr>
          </w:p>
        </w:tc>
        <w:tc>
          <w:tcPr>
            <w:tcW w:w="800" w:type="dxa"/>
            <w:vAlign w:val="bottom"/>
            <w:tcBorders>
              <w:bottom w:val="single" w:sz="8" w:color="F5F5F5"/>
            </w:tcBorders>
          </w:tcPr>
          <w:p>
            <w:pPr>
              <w:spacing w:after="0"/>
              <w:rPr>
                <w:sz w:val="16"/>
                <w:szCs w:val="16"/>
                <w:color w:val="auto"/>
              </w:rPr>
            </w:pPr>
          </w:p>
        </w:tc>
        <w:tc>
          <w:tcPr>
            <w:tcW w:w="100" w:type="dxa"/>
            <w:vAlign w:val="bottom"/>
            <w:tcBorders>
              <w:bottom w:val="single" w:sz="8" w:color="F5F5F5"/>
            </w:tcBorders>
          </w:tcPr>
          <w:p>
            <w:pPr>
              <w:spacing w:after="0"/>
              <w:rPr>
                <w:sz w:val="16"/>
                <w:szCs w:val="16"/>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 of Net Sales</w:t>
            </w:r>
          </w:p>
        </w:tc>
        <w:tc>
          <w:tcPr>
            <w:tcW w:w="100" w:type="dxa"/>
            <w:vAlign w:val="bottom"/>
            <w:tcBorders>
              <w:bottom w:val="single" w:sz="8" w:color="F5F5F5"/>
            </w:tcBorders>
          </w:tcPr>
          <w:p>
            <w:pPr>
              <w:spacing w:after="0"/>
              <w:rPr>
                <w:sz w:val="16"/>
                <w:szCs w:val="16"/>
                <w:color w:val="auto"/>
              </w:rPr>
            </w:pPr>
          </w:p>
        </w:tc>
        <w:tc>
          <w:tcPr>
            <w:tcW w:w="320" w:type="dxa"/>
            <w:vAlign w:val="bottom"/>
            <w:tcBorders>
              <w:bottom w:val="single" w:sz="8" w:color="F5F5F5"/>
            </w:tcBorders>
          </w:tcPr>
          <w:p>
            <w:pPr>
              <w:spacing w:after="0"/>
              <w:rPr>
                <w:sz w:val="16"/>
                <w:szCs w:val="16"/>
                <w:color w:val="auto"/>
              </w:rPr>
            </w:pPr>
          </w:p>
        </w:tc>
        <w:tc>
          <w:tcPr>
            <w:tcW w:w="800" w:type="dxa"/>
            <w:vAlign w:val="bottom"/>
            <w:tcBorders>
              <w:bottom w:val="single" w:sz="8" w:color="F5F5F5"/>
            </w:tcBorders>
          </w:tcPr>
          <w:p>
            <w:pPr>
              <w:spacing w:after="0"/>
              <w:rPr>
                <w:sz w:val="16"/>
                <w:szCs w:val="16"/>
                <w:color w:val="auto"/>
              </w:rPr>
            </w:pPr>
          </w:p>
        </w:tc>
        <w:tc>
          <w:tcPr>
            <w:tcW w:w="80" w:type="dxa"/>
            <w:vAlign w:val="bottom"/>
            <w:tcBorders>
              <w:bottom w:val="single" w:sz="8" w:color="F5F5F5"/>
            </w:tcBorders>
          </w:tcPr>
          <w:p>
            <w:pPr>
              <w:spacing w:after="0"/>
              <w:rPr>
                <w:sz w:val="16"/>
                <w:szCs w:val="16"/>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 of Net Sales</w:t>
            </w:r>
          </w:p>
        </w:tc>
      </w:tr>
      <w:tr>
        <w:trPr>
          <w:trHeight w:val="200"/>
        </w:trPr>
        <w:tc>
          <w:tcPr>
            <w:tcW w:w="6080" w:type="dxa"/>
            <w:vAlign w:val="bottom"/>
            <w:shd w:val="clear" w:color="auto" w:fill="F5F5F5"/>
          </w:tcPr>
          <w:p>
            <w:pPr>
              <w:ind w:left="20"/>
              <w:spacing w:after="0"/>
              <w:rPr>
                <w:sz w:val="20"/>
                <w:szCs w:val="20"/>
                <w:color w:val="auto"/>
              </w:rPr>
            </w:pPr>
            <w:r>
              <w:rPr>
                <w:rFonts w:ascii="Arial" w:cs="Arial" w:eastAsia="Arial" w:hAnsi="Arial"/>
                <w:sz w:val="14"/>
                <w:szCs w:val="14"/>
                <w:color w:val="auto"/>
              </w:rPr>
              <w:t>Net income</w:t>
            </w:r>
          </w:p>
        </w:tc>
        <w:tc>
          <w:tcPr>
            <w:tcW w:w="320" w:type="dxa"/>
            <w:vAlign w:val="bottom"/>
            <w:shd w:val="clear" w:color="auto" w:fill="F5F5F5"/>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574,016</w:t>
            </w:r>
          </w:p>
        </w:tc>
        <w:tc>
          <w:tcPr>
            <w:tcW w:w="1280" w:type="dxa"/>
            <w:vAlign w:val="bottom"/>
            <w:gridSpan w:val="2"/>
            <w:shd w:val="clear" w:color="auto" w:fill="F5F5F5"/>
          </w:tcPr>
          <w:p>
            <w:pPr>
              <w:jc w:val="right"/>
              <w:spacing w:after="0"/>
              <w:rPr>
                <w:sz w:val="20"/>
                <w:szCs w:val="20"/>
                <w:color w:val="auto"/>
              </w:rPr>
            </w:pPr>
            <w:r>
              <w:rPr>
                <w:rFonts w:ascii="Arial" w:cs="Arial" w:eastAsia="Arial" w:hAnsi="Arial"/>
                <w:sz w:val="14"/>
                <w:szCs w:val="14"/>
                <w:color w:val="auto"/>
              </w:rPr>
              <w:t>11.6 %</w:t>
            </w:r>
          </w:p>
        </w:tc>
        <w:tc>
          <w:tcPr>
            <w:tcW w:w="100" w:type="dxa"/>
            <w:vAlign w:val="bottom"/>
            <w:shd w:val="clear" w:color="auto" w:fill="F5F5F5"/>
          </w:tcPr>
          <w:p>
            <w:pPr>
              <w:spacing w:after="0"/>
              <w:rPr>
                <w:sz w:val="17"/>
                <w:szCs w:val="17"/>
                <w:color w:val="auto"/>
              </w:rPr>
            </w:pPr>
          </w:p>
        </w:tc>
        <w:tc>
          <w:tcPr>
            <w:tcW w:w="320" w:type="dxa"/>
            <w:vAlign w:val="bottom"/>
            <w:shd w:val="clear" w:color="auto" w:fill="F5F5F5"/>
          </w:tcPr>
          <w:p>
            <w:pPr>
              <w:spacing w:after="0"/>
              <w:rPr>
                <w:sz w:val="17"/>
                <w:szCs w:val="17"/>
                <w:color w:val="auto"/>
              </w:rPr>
            </w:pPr>
          </w:p>
        </w:tc>
        <w:tc>
          <w:tcPr>
            <w:tcW w:w="80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335,413</w:t>
            </w:r>
          </w:p>
        </w:tc>
        <w:tc>
          <w:tcPr>
            <w:tcW w:w="1260" w:type="dxa"/>
            <w:vAlign w:val="bottom"/>
            <w:gridSpan w:val="2"/>
            <w:shd w:val="clear" w:color="auto" w:fill="F5F5F5"/>
          </w:tcPr>
          <w:p>
            <w:pPr>
              <w:jc w:val="right"/>
              <w:spacing w:after="0"/>
              <w:rPr>
                <w:sz w:val="20"/>
                <w:szCs w:val="20"/>
                <w:color w:val="auto"/>
              </w:rPr>
            </w:pPr>
            <w:r>
              <w:rPr>
                <w:rFonts w:ascii="Arial" w:cs="Arial" w:eastAsia="Arial" w:hAnsi="Arial"/>
                <w:sz w:val="14"/>
                <w:szCs w:val="14"/>
                <w:color w:val="auto"/>
              </w:rPr>
              <w:t>7.8 %</w:t>
            </w:r>
          </w:p>
        </w:tc>
      </w:tr>
      <w:tr>
        <w:trPr>
          <w:trHeight w:val="198"/>
        </w:trPr>
        <w:tc>
          <w:tcPr>
            <w:tcW w:w="6080" w:type="dxa"/>
            <w:vAlign w:val="bottom"/>
          </w:tcPr>
          <w:p>
            <w:pPr>
              <w:ind w:left="240"/>
              <w:spacing w:after="0"/>
              <w:rPr>
                <w:sz w:val="20"/>
                <w:szCs w:val="20"/>
                <w:color w:val="auto"/>
              </w:rPr>
            </w:pPr>
            <w:r>
              <w:rPr>
                <w:rFonts w:ascii="Arial" w:cs="Arial" w:eastAsia="Arial" w:hAnsi="Arial"/>
                <w:sz w:val="14"/>
                <w:szCs w:val="14"/>
                <w:color w:val="auto"/>
              </w:rPr>
              <w:t>Income tax expense</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194,661</w:t>
            </w:r>
          </w:p>
        </w:tc>
        <w:tc>
          <w:tcPr>
            <w:tcW w:w="1280" w:type="dxa"/>
            <w:vAlign w:val="bottom"/>
            <w:gridSpan w:val="2"/>
          </w:tcPr>
          <w:p>
            <w:pPr>
              <w:jc w:val="right"/>
              <w:ind w:right="10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148,886</w:t>
            </w:r>
          </w:p>
        </w:tc>
        <w:tc>
          <w:tcPr>
            <w:tcW w:w="1260" w:type="dxa"/>
            <w:vAlign w:val="bottom"/>
            <w:gridSpan w:val="2"/>
          </w:tcPr>
          <w:p>
            <w:pPr>
              <w:jc w:val="right"/>
              <w:ind w:right="108"/>
              <w:spacing w:after="0"/>
              <w:rPr>
                <w:sz w:val="20"/>
                <w:szCs w:val="20"/>
                <w:color w:val="auto"/>
              </w:rPr>
            </w:pPr>
            <w:r>
              <w:rPr>
                <w:rFonts w:ascii="Arial" w:cs="Arial" w:eastAsia="Arial" w:hAnsi="Arial"/>
                <w:sz w:val="14"/>
                <w:szCs w:val="14"/>
                <w:color w:val="auto"/>
              </w:rPr>
              <w:t>3.5</w:t>
            </w:r>
          </w:p>
        </w:tc>
      </w:tr>
      <w:tr>
        <w:trPr>
          <w:trHeight w:val="207"/>
        </w:trPr>
        <w:tc>
          <w:tcPr>
            <w:tcW w:w="6080" w:type="dxa"/>
            <w:vAlign w:val="bottom"/>
            <w:shd w:val="clear" w:color="auto" w:fill="F5F5F5"/>
          </w:tcPr>
          <w:p>
            <w:pPr>
              <w:ind w:left="220"/>
              <w:spacing w:after="0"/>
              <w:rPr>
                <w:sz w:val="20"/>
                <w:szCs w:val="20"/>
                <w:color w:val="auto"/>
              </w:rPr>
            </w:pPr>
            <w:r>
              <w:rPr>
                <w:rFonts w:ascii="Arial" w:cs="Arial" w:eastAsia="Arial" w:hAnsi="Arial"/>
                <w:sz w:val="14"/>
                <w:szCs w:val="14"/>
                <w:color w:val="auto"/>
              </w:rPr>
              <w:t>Interest (income) expense, net</w:t>
            </w:r>
          </w:p>
        </w:tc>
        <w:tc>
          <w:tcPr>
            <w:tcW w:w="320" w:type="dxa"/>
            <w:vAlign w:val="bottom"/>
            <w:shd w:val="clear" w:color="auto" w:fill="F5F5F5"/>
          </w:tcPr>
          <w:p>
            <w:pPr>
              <w:spacing w:after="0"/>
              <w:rPr>
                <w:sz w:val="17"/>
                <w:szCs w:val="17"/>
                <w:color w:val="auto"/>
              </w:rPr>
            </w:pPr>
          </w:p>
        </w:tc>
        <w:tc>
          <w:tcPr>
            <w:tcW w:w="8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(27,857)</w:t>
            </w:r>
          </w:p>
        </w:tc>
        <w:tc>
          <w:tcPr>
            <w:tcW w:w="1280" w:type="dxa"/>
            <w:vAlign w:val="bottom"/>
            <w:gridSpan w:val="2"/>
            <w:shd w:val="clear" w:color="auto" w:fill="F5F5F5"/>
          </w:tcPr>
          <w:p>
            <w:pPr>
              <w:jc w:val="right"/>
              <w:ind w:right="68"/>
              <w:spacing w:after="0"/>
              <w:rPr>
                <w:sz w:val="20"/>
                <w:szCs w:val="20"/>
                <w:color w:val="auto"/>
              </w:rPr>
            </w:pPr>
            <w:r>
              <w:rPr>
                <w:rFonts w:ascii="Arial" w:cs="Arial" w:eastAsia="Arial" w:hAnsi="Arial"/>
                <w:sz w:val="14"/>
                <w:szCs w:val="14"/>
                <w:color w:val="auto"/>
              </w:rPr>
              <w:t>(0.6)</w:t>
            </w:r>
          </w:p>
        </w:tc>
        <w:tc>
          <w:tcPr>
            <w:tcW w:w="100" w:type="dxa"/>
            <w:vAlign w:val="bottom"/>
            <w:shd w:val="clear" w:color="auto" w:fill="F5F5F5"/>
          </w:tcPr>
          <w:p>
            <w:pPr>
              <w:spacing w:after="0"/>
              <w:rPr>
                <w:sz w:val="17"/>
                <w:szCs w:val="17"/>
                <w:color w:val="auto"/>
              </w:rPr>
            </w:pPr>
          </w:p>
        </w:tc>
        <w:tc>
          <w:tcPr>
            <w:tcW w:w="320" w:type="dxa"/>
            <w:vAlign w:val="bottom"/>
            <w:shd w:val="clear" w:color="auto" w:fill="F5F5F5"/>
          </w:tcPr>
          <w:p>
            <w:pPr>
              <w:spacing w:after="0"/>
              <w:rPr>
                <w:sz w:val="17"/>
                <w:szCs w:val="17"/>
                <w:color w:val="auto"/>
              </w:rPr>
            </w:pPr>
          </w:p>
        </w:tc>
        <w:tc>
          <w:tcPr>
            <w:tcW w:w="80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372</w:t>
            </w:r>
          </w:p>
        </w:tc>
        <w:tc>
          <w:tcPr>
            <w:tcW w:w="80" w:type="dxa"/>
            <w:vAlign w:val="bottom"/>
            <w:shd w:val="clear" w:color="auto" w:fill="F5F5F5"/>
          </w:tcPr>
          <w:p>
            <w:pPr>
              <w:spacing w:after="0"/>
              <w:rPr>
                <w:sz w:val="17"/>
                <w:szCs w:val="17"/>
                <w:color w:val="auto"/>
              </w:rPr>
            </w:pPr>
          </w:p>
        </w:tc>
        <w:tc>
          <w:tcPr>
            <w:tcW w:w="1180" w:type="dxa"/>
            <w:vAlign w:val="bottom"/>
            <w:shd w:val="clear" w:color="auto" w:fill="F5F5F5"/>
          </w:tcPr>
          <w:p>
            <w:pPr>
              <w:jc w:val="right"/>
              <w:ind w:right="108"/>
              <w:spacing w:after="0"/>
              <w:rPr>
                <w:sz w:val="20"/>
                <w:szCs w:val="20"/>
                <w:color w:val="auto"/>
              </w:rPr>
            </w:pPr>
            <w:r>
              <w:rPr>
                <w:rFonts w:ascii="Arial" w:cs="Arial" w:eastAsia="Arial" w:hAnsi="Arial"/>
                <w:sz w:val="14"/>
                <w:szCs w:val="14"/>
                <w:color w:val="auto"/>
              </w:rPr>
              <w:t>—</w:t>
            </w:r>
          </w:p>
        </w:tc>
      </w:tr>
      <w:tr>
        <w:trPr>
          <w:trHeight w:val="198"/>
        </w:trPr>
        <w:tc>
          <w:tcPr>
            <w:tcW w:w="6080" w:type="dxa"/>
            <w:vAlign w:val="bottom"/>
            <w:tcBorders>
              <w:bottom w:val="single" w:sz="8" w:color="F5F5F5"/>
            </w:tcBorders>
          </w:tcPr>
          <w:p>
            <w:pPr>
              <w:ind w:left="220"/>
              <w:spacing w:after="0"/>
              <w:rPr>
                <w:sz w:val="20"/>
                <w:szCs w:val="20"/>
                <w:color w:val="auto"/>
              </w:rPr>
            </w:pPr>
            <w:r>
              <w:rPr>
                <w:rFonts w:ascii="Arial" w:cs="Arial" w:eastAsia="Arial" w:hAnsi="Arial"/>
                <w:sz w:val="14"/>
                <w:szCs w:val="14"/>
                <w:color w:val="auto"/>
              </w:rPr>
              <w:t>Depreciation and amortization</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153,773</w:t>
            </w:r>
          </w:p>
        </w:tc>
        <w:tc>
          <w:tcPr>
            <w:tcW w:w="1280" w:type="dxa"/>
            <w:vAlign w:val="bottom"/>
            <w:tcBorders>
              <w:bottom w:val="single" w:sz="8" w:color="F5F5F5"/>
            </w:tcBorders>
            <w:gridSpan w:val="2"/>
          </w:tcPr>
          <w:p>
            <w:pPr>
              <w:jc w:val="right"/>
              <w:ind w:right="108"/>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F5F5F5"/>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141,104</w:t>
            </w:r>
          </w:p>
        </w:tc>
        <w:tc>
          <w:tcPr>
            <w:tcW w:w="1260" w:type="dxa"/>
            <w:vAlign w:val="bottom"/>
            <w:tcBorders>
              <w:bottom w:val="single" w:sz="8" w:color="F5F5F5"/>
            </w:tcBorders>
            <w:gridSpan w:val="2"/>
          </w:tcPr>
          <w:p>
            <w:pPr>
              <w:jc w:val="right"/>
              <w:ind w:right="108"/>
              <w:spacing w:after="0"/>
              <w:rPr>
                <w:sz w:val="20"/>
                <w:szCs w:val="20"/>
                <w:color w:val="auto"/>
              </w:rPr>
            </w:pPr>
            <w:r>
              <w:rPr>
                <w:rFonts w:ascii="Arial" w:cs="Arial" w:eastAsia="Arial" w:hAnsi="Arial"/>
                <w:sz w:val="14"/>
                <w:szCs w:val="14"/>
                <w:color w:val="auto"/>
              </w:rPr>
              <w:t>3.3</w:t>
            </w:r>
          </w:p>
        </w:tc>
      </w:tr>
      <w:tr>
        <w:trPr>
          <w:trHeight w:val="265"/>
        </w:trPr>
        <w:tc>
          <w:tcPr>
            <w:tcW w:w="6080" w:type="dxa"/>
            <w:vAlign w:val="bottom"/>
            <w:tcBorders>
              <w:bottom w:val="single" w:sz="8" w:color="F5F5F5"/>
            </w:tcBorders>
            <w:shd w:val="clear" w:color="auto" w:fill="F5F5F5"/>
          </w:tcPr>
          <w:p>
            <w:pPr>
              <w:ind w:left="20"/>
              <w:spacing w:after="0"/>
              <w:rPr>
                <w:sz w:val="20"/>
                <w:szCs w:val="20"/>
                <w:color w:val="auto"/>
              </w:rPr>
            </w:pPr>
            <w:r>
              <w:rPr>
                <w:rFonts w:ascii="Arial" w:cs="Arial" w:eastAsia="Arial" w:hAnsi="Arial"/>
                <w:sz w:val="14"/>
                <w:szCs w:val="14"/>
                <w:color w:val="auto"/>
              </w:rPr>
              <w:t xml:space="preserve">EBITDA </w:t>
            </w:r>
            <w:r>
              <w:rPr>
                <w:rFonts w:ascii="Arial" w:cs="Arial" w:eastAsia="Arial" w:hAnsi="Arial"/>
                <w:sz w:val="9"/>
                <w:szCs w:val="9"/>
                <w:color w:val="auto"/>
              </w:rPr>
              <w:t>(1)</w:t>
            </w:r>
          </w:p>
        </w:tc>
        <w:tc>
          <w:tcPr>
            <w:tcW w:w="320" w:type="dxa"/>
            <w:vAlign w:val="bottom"/>
            <w:tcBorders>
              <w:bottom w:val="single" w:sz="8" w:color="F5F5F5"/>
            </w:tcBorders>
            <w:shd w:val="clear" w:color="auto" w:fill="F5F5F5"/>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F5F5F5"/>
            </w:tcBorders>
            <w:shd w:val="clear" w:color="auto" w:fill="F5F5F5"/>
          </w:tcPr>
          <w:p>
            <w:pPr>
              <w:jc w:val="right"/>
              <w:spacing w:after="0"/>
              <w:rPr>
                <w:sz w:val="20"/>
                <w:szCs w:val="20"/>
                <w:color w:val="auto"/>
              </w:rPr>
            </w:pPr>
            <w:r>
              <w:rPr>
                <w:rFonts w:ascii="Arial" w:cs="Arial" w:eastAsia="Arial" w:hAnsi="Arial"/>
                <w:sz w:val="14"/>
                <w:szCs w:val="14"/>
                <w:color w:val="auto"/>
              </w:rPr>
              <w:t>894,593</w:t>
            </w:r>
          </w:p>
        </w:tc>
        <w:tc>
          <w:tcPr>
            <w:tcW w:w="1280" w:type="dxa"/>
            <w:vAlign w:val="bottom"/>
            <w:tcBorders>
              <w:bottom w:val="single" w:sz="8" w:color="F5F5F5"/>
            </w:tcBorders>
            <w:gridSpan w:val="2"/>
            <w:shd w:val="clear" w:color="auto" w:fill="F5F5F5"/>
          </w:tcPr>
          <w:p>
            <w:pPr>
              <w:jc w:val="right"/>
              <w:ind w:right="108"/>
              <w:spacing w:after="0"/>
              <w:rPr>
                <w:sz w:val="20"/>
                <w:szCs w:val="20"/>
                <w:color w:val="auto"/>
              </w:rPr>
            </w:pPr>
            <w:r>
              <w:rPr>
                <w:rFonts w:ascii="Arial" w:cs="Arial" w:eastAsia="Arial" w:hAnsi="Arial"/>
                <w:sz w:val="14"/>
                <w:szCs w:val="14"/>
                <w:color w:val="auto"/>
              </w:rPr>
              <w:t>18.1</w:t>
            </w:r>
          </w:p>
        </w:tc>
        <w:tc>
          <w:tcPr>
            <w:tcW w:w="100" w:type="dxa"/>
            <w:vAlign w:val="bottom"/>
            <w:tcBorders>
              <w:bottom w:val="single" w:sz="8" w:color="F5F5F5"/>
            </w:tcBorders>
            <w:shd w:val="clear" w:color="auto" w:fill="F5F5F5"/>
          </w:tcPr>
          <w:p>
            <w:pPr>
              <w:spacing w:after="0"/>
              <w:rPr>
                <w:sz w:val="22"/>
                <w:szCs w:val="22"/>
                <w:color w:val="auto"/>
              </w:rPr>
            </w:pPr>
          </w:p>
        </w:tc>
        <w:tc>
          <w:tcPr>
            <w:tcW w:w="320" w:type="dxa"/>
            <w:vAlign w:val="bottom"/>
            <w:tcBorders>
              <w:bottom w:val="single" w:sz="8" w:color="auto"/>
            </w:tcBorders>
            <w:shd w:val="clear" w:color="auto" w:fill="F5F5F5"/>
          </w:tcPr>
          <w:p>
            <w:pPr>
              <w:spacing w:after="0"/>
              <w:rPr>
                <w:sz w:val="22"/>
                <w:szCs w:val="22"/>
                <w:color w:val="auto"/>
              </w:rPr>
            </w:pPr>
          </w:p>
        </w:tc>
        <w:tc>
          <w:tcPr>
            <w:tcW w:w="800" w:type="dxa"/>
            <w:vAlign w:val="bottom"/>
            <w:tcBorders>
              <w:bottom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625,775</w:t>
            </w:r>
          </w:p>
        </w:tc>
        <w:tc>
          <w:tcPr>
            <w:tcW w:w="1260" w:type="dxa"/>
            <w:vAlign w:val="bottom"/>
            <w:tcBorders>
              <w:bottom w:val="single" w:sz="8" w:color="F5F5F5"/>
            </w:tcBorders>
            <w:gridSpan w:val="2"/>
            <w:shd w:val="clear" w:color="auto" w:fill="F5F5F5"/>
          </w:tcPr>
          <w:p>
            <w:pPr>
              <w:jc w:val="right"/>
              <w:ind w:right="108"/>
              <w:spacing w:after="0"/>
              <w:rPr>
                <w:sz w:val="20"/>
                <w:szCs w:val="20"/>
                <w:color w:val="auto"/>
              </w:rPr>
            </w:pPr>
            <w:r>
              <w:rPr>
                <w:rFonts w:ascii="Arial" w:cs="Arial" w:eastAsia="Arial" w:hAnsi="Arial"/>
                <w:sz w:val="14"/>
                <w:szCs w:val="14"/>
                <w:color w:val="auto"/>
              </w:rPr>
              <w:t>14.6</w:t>
            </w:r>
          </w:p>
        </w:tc>
      </w:tr>
      <w:tr>
        <w:trPr>
          <w:trHeight w:val="163"/>
        </w:trPr>
        <w:tc>
          <w:tcPr>
            <w:tcW w:w="6080" w:type="dxa"/>
            <w:vAlign w:val="bottom"/>
            <w:tcBorders>
              <w:top w:val="single" w:sz="8" w:color="F5F5F5"/>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Borders>
              <w:top w:val="single" w:sz="8" w:color="F5F5F5"/>
            </w:tcBorders>
          </w:tcPr>
          <w:p>
            <w:pPr>
              <w:spacing w:after="0"/>
              <w:rPr>
                <w:sz w:val="14"/>
                <w:szCs w:val="14"/>
                <w:color w:val="auto"/>
              </w:rPr>
            </w:pPr>
          </w:p>
        </w:tc>
        <w:tc>
          <w:tcPr>
            <w:tcW w:w="1180" w:type="dxa"/>
            <w:vAlign w:val="bottom"/>
            <w:tcBorders>
              <w:top w:val="single" w:sz="8" w:color="F5F5F5"/>
            </w:tcBorders>
          </w:tcPr>
          <w:p>
            <w:pPr>
              <w:spacing w:after="0"/>
              <w:rPr>
                <w:sz w:val="14"/>
                <w:szCs w:val="14"/>
                <w:color w:val="auto"/>
              </w:rPr>
            </w:pPr>
          </w:p>
        </w:tc>
        <w:tc>
          <w:tcPr>
            <w:tcW w:w="100" w:type="dxa"/>
            <w:vAlign w:val="bottom"/>
            <w:tcBorders>
              <w:top w:val="single" w:sz="8" w:color="F5F5F5"/>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Borders>
              <w:top w:val="single" w:sz="8" w:color="F5F5F5"/>
            </w:tcBorders>
          </w:tcPr>
          <w:p>
            <w:pPr>
              <w:spacing w:after="0"/>
              <w:rPr>
                <w:sz w:val="14"/>
                <w:szCs w:val="14"/>
                <w:color w:val="auto"/>
              </w:rPr>
            </w:pPr>
          </w:p>
        </w:tc>
        <w:tc>
          <w:tcPr>
            <w:tcW w:w="1180" w:type="dxa"/>
            <w:vAlign w:val="bottom"/>
            <w:tcBorders>
              <w:top w:val="single" w:sz="8" w:color="F5F5F5"/>
            </w:tcBorders>
          </w:tcPr>
          <w:p>
            <w:pPr>
              <w:spacing w:after="0"/>
              <w:rPr>
                <w:sz w:val="14"/>
                <w:szCs w:val="14"/>
                <w:color w:val="auto"/>
              </w:rPr>
            </w:pPr>
          </w:p>
        </w:tc>
      </w:tr>
      <w:tr>
        <w:trPr>
          <w:trHeight w:val="203"/>
        </w:trPr>
        <w:tc>
          <w:tcPr>
            <w:tcW w:w="6080" w:type="dxa"/>
            <w:vAlign w:val="bottom"/>
            <w:shd w:val="clear" w:color="auto" w:fill="F5F5F5"/>
          </w:tcPr>
          <w:p>
            <w:pPr>
              <w:ind w:left="20"/>
              <w:spacing w:after="0"/>
              <w:rPr>
                <w:sz w:val="20"/>
                <w:szCs w:val="20"/>
                <w:color w:val="auto"/>
              </w:rPr>
            </w:pPr>
            <w:r>
              <w:rPr>
                <w:rFonts w:ascii="Arial" w:cs="Arial" w:eastAsia="Arial" w:hAnsi="Arial"/>
                <w:sz w:val="14"/>
                <w:szCs w:val="14"/>
                <w:color w:val="auto"/>
              </w:rPr>
              <w:t>Adjustments to EBITDA</w:t>
            </w:r>
          </w:p>
        </w:tc>
        <w:tc>
          <w:tcPr>
            <w:tcW w:w="320" w:type="dxa"/>
            <w:vAlign w:val="bottom"/>
            <w:shd w:val="clear" w:color="auto" w:fill="F5F5F5"/>
          </w:tcPr>
          <w:p>
            <w:pPr>
              <w:spacing w:after="0"/>
              <w:rPr>
                <w:sz w:val="17"/>
                <w:szCs w:val="17"/>
                <w:color w:val="auto"/>
              </w:rPr>
            </w:pPr>
          </w:p>
        </w:tc>
        <w:tc>
          <w:tcPr>
            <w:tcW w:w="800" w:type="dxa"/>
            <w:vAlign w:val="bottom"/>
            <w:shd w:val="clear" w:color="auto" w:fill="F5F5F5"/>
          </w:tcPr>
          <w:p>
            <w:pPr>
              <w:spacing w:after="0"/>
              <w:rPr>
                <w:sz w:val="17"/>
                <w:szCs w:val="17"/>
                <w:color w:val="auto"/>
              </w:rPr>
            </w:pPr>
          </w:p>
        </w:tc>
        <w:tc>
          <w:tcPr>
            <w:tcW w:w="100" w:type="dxa"/>
            <w:vAlign w:val="bottom"/>
            <w:shd w:val="clear" w:color="auto" w:fill="F5F5F5"/>
          </w:tcPr>
          <w:p>
            <w:pPr>
              <w:spacing w:after="0"/>
              <w:rPr>
                <w:sz w:val="17"/>
                <w:szCs w:val="17"/>
                <w:color w:val="auto"/>
              </w:rPr>
            </w:pPr>
          </w:p>
        </w:tc>
        <w:tc>
          <w:tcPr>
            <w:tcW w:w="1180" w:type="dxa"/>
            <w:vAlign w:val="bottom"/>
            <w:shd w:val="clear" w:color="auto" w:fill="F5F5F5"/>
          </w:tcPr>
          <w:p>
            <w:pPr>
              <w:spacing w:after="0"/>
              <w:rPr>
                <w:sz w:val="17"/>
                <w:szCs w:val="17"/>
                <w:color w:val="auto"/>
              </w:rPr>
            </w:pPr>
          </w:p>
        </w:tc>
        <w:tc>
          <w:tcPr>
            <w:tcW w:w="100" w:type="dxa"/>
            <w:vAlign w:val="bottom"/>
            <w:shd w:val="clear" w:color="auto" w:fill="F5F5F5"/>
          </w:tcPr>
          <w:p>
            <w:pPr>
              <w:spacing w:after="0"/>
              <w:rPr>
                <w:sz w:val="17"/>
                <w:szCs w:val="17"/>
                <w:color w:val="auto"/>
              </w:rPr>
            </w:pPr>
          </w:p>
        </w:tc>
        <w:tc>
          <w:tcPr>
            <w:tcW w:w="320" w:type="dxa"/>
            <w:vAlign w:val="bottom"/>
            <w:shd w:val="clear" w:color="auto" w:fill="F5F5F5"/>
          </w:tcPr>
          <w:p>
            <w:pPr>
              <w:spacing w:after="0"/>
              <w:rPr>
                <w:sz w:val="17"/>
                <w:szCs w:val="17"/>
                <w:color w:val="auto"/>
              </w:rPr>
            </w:pPr>
          </w:p>
        </w:tc>
        <w:tc>
          <w:tcPr>
            <w:tcW w:w="800" w:type="dxa"/>
            <w:vAlign w:val="bottom"/>
            <w:shd w:val="clear" w:color="auto" w:fill="F5F5F5"/>
          </w:tcPr>
          <w:p>
            <w:pPr>
              <w:spacing w:after="0"/>
              <w:rPr>
                <w:sz w:val="17"/>
                <w:szCs w:val="17"/>
                <w:color w:val="auto"/>
              </w:rPr>
            </w:pPr>
          </w:p>
        </w:tc>
        <w:tc>
          <w:tcPr>
            <w:tcW w:w="80" w:type="dxa"/>
            <w:vAlign w:val="bottom"/>
            <w:shd w:val="clear" w:color="auto" w:fill="F5F5F5"/>
          </w:tcPr>
          <w:p>
            <w:pPr>
              <w:spacing w:after="0"/>
              <w:rPr>
                <w:sz w:val="17"/>
                <w:szCs w:val="17"/>
                <w:color w:val="auto"/>
              </w:rPr>
            </w:pPr>
          </w:p>
        </w:tc>
        <w:tc>
          <w:tcPr>
            <w:tcW w:w="1180" w:type="dxa"/>
            <w:vAlign w:val="bottom"/>
            <w:shd w:val="clear" w:color="auto" w:fill="F5F5F5"/>
          </w:tcPr>
          <w:p>
            <w:pPr>
              <w:spacing w:after="0"/>
              <w:rPr>
                <w:sz w:val="17"/>
                <w:szCs w:val="17"/>
                <w:color w:val="auto"/>
              </w:rPr>
            </w:pPr>
          </w:p>
        </w:tc>
      </w:tr>
      <w:tr>
        <w:trPr>
          <w:trHeight w:val="199"/>
        </w:trPr>
        <w:tc>
          <w:tcPr>
            <w:tcW w:w="6080" w:type="dxa"/>
            <w:vAlign w:val="bottom"/>
            <w:tcBorders>
              <w:bottom w:val="single" w:sz="8" w:color="F5F5F5"/>
            </w:tcBorders>
          </w:tcPr>
          <w:p>
            <w:pPr>
              <w:ind w:left="240"/>
              <w:spacing w:after="0"/>
              <w:rPr>
                <w:sz w:val="20"/>
                <w:szCs w:val="20"/>
                <w:color w:val="auto"/>
              </w:rPr>
            </w:pPr>
            <w:r>
              <w:rPr>
                <w:rFonts w:ascii="Arial" w:cs="Arial" w:eastAsia="Arial" w:hAnsi="Arial"/>
                <w:sz w:val="14"/>
                <w:szCs w:val="14"/>
                <w:color w:val="auto"/>
              </w:rPr>
              <w:t xml:space="preserve">Asset impairment </w:t>
            </w:r>
            <w:r>
              <w:rPr>
                <w:rFonts w:ascii="Arial" w:cs="Arial" w:eastAsia="Arial" w:hAnsi="Arial"/>
                <w:sz w:val="9"/>
                <w:szCs w:val="9"/>
                <w:color w:val="auto"/>
              </w:rPr>
              <w:t>(1)</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F5F5F5"/>
            </w:tcBorders>
          </w:tcPr>
          <w:p>
            <w:pPr>
              <w:spacing w:after="0"/>
              <w:rPr>
                <w:sz w:val="17"/>
                <w:szCs w:val="17"/>
                <w:color w:val="auto"/>
              </w:rPr>
            </w:pPr>
          </w:p>
        </w:tc>
        <w:tc>
          <w:tcPr>
            <w:tcW w:w="1280" w:type="dxa"/>
            <w:vAlign w:val="bottom"/>
            <w:tcBorders>
              <w:bottom w:val="single" w:sz="8" w:color="F5F5F5"/>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4,436</w:t>
            </w:r>
          </w:p>
        </w:tc>
        <w:tc>
          <w:tcPr>
            <w:tcW w:w="1260" w:type="dxa"/>
            <w:vAlign w:val="bottom"/>
            <w:tcBorders>
              <w:bottom w:val="single" w:sz="8" w:color="F5F5F5"/>
            </w:tcBorders>
            <w:gridSpan w:val="2"/>
          </w:tcPr>
          <w:p>
            <w:pPr>
              <w:jc w:val="right"/>
              <w:ind w:right="108"/>
              <w:spacing w:after="0"/>
              <w:rPr>
                <w:sz w:val="20"/>
                <w:szCs w:val="20"/>
                <w:color w:val="auto"/>
              </w:rPr>
            </w:pPr>
            <w:r>
              <w:rPr>
                <w:rFonts w:ascii="Arial" w:cs="Arial" w:eastAsia="Arial" w:hAnsi="Arial"/>
                <w:sz w:val="14"/>
                <w:szCs w:val="14"/>
                <w:color w:val="auto"/>
              </w:rPr>
              <w:t>0.1</w:t>
            </w:r>
          </w:p>
        </w:tc>
      </w:tr>
      <w:tr>
        <w:trPr>
          <w:trHeight w:val="225"/>
        </w:trPr>
        <w:tc>
          <w:tcPr>
            <w:tcW w:w="6080" w:type="dxa"/>
            <w:vAlign w:val="bottom"/>
            <w:tcBorders>
              <w:bottom w:val="single" w:sz="8" w:color="F5F5F5"/>
            </w:tcBorders>
            <w:shd w:val="clear" w:color="auto" w:fill="F5F5F5"/>
          </w:tcPr>
          <w:p>
            <w:pPr>
              <w:ind w:left="20"/>
              <w:spacing w:after="0"/>
              <w:rPr>
                <w:sz w:val="20"/>
                <w:szCs w:val="20"/>
                <w:color w:val="auto"/>
              </w:rPr>
            </w:pPr>
            <w:r>
              <w:rPr>
                <w:rFonts w:ascii="Arial" w:cs="Arial" w:eastAsia="Arial" w:hAnsi="Arial"/>
                <w:sz w:val="14"/>
                <w:szCs w:val="14"/>
                <w:color w:val="auto"/>
              </w:rPr>
              <w:t xml:space="preserve">Adjusted EBITDA </w:t>
            </w:r>
            <w:r>
              <w:rPr>
                <w:rFonts w:ascii="Arial" w:cs="Arial" w:eastAsia="Arial" w:hAnsi="Arial"/>
                <w:sz w:val="9"/>
                <w:szCs w:val="9"/>
                <w:color w:val="auto"/>
              </w:rPr>
              <w:t>(1)</w:t>
            </w:r>
          </w:p>
        </w:tc>
        <w:tc>
          <w:tcPr>
            <w:tcW w:w="320" w:type="dxa"/>
            <w:vAlign w:val="bottom"/>
            <w:tcBorders>
              <w:bottom w:val="single" w:sz="8" w:color="auto"/>
            </w:tcBorders>
            <w:shd w:val="clear" w:color="auto" w:fill="F5F5F5"/>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894,593</w:t>
            </w:r>
          </w:p>
        </w:tc>
        <w:tc>
          <w:tcPr>
            <w:tcW w:w="1280" w:type="dxa"/>
            <w:vAlign w:val="bottom"/>
            <w:tcBorders>
              <w:bottom w:val="single" w:sz="8" w:color="F5F5F5"/>
            </w:tcBorders>
            <w:gridSpan w:val="2"/>
            <w:shd w:val="clear" w:color="auto" w:fill="F5F5F5"/>
          </w:tcPr>
          <w:p>
            <w:pPr>
              <w:jc w:val="right"/>
              <w:ind w:right="108"/>
              <w:spacing w:after="0"/>
              <w:rPr>
                <w:sz w:val="20"/>
                <w:szCs w:val="20"/>
                <w:color w:val="auto"/>
              </w:rPr>
            </w:pPr>
            <w:r>
              <w:rPr>
                <w:rFonts w:ascii="Arial" w:cs="Arial" w:eastAsia="Arial" w:hAnsi="Arial"/>
                <w:sz w:val="14"/>
                <w:szCs w:val="14"/>
                <w:color w:val="auto"/>
              </w:rPr>
              <w:t>18.1</w:t>
            </w:r>
          </w:p>
        </w:tc>
        <w:tc>
          <w:tcPr>
            <w:tcW w:w="100" w:type="dxa"/>
            <w:vAlign w:val="bottom"/>
            <w:tcBorders>
              <w:bottom w:val="single" w:sz="8" w:color="F5F5F5"/>
            </w:tcBorders>
            <w:shd w:val="clear" w:color="auto" w:fill="F5F5F5"/>
          </w:tcPr>
          <w:p>
            <w:pPr>
              <w:spacing w:after="0"/>
              <w:rPr>
                <w:sz w:val="19"/>
                <w:szCs w:val="19"/>
                <w:color w:val="auto"/>
              </w:rPr>
            </w:pPr>
          </w:p>
        </w:tc>
        <w:tc>
          <w:tcPr>
            <w:tcW w:w="320" w:type="dxa"/>
            <w:vAlign w:val="bottom"/>
            <w:tcBorders>
              <w:bottom w:val="single" w:sz="8" w:color="auto"/>
            </w:tcBorders>
            <w:shd w:val="clear" w:color="auto" w:fill="F5F5F5"/>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630,211</w:t>
            </w:r>
          </w:p>
        </w:tc>
        <w:tc>
          <w:tcPr>
            <w:tcW w:w="1260" w:type="dxa"/>
            <w:vAlign w:val="bottom"/>
            <w:tcBorders>
              <w:bottom w:val="single" w:sz="8" w:color="F5F5F5"/>
            </w:tcBorders>
            <w:gridSpan w:val="2"/>
            <w:shd w:val="clear" w:color="auto" w:fill="F5F5F5"/>
          </w:tcPr>
          <w:p>
            <w:pPr>
              <w:jc w:val="right"/>
              <w:ind w:right="108"/>
              <w:spacing w:after="0"/>
              <w:rPr>
                <w:sz w:val="20"/>
                <w:szCs w:val="20"/>
                <w:color w:val="auto"/>
              </w:rPr>
            </w:pPr>
            <w:r>
              <w:rPr>
                <w:rFonts w:ascii="Arial" w:cs="Arial" w:eastAsia="Arial" w:hAnsi="Arial"/>
                <w:sz w:val="14"/>
                <w:szCs w:val="14"/>
                <w:color w:val="auto"/>
              </w:rPr>
              <w:t>14.7</w:t>
            </w:r>
          </w:p>
        </w:tc>
      </w:tr>
      <w:tr>
        <w:trPr>
          <w:trHeight w:val="20"/>
        </w:trPr>
        <w:tc>
          <w:tcPr>
            <w:tcW w:w="6080" w:type="dxa"/>
            <w:vAlign w:val="bottom"/>
            <w:tcBorders>
              <w:top w:val="single" w:sz="8" w:color="F5F5F5"/>
            </w:tcBorders>
          </w:tcPr>
          <w:p>
            <w:pPr>
              <w:spacing w:after="0" w:line="20" w:lineRule="exact"/>
              <w:rPr>
                <w:sz w:val="1"/>
                <w:szCs w:val="1"/>
                <w:color w:val="auto"/>
              </w:rPr>
            </w:pPr>
          </w:p>
        </w:tc>
        <w:tc>
          <w:tcPr>
            <w:tcW w:w="320" w:type="dxa"/>
            <w:vAlign w:val="bottom"/>
            <w:tcBorders>
              <w:top w:val="single" w:sz="8" w:color="F5F5F5"/>
              <w:bottom w:val="single" w:sz="8" w:color="auto"/>
            </w:tcBorders>
          </w:tcPr>
          <w:p>
            <w:pPr>
              <w:spacing w:after="0" w:line="20" w:lineRule="exact"/>
              <w:rPr>
                <w:sz w:val="1"/>
                <w:szCs w:val="1"/>
                <w:color w:val="auto"/>
              </w:rPr>
            </w:pPr>
          </w:p>
        </w:tc>
        <w:tc>
          <w:tcPr>
            <w:tcW w:w="800" w:type="dxa"/>
            <w:vAlign w:val="bottom"/>
            <w:tcBorders>
              <w:top w:val="single" w:sz="8" w:color="F5F5F5"/>
              <w:bottom w:val="single" w:sz="8" w:color="auto"/>
            </w:tcBorders>
          </w:tcPr>
          <w:p>
            <w:pPr>
              <w:spacing w:after="0" w:line="20" w:lineRule="exact"/>
              <w:rPr>
                <w:sz w:val="1"/>
                <w:szCs w:val="1"/>
                <w:color w:val="auto"/>
              </w:rPr>
            </w:pPr>
          </w:p>
        </w:tc>
        <w:tc>
          <w:tcPr>
            <w:tcW w:w="100" w:type="dxa"/>
            <w:vAlign w:val="bottom"/>
            <w:tcBorders>
              <w:top w:val="single" w:sz="8" w:color="F5F5F5"/>
            </w:tcBorders>
          </w:tcPr>
          <w:p>
            <w:pPr>
              <w:spacing w:after="0" w:line="20" w:lineRule="exact"/>
              <w:rPr>
                <w:sz w:val="1"/>
                <w:szCs w:val="1"/>
                <w:color w:val="auto"/>
              </w:rPr>
            </w:pPr>
          </w:p>
        </w:tc>
        <w:tc>
          <w:tcPr>
            <w:tcW w:w="1180" w:type="dxa"/>
            <w:vAlign w:val="bottom"/>
            <w:tcBorders>
              <w:top w:val="single" w:sz="8" w:color="F5F5F5"/>
            </w:tcBorders>
          </w:tcPr>
          <w:p>
            <w:pPr>
              <w:spacing w:after="0" w:line="20" w:lineRule="exact"/>
              <w:rPr>
                <w:sz w:val="1"/>
                <w:szCs w:val="1"/>
                <w:color w:val="auto"/>
              </w:rPr>
            </w:pPr>
          </w:p>
        </w:tc>
        <w:tc>
          <w:tcPr>
            <w:tcW w:w="100" w:type="dxa"/>
            <w:vAlign w:val="bottom"/>
            <w:tcBorders>
              <w:top w:val="single" w:sz="8" w:color="F5F5F5"/>
            </w:tcBorders>
          </w:tcPr>
          <w:p>
            <w:pPr>
              <w:spacing w:after="0" w:line="20" w:lineRule="exact"/>
              <w:rPr>
                <w:sz w:val="1"/>
                <w:szCs w:val="1"/>
                <w:color w:val="auto"/>
              </w:rPr>
            </w:pPr>
          </w:p>
        </w:tc>
        <w:tc>
          <w:tcPr>
            <w:tcW w:w="320" w:type="dxa"/>
            <w:vAlign w:val="bottom"/>
            <w:tcBorders>
              <w:top w:val="single" w:sz="8" w:color="F5F5F5"/>
              <w:bottom w:val="single" w:sz="8" w:color="auto"/>
            </w:tcBorders>
          </w:tcPr>
          <w:p>
            <w:pPr>
              <w:spacing w:after="0" w:line="20" w:lineRule="exact"/>
              <w:rPr>
                <w:sz w:val="1"/>
                <w:szCs w:val="1"/>
                <w:color w:val="auto"/>
              </w:rPr>
            </w:pPr>
          </w:p>
        </w:tc>
        <w:tc>
          <w:tcPr>
            <w:tcW w:w="800" w:type="dxa"/>
            <w:vAlign w:val="bottom"/>
            <w:tcBorders>
              <w:top w:val="single" w:sz="8" w:color="F5F5F5"/>
              <w:bottom w:val="single" w:sz="8" w:color="auto"/>
            </w:tcBorders>
          </w:tcPr>
          <w:p>
            <w:pPr>
              <w:spacing w:after="0" w:line="20" w:lineRule="exact"/>
              <w:rPr>
                <w:sz w:val="1"/>
                <w:szCs w:val="1"/>
                <w:color w:val="auto"/>
              </w:rPr>
            </w:pPr>
          </w:p>
        </w:tc>
        <w:tc>
          <w:tcPr>
            <w:tcW w:w="80" w:type="dxa"/>
            <w:vAlign w:val="bottom"/>
            <w:tcBorders>
              <w:top w:val="single" w:sz="8" w:color="F5F5F5"/>
            </w:tcBorders>
          </w:tcPr>
          <w:p>
            <w:pPr>
              <w:spacing w:after="0" w:line="20" w:lineRule="exact"/>
              <w:rPr>
                <w:sz w:val="1"/>
                <w:szCs w:val="1"/>
                <w:color w:val="auto"/>
              </w:rPr>
            </w:pPr>
          </w:p>
        </w:tc>
        <w:tc>
          <w:tcPr>
            <w:tcW w:w="1180" w:type="dxa"/>
            <w:vAlign w:val="bottom"/>
            <w:tcBorders>
              <w:top w:val="single" w:sz="8" w:color="F5F5F5"/>
            </w:tcBorders>
          </w:tcPr>
          <w:p>
            <w:pPr>
              <w:spacing w:after="0" w:line="20" w:lineRule="exact"/>
              <w:rPr>
                <w:sz w:val="1"/>
                <w:szCs w:val="1"/>
                <w:color w:val="auto"/>
              </w:rPr>
            </w:pPr>
          </w:p>
        </w:tc>
      </w:tr>
    </w:tbl>
    <w:p>
      <w:pPr>
        <w:spacing w:after="0" w:line="176" w:lineRule="exact"/>
        <w:rPr>
          <w:sz w:val="20"/>
          <w:szCs w:val="20"/>
          <w:color w:val="auto"/>
        </w:rPr>
      </w:pPr>
    </w:p>
    <w:p>
      <w:pPr>
        <w:ind w:left="340" w:hanging="332"/>
        <w:spacing w:after="0" w:line="227" w:lineRule="auto"/>
        <w:tabs>
          <w:tab w:leader="none" w:pos="339" w:val="left"/>
        </w:tabs>
        <w:numPr>
          <w:ilvl w:val="0"/>
          <w:numId w:val="41"/>
        </w:numPr>
        <w:rPr>
          <w:rFonts w:ascii="Arial" w:cs="Arial" w:eastAsia="Arial" w:hAnsi="Arial"/>
          <w:sz w:val="18"/>
          <w:szCs w:val="18"/>
          <w:b w:val="1"/>
          <w:bCs w:val="1"/>
          <w:color w:val="auto"/>
          <w:vertAlign w:val="superscript"/>
        </w:rPr>
      </w:pPr>
      <w:r>
        <w:rPr>
          <w:rFonts w:ascii="Arial" w:cs="Arial" w:eastAsia="Arial" w:hAnsi="Arial"/>
          <w:sz w:val="13"/>
          <w:szCs w:val="13"/>
          <w:color w:val="auto"/>
        </w:rPr>
        <w:t>EBITDA and Adjusted EBITDA are supplemental financial measures that are not defined or prepared in accordance with GAAP. EBITDA is defined as net income before interest, income taxes and depreciation and amortization. Adjusted EBITDA is EBITDA adjusted for asset impairment.</w:t>
      </w:r>
    </w:p>
    <w:p>
      <w:pPr>
        <w:spacing w:after="0" w:line="200" w:lineRule="exact"/>
        <w:rPr>
          <w:sz w:val="20"/>
          <w:szCs w:val="20"/>
          <w:color w:val="auto"/>
        </w:rPr>
      </w:pPr>
    </w:p>
    <w:p>
      <w:pPr>
        <w:spacing w:after="0" w:line="263"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37</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b w:val="1"/>
          <w:bCs w:val="1"/>
          <w:color w:val="AC7E65"/>
        </w:rPr>
        <w:t>LIQUIDITY AND CAPITAL RESOURCES</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Overview</w:t>
      </w:r>
    </w:p>
    <w:p>
      <w:pPr>
        <w:spacing w:after="0" w:line="24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The Company’s capital allocation strategy and priorities are reviewed by A&amp;F’s Board of Directors quarterly considering both liquidity and valuation factors. The Company believes that it will have adequate liquidity to fund operating activities for the next twelve months. The Company monitors financing market conditions and may in the future determine whether and when to repurchase shares of its Common Stock. For a discussion of the Company’s share repurchase activity, please see below under </w:t>
      </w:r>
      <w:r>
        <w:rPr>
          <w:rFonts w:ascii="Arial" w:cs="Arial" w:eastAsia="Arial" w:hAnsi="Arial"/>
          <w:sz w:val="16"/>
          <w:szCs w:val="16"/>
          <w:i w:val="1"/>
          <w:iCs w:val="1"/>
          <w:u w:val="single" w:color="auto"/>
          <w:color w:val="AC7E65"/>
        </w:rPr>
        <w:t>“Share Repurchases.”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Primary Sources and Uses of Cash</w:t>
      </w:r>
    </w:p>
    <w:p>
      <w:pPr>
        <w:spacing w:after="0" w:line="24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Company’s business has two principal selling seasons: Spring and Fall. The Company generally experiences its greatest sales activity during the Fall season, due to the back-to-school and holiday sales periods. The Company relies on excess operating cash flows, which are largely generated in Fall, to fund operations throughout the fiscal year and to reinvest in the business to support future growth. The Company also has the ABL Facility available as a source of additional funding, which is described further below under “</w:t>
      </w:r>
      <w:r>
        <w:rPr>
          <w:rFonts w:ascii="Arial" w:cs="Arial" w:eastAsia="Arial" w:hAnsi="Arial"/>
          <w:sz w:val="16"/>
          <w:szCs w:val="16"/>
          <w:i w:val="1"/>
          <w:iCs w:val="1"/>
          <w:u w:val="single" w:color="auto"/>
          <w:color w:val="AC7E65"/>
        </w:rPr>
        <w:t>Credit Facility.”</w:t>
      </w:r>
    </w:p>
    <w:p>
      <w:pPr>
        <w:spacing w:after="0" w:line="21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Over the next twelve months, the Company expects its primary cash requirements to be directed towards prioritizing investments in the business and continuing to fund operating activities, including the acquisition of inventory, and obligations related to compensation, marketing, data and technology, leases and any lease buyouts or modifications it may exercise, taxes and other operating activities. In addition, management continuously evaluates potential opportunities to strategically deploy excess cash and/or deleverage the balance sheet, in consideration on various factors, such as market and business conditions, and the Company’s ability to accelerate investments in the business. Such opportunities may include, but are not limited to, share repurchases.</w:t>
      </w:r>
    </w:p>
    <w:p>
      <w:pPr>
        <w:spacing w:after="0" w:line="19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When evaluating opportunities for investments in the business, management considers alignment with initiatives that position the business for sustainable long-term growth that align with its strategic pillars as described within “</w:t>
      </w:r>
      <w:r>
        <w:rPr>
          <w:rFonts w:ascii="Arial" w:cs="Arial" w:eastAsia="Arial" w:hAnsi="Arial"/>
          <w:sz w:val="16"/>
          <w:szCs w:val="16"/>
          <w:i w:val="1"/>
          <w:iCs w:val="1"/>
          <w:u w:val="single" w:color="auto"/>
          <w:color w:val="0000FF"/>
        </w:rPr>
        <w:t>ITEM 1. BUSINESS - STRATEGY AND KEY BUSINESS PRIORITIES</w:t>
      </w:r>
      <w:r>
        <w:rPr>
          <w:rFonts w:ascii="Arial" w:cs="Arial" w:eastAsia="Arial" w:hAnsi="Arial"/>
          <w:sz w:val="16"/>
          <w:szCs w:val="16"/>
          <w:color w:val="auto"/>
        </w:rPr>
        <w:t>.” Examples of potential investment opportunities include, but are not limited to, new store experiences, and investments in the Company’s digital and omnichannel initiatives. Historically, the Company has utilized free cash flow generated from operations to fund any discretionary capital expenditures, which have been prioritized towards new store experiences, as well as marketing, digital and omnichannel investments, information technology, and other projects. For Fiscal 2024, the Company used $182.9 million towards capital expenditures, up from $157.8 million of capital expenditures in Fiscal 2023. Total capital expenditures for Fiscal 2025 are expected to be approximately $200 million.</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Share Repurchases</w:t>
      </w:r>
    </w:p>
    <w:p>
      <w:pPr>
        <w:spacing w:after="0" w:line="26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November 2021, A&amp;F’s Board of Directors approved a $500 million share repurchase authorization (the “2021 Authorization”). During Fiscal 2024, the Company repurchased $230 million, or 1.6 million shares, of its Common Stock pursuant to the 2021 Authorization. On March 5, 2025, the Company announced that A&amp;F’s Board of Directors approved a new $1.3 billion share repurchase authorization program (the “2025 Authorization”). The 2025 Authorization has no expiration date. In addition, the 2025 Authorization replaced the 2021 Authorization, and shares may no longer be repurchased pursuant to the 2021 Authorization.</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Historically, the Company has repurchased shares of its Common Stock from time to time, which repurchases are dependent on excess liquidity, market conditions, and business conditions, with the objectives of returning excess cash to shareholders and offsetting dilution from issuances of Common Stock associated with the vesting of restricted stock units. Shares may be repurchased in the open market or in private transactions in such manner as be deemed advisable from time to time (including, without limitation, pursuant to accelerated share repurchase programs, one or more trading plans established in accordance with Rule 10b5-1 of the Exchange Act, or any other method deemed advisable) and may be discontinued at any time. Refer to “</w:t>
      </w:r>
      <w:r>
        <w:rPr>
          <w:rFonts w:ascii="Arial" w:cs="Arial" w:eastAsia="Arial" w:hAnsi="Arial"/>
          <w:sz w:val="16"/>
          <w:szCs w:val="16"/>
          <w:i w:val="1"/>
          <w:iCs w:val="1"/>
          <w:u w:val="single" w:color="auto"/>
          <w:color w:val="0000FF"/>
        </w:rPr>
        <w:t>ITEM 5.</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0000FF"/>
        </w:rPr>
        <w:t>MARKET FOR REGISTRANT’S COMMON EQUITY, RELATED STOCKHOLDER MATTERS AND ISSUER PURCHASES OF EQUITY SECURITIES</w:t>
      </w:r>
      <w:r>
        <w:rPr>
          <w:rFonts w:ascii="Arial" w:cs="Arial" w:eastAsia="Arial" w:hAnsi="Arial"/>
          <w:sz w:val="16"/>
          <w:szCs w:val="16"/>
          <w:color w:val="000000"/>
        </w:rPr>
        <w:t>” of this</w:t>
      </w:r>
      <w:r>
        <w:rPr>
          <w:rFonts w:ascii="Arial" w:cs="Arial" w:eastAsia="Arial" w:hAnsi="Arial"/>
          <w:sz w:val="16"/>
          <w:szCs w:val="16"/>
          <w:i w:val="1"/>
          <w:iCs w:val="1"/>
          <w:color w:val="0000FF"/>
        </w:rPr>
        <w:t xml:space="preserve"> </w:t>
      </w:r>
      <w:r>
        <w:rPr>
          <w:rFonts w:ascii="Arial" w:cs="Arial" w:eastAsia="Arial" w:hAnsi="Arial"/>
          <w:sz w:val="16"/>
          <w:szCs w:val="16"/>
          <w:color w:val="000000"/>
        </w:rPr>
        <w:t>Annual Report on Form 10-K for additional information regarding the Company’s publicly announced share repurchase authorization programs.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38</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Senior Secured Notes</w:t>
      </w:r>
    </w:p>
    <w:p>
      <w:pPr>
        <w:spacing w:after="0" w:line="24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On July 15, 2024 (the “Redemption Date”), Abercrombie &amp; Fitch Management Co (“A&amp;F Management”) redeemed all of its outstanding 8.75% Senior Secured Notes due in 2025 (the “Senior Secured Notes”), which had an aggregate principal amount of $214 million, pursuant to the terms of the indenture governing the Senior Secured Notes, at a redemption price equal to 100% of the principal amount, plus accrued and unpaid interest to, but excluding, the Redemption Date. As of the Redemption Date, the Senior Secured Notes were no longer deemed outstanding and interest on the Senior Secured Notes ceased to accrue.</w:t>
      </w: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Credit Facility</w:t>
      </w:r>
    </w:p>
    <w:p>
      <w:pPr>
        <w:spacing w:after="0" w:line="20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On August 2, 2024, A&amp;F, as parent and a guarantor, A&amp;F Management, as lead borrower, and certain of A&amp;F’s direct and indirect wholly-owned subsidiaries, as additional borrowers and guarantors, entered into the Second Amendment to the Amended and Restated Credit Agreement (the “Second Amendment”), together with the lenders party thereto and Wells Fargo Bank, National Association, as administrative agent for the lenders. The Second Amendment amended the Amended and Restated Credit Agreement, dated as of April 29, 2021 (the “ABL Credit Agreement”), to, among other things (as described in greater detail below), provide for a $500 million senior secured asset-based revolving credit facility (the “ABL Facility”). The Company incurred customary fees and expenses in connection with the entry into the Second Amendment.</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The Second Amendment amended the ABL Credit Agreement to, among other things:</w:t>
      </w:r>
    </w:p>
    <w:p>
      <w:pPr>
        <w:spacing w:after="0" w:line="31" w:lineRule="exact"/>
        <w:rPr>
          <w:sz w:val="20"/>
          <w:szCs w:val="20"/>
          <w:color w:val="auto"/>
        </w:rPr>
      </w:pPr>
    </w:p>
    <w:p>
      <w:pPr>
        <w:ind w:left="640" w:hanging="308"/>
        <w:spacing w:after="0"/>
        <w:tabs>
          <w:tab w:leader="none" w:pos="6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increase the aggregate commitments thereunder from $400 million to $500 million;</w:t>
      </w:r>
    </w:p>
    <w:p>
      <w:pPr>
        <w:spacing w:after="0" w:line="8" w:lineRule="exact"/>
        <w:rPr>
          <w:rFonts w:ascii="Arial" w:cs="Arial" w:eastAsia="Arial" w:hAnsi="Arial"/>
          <w:sz w:val="16"/>
          <w:szCs w:val="16"/>
          <w:color w:val="auto"/>
        </w:rPr>
      </w:pPr>
    </w:p>
    <w:p>
      <w:pPr>
        <w:jc w:val="both"/>
        <w:ind w:left="660" w:hanging="328"/>
        <w:spacing w:after="0" w:line="252" w:lineRule="auto"/>
        <w:tabs>
          <w:tab w:leader="none" w:pos="649" w:val="left"/>
        </w:tabs>
        <w:numPr>
          <w:ilvl w:val="0"/>
          <w:numId w:val="42"/>
        </w:numPr>
        <w:rPr>
          <w:rFonts w:ascii="Arial" w:cs="Arial" w:eastAsia="Arial" w:hAnsi="Arial"/>
          <w:sz w:val="16"/>
          <w:szCs w:val="16"/>
          <w:color w:val="auto"/>
        </w:rPr>
      </w:pPr>
      <w:r>
        <w:rPr>
          <w:rFonts w:ascii="Arial" w:cs="Arial" w:eastAsia="Arial" w:hAnsi="Arial"/>
          <w:sz w:val="16"/>
          <w:szCs w:val="16"/>
          <w:color w:val="auto"/>
        </w:rPr>
        <w:t>establish a $100 million sub-facility for the benefit of Abfico Netherlands Distribution B.V. (“Abfico”) and AFH Stores UK Limited (“AFH UK”) that is (i) secured by a first priority security interest in all assets (subject to specified exclusions) of each of Abfico and AFH UK, (ii) guaranteed by A&amp;F and certain of its domestic direct and indirect wholly-owned subsidiaries, and (iii) subject to a borrowing base as described therein;</w:t>
      </w:r>
    </w:p>
    <w:p>
      <w:pPr>
        <w:ind w:left="640" w:hanging="308"/>
        <w:spacing w:after="0"/>
        <w:tabs>
          <w:tab w:leader="none" w:pos="6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extend the maturity date from April 29, 2026 to August 2, 2029;</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increase the letter of credit sub-limit from $50 million to $62.5 million;</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decrease the swing line availability from $50 million to $30 million;</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decrease the unused line fee from a variable rate of 25 basis points to 37.5 basis points to a flat rate of 25 basis points; and</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increase pricing of the interest rate margin applicable to borrowings as follows:</w:t>
      </w:r>
    </w:p>
    <w:p>
      <w:pPr>
        <w:spacing w:after="0" w:line="8" w:lineRule="exact"/>
        <w:rPr>
          <w:rFonts w:ascii="Arial" w:cs="Arial" w:eastAsia="Arial" w:hAnsi="Arial"/>
          <w:sz w:val="16"/>
          <w:szCs w:val="16"/>
          <w:color w:val="auto"/>
        </w:rPr>
      </w:pPr>
    </w:p>
    <w:p>
      <w:pPr>
        <w:ind w:left="1300" w:hanging="320"/>
        <w:spacing w:after="0" w:line="252" w:lineRule="auto"/>
        <w:tabs>
          <w:tab w:leader="none" w:pos="1289" w:val="left"/>
        </w:tabs>
        <w:numPr>
          <w:ilvl w:val="1"/>
          <w:numId w:val="42"/>
        </w:numPr>
        <w:rPr>
          <w:rFonts w:ascii="Arial" w:cs="Arial" w:eastAsia="Arial" w:hAnsi="Arial"/>
          <w:sz w:val="16"/>
          <w:szCs w:val="16"/>
          <w:color w:val="auto"/>
        </w:rPr>
      </w:pPr>
      <w:r>
        <w:rPr>
          <w:rFonts w:ascii="Arial" w:cs="Arial" w:eastAsia="Arial" w:hAnsi="Arial"/>
          <w:sz w:val="16"/>
          <w:szCs w:val="16"/>
          <w:color w:val="auto"/>
        </w:rPr>
        <w:t>from 1.25% to 1.50% when average availability is greater than or equal to 50% of the Loan Cap (as defined in the Second Amendment); and</w:t>
      </w:r>
    </w:p>
    <w:p>
      <w:pPr>
        <w:spacing w:after="0" w:line="194" w:lineRule="exact"/>
        <w:rPr>
          <w:rFonts w:ascii="Arial" w:cs="Arial" w:eastAsia="Arial" w:hAnsi="Arial"/>
          <w:sz w:val="16"/>
          <w:szCs w:val="16"/>
          <w:color w:val="auto"/>
        </w:rPr>
      </w:pPr>
    </w:p>
    <w:p>
      <w:pPr>
        <w:ind w:left="1300" w:hanging="320"/>
        <w:spacing w:after="0"/>
        <w:tabs>
          <w:tab w:leader="none" w:pos="13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from 1.50% to 1.75% when average availability is less than 50% of the Loan Cap.</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The Company did not have any borrowings outstanding under the ABL Facility as of February 1, 2025 or as of February 3, 2024.</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Details regarding the remaining borrowing capacity under the ABL Facility as of February 1, 2025 follow: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400" w:type="dxa"/>
            <w:vAlign w:val="bottom"/>
            <w:tcBorders>
              <w:bottom w:val="single" w:sz="8" w:color="F5F5F5"/>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February 1, 2025</w:t>
            </w:r>
          </w:p>
        </w:tc>
      </w:tr>
      <w:tr>
        <w:trPr>
          <w:trHeight w:val="200"/>
        </w:trPr>
        <w:tc>
          <w:tcPr>
            <w:tcW w:w="9400" w:type="dxa"/>
            <w:vAlign w:val="bottom"/>
            <w:shd w:val="clear" w:color="auto" w:fill="F5F5F5"/>
          </w:tcPr>
          <w:p>
            <w:pPr>
              <w:ind w:left="20"/>
              <w:spacing w:after="0"/>
              <w:rPr>
                <w:sz w:val="20"/>
                <w:szCs w:val="20"/>
                <w:color w:val="auto"/>
              </w:rPr>
            </w:pPr>
            <w:r>
              <w:rPr>
                <w:rFonts w:ascii="Arial" w:cs="Arial" w:eastAsia="Arial" w:hAnsi="Arial"/>
                <w:sz w:val="14"/>
                <w:szCs w:val="14"/>
                <w:color w:val="auto"/>
              </w:rPr>
              <w:t>Loan cap</w:t>
            </w:r>
          </w:p>
        </w:tc>
        <w:tc>
          <w:tcPr>
            <w:tcW w:w="400" w:type="dxa"/>
            <w:vAlign w:val="bottom"/>
            <w:shd w:val="clear" w:color="auto" w:fill="F5F5F5"/>
          </w:tcPr>
          <w:p>
            <w:pPr>
              <w:jc w:val="right"/>
              <w:ind w:right="248"/>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F5F5F5"/>
          </w:tcPr>
          <w:p>
            <w:pPr>
              <w:jc w:val="right"/>
              <w:spacing w:after="0"/>
              <w:rPr>
                <w:sz w:val="20"/>
                <w:szCs w:val="20"/>
                <w:color w:val="auto"/>
              </w:rPr>
            </w:pPr>
            <w:r>
              <w:rPr>
                <w:rFonts w:ascii="Arial" w:cs="Arial" w:eastAsia="Arial" w:hAnsi="Arial"/>
                <w:sz w:val="14"/>
                <w:szCs w:val="14"/>
                <w:color w:val="auto"/>
              </w:rPr>
              <w:t>500,000</w:t>
            </w:r>
          </w:p>
        </w:tc>
      </w:tr>
      <w:tr>
        <w:trPr>
          <w:trHeight w:val="198"/>
        </w:trPr>
        <w:tc>
          <w:tcPr>
            <w:tcW w:w="9400" w:type="dxa"/>
            <w:vAlign w:val="bottom"/>
            <w:tcBorders>
              <w:bottom w:val="single" w:sz="8" w:color="F5F5F5"/>
            </w:tcBorders>
          </w:tcPr>
          <w:p>
            <w:pPr>
              <w:ind w:left="20"/>
              <w:spacing w:after="0"/>
              <w:rPr>
                <w:sz w:val="20"/>
                <w:szCs w:val="20"/>
                <w:color w:val="auto"/>
              </w:rPr>
            </w:pPr>
            <w:r>
              <w:rPr>
                <w:rFonts w:ascii="Arial" w:cs="Arial" w:eastAsia="Arial" w:hAnsi="Arial"/>
                <w:sz w:val="14"/>
                <w:szCs w:val="14"/>
                <w:color w:val="auto"/>
              </w:rPr>
              <w:t>Less: Outstanding stand-by letters of credit</w:t>
            </w:r>
          </w:p>
        </w:tc>
        <w:tc>
          <w:tcPr>
            <w:tcW w:w="400" w:type="dxa"/>
            <w:vAlign w:val="bottom"/>
            <w:tcBorders>
              <w:bottom w:val="single" w:sz="8" w:color="424242"/>
            </w:tcBorders>
          </w:tcPr>
          <w:p>
            <w:pPr>
              <w:spacing w:after="0"/>
              <w:rPr>
                <w:sz w:val="17"/>
                <w:szCs w:val="17"/>
                <w:color w:val="auto"/>
              </w:rPr>
            </w:pPr>
          </w:p>
        </w:tc>
        <w:tc>
          <w:tcPr>
            <w:tcW w:w="1440" w:type="dxa"/>
            <w:vAlign w:val="bottom"/>
            <w:tcBorders>
              <w:bottom w:val="single" w:sz="8" w:color="424242"/>
            </w:tcBorders>
          </w:tcPr>
          <w:p>
            <w:pPr>
              <w:jc w:val="right"/>
              <w:spacing w:after="0"/>
              <w:rPr>
                <w:sz w:val="20"/>
                <w:szCs w:val="20"/>
                <w:color w:val="auto"/>
              </w:rPr>
            </w:pPr>
            <w:r>
              <w:rPr>
                <w:rFonts w:ascii="Arial" w:cs="Arial" w:eastAsia="Arial" w:hAnsi="Arial"/>
                <w:sz w:val="14"/>
                <w:szCs w:val="14"/>
                <w:color w:val="auto"/>
              </w:rPr>
              <w:t>(423)</w:t>
            </w:r>
          </w:p>
        </w:tc>
      </w:tr>
      <w:tr>
        <w:trPr>
          <w:trHeight w:val="200"/>
        </w:trPr>
        <w:tc>
          <w:tcPr>
            <w:tcW w:w="9400" w:type="dxa"/>
            <w:vAlign w:val="bottom"/>
            <w:shd w:val="clear" w:color="auto" w:fill="F5F5F5"/>
          </w:tcPr>
          <w:p>
            <w:pPr>
              <w:ind w:left="20"/>
              <w:spacing w:after="0"/>
              <w:rPr>
                <w:sz w:val="20"/>
                <w:szCs w:val="20"/>
                <w:color w:val="auto"/>
              </w:rPr>
            </w:pPr>
            <w:r>
              <w:rPr>
                <w:rFonts w:ascii="Arial" w:cs="Arial" w:eastAsia="Arial" w:hAnsi="Arial"/>
                <w:sz w:val="14"/>
                <w:szCs w:val="14"/>
                <w:color w:val="auto"/>
              </w:rPr>
              <w:t>Borrowing capacity</w:t>
            </w:r>
          </w:p>
        </w:tc>
        <w:tc>
          <w:tcPr>
            <w:tcW w:w="400" w:type="dxa"/>
            <w:vAlign w:val="bottom"/>
            <w:shd w:val="clear" w:color="auto" w:fill="F5F5F5"/>
          </w:tcPr>
          <w:p>
            <w:pPr>
              <w:spacing w:after="0"/>
              <w:rPr>
                <w:sz w:val="17"/>
                <w:szCs w:val="17"/>
                <w:color w:val="auto"/>
              </w:rPr>
            </w:pPr>
          </w:p>
        </w:tc>
        <w:tc>
          <w:tcPr>
            <w:tcW w:w="1440" w:type="dxa"/>
            <w:vAlign w:val="bottom"/>
            <w:shd w:val="clear" w:color="auto" w:fill="F5F5F5"/>
          </w:tcPr>
          <w:p>
            <w:pPr>
              <w:jc w:val="right"/>
              <w:spacing w:after="0"/>
              <w:rPr>
                <w:sz w:val="20"/>
                <w:szCs w:val="20"/>
                <w:color w:val="auto"/>
              </w:rPr>
            </w:pPr>
            <w:r>
              <w:rPr>
                <w:rFonts w:ascii="Arial" w:cs="Arial" w:eastAsia="Arial" w:hAnsi="Arial"/>
                <w:sz w:val="14"/>
                <w:szCs w:val="14"/>
                <w:color w:val="auto"/>
              </w:rPr>
              <w:t>499,577</w:t>
            </w:r>
          </w:p>
        </w:tc>
      </w:tr>
      <w:tr>
        <w:trPr>
          <w:trHeight w:val="203"/>
        </w:trPr>
        <w:tc>
          <w:tcPr>
            <w:tcW w:w="9400" w:type="dxa"/>
            <w:vAlign w:val="bottom"/>
            <w:tcBorders>
              <w:bottom w:val="single" w:sz="8" w:color="F5F5F5"/>
            </w:tcBorders>
          </w:tcPr>
          <w:p>
            <w:pPr>
              <w:ind w:left="20"/>
              <w:spacing w:after="0" w:line="202" w:lineRule="exact"/>
              <w:rPr>
                <w:sz w:val="20"/>
                <w:szCs w:val="20"/>
                <w:color w:val="auto"/>
              </w:rPr>
            </w:pPr>
            <w:r>
              <w:rPr>
                <w:rFonts w:ascii="Arial" w:cs="Arial" w:eastAsia="Arial" w:hAnsi="Arial"/>
                <w:sz w:val="14"/>
                <w:szCs w:val="14"/>
                <w:color w:val="auto"/>
              </w:rPr>
              <w:t xml:space="preserve">Less: Minimum excess availability </w:t>
            </w:r>
            <w:r>
              <w:rPr>
                <w:rFonts w:ascii="Arial" w:cs="Arial" w:eastAsia="Arial" w:hAnsi="Arial"/>
                <w:sz w:val="18"/>
                <w:szCs w:val="18"/>
                <w:color w:val="auto"/>
                <w:vertAlign w:val="superscript"/>
              </w:rPr>
              <w:t>(1)</w:t>
            </w:r>
          </w:p>
        </w:tc>
        <w:tc>
          <w:tcPr>
            <w:tcW w:w="400" w:type="dxa"/>
            <w:vAlign w:val="bottom"/>
            <w:tcBorders>
              <w:bottom w:val="single" w:sz="8" w:color="424242"/>
            </w:tcBorders>
          </w:tcPr>
          <w:p>
            <w:pPr>
              <w:spacing w:after="0"/>
              <w:rPr>
                <w:sz w:val="17"/>
                <w:szCs w:val="17"/>
                <w:color w:val="auto"/>
              </w:rPr>
            </w:pPr>
          </w:p>
        </w:tc>
        <w:tc>
          <w:tcPr>
            <w:tcW w:w="1440" w:type="dxa"/>
            <w:vAlign w:val="bottom"/>
            <w:tcBorders>
              <w:bottom w:val="single" w:sz="8" w:color="424242"/>
            </w:tcBorders>
          </w:tcPr>
          <w:p>
            <w:pPr>
              <w:jc w:val="right"/>
              <w:spacing w:after="0"/>
              <w:rPr>
                <w:sz w:val="20"/>
                <w:szCs w:val="20"/>
                <w:color w:val="auto"/>
              </w:rPr>
            </w:pPr>
            <w:r>
              <w:rPr>
                <w:rFonts w:ascii="Arial" w:cs="Arial" w:eastAsia="Arial" w:hAnsi="Arial"/>
                <w:sz w:val="14"/>
                <w:szCs w:val="14"/>
                <w:color w:val="auto"/>
              </w:rPr>
              <w:t>(50,000)</w:t>
            </w:r>
          </w:p>
        </w:tc>
      </w:tr>
      <w:tr>
        <w:trPr>
          <w:trHeight w:val="221"/>
        </w:trPr>
        <w:tc>
          <w:tcPr>
            <w:tcW w:w="9400" w:type="dxa"/>
            <w:vAlign w:val="bottom"/>
            <w:tcBorders>
              <w:bottom w:val="single" w:sz="8" w:color="F5F5F5"/>
            </w:tcBorders>
            <w:shd w:val="clear" w:color="auto" w:fill="F5F5F5"/>
          </w:tcPr>
          <w:p>
            <w:pPr>
              <w:ind w:left="20"/>
              <w:spacing w:after="0"/>
              <w:rPr>
                <w:sz w:val="20"/>
                <w:szCs w:val="20"/>
                <w:color w:val="auto"/>
              </w:rPr>
            </w:pPr>
            <w:r>
              <w:rPr>
                <w:rFonts w:ascii="Arial" w:cs="Arial" w:eastAsia="Arial" w:hAnsi="Arial"/>
                <w:sz w:val="14"/>
                <w:szCs w:val="14"/>
                <w:color w:val="auto"/>
              </w:rPr>
              <w:t>Borrowing capacity available</w:t>
            </w:r>
          </w:p>
        </w:tc>
        <w:tc>
          <w:tcPr>
            <w:tcW w:w="400" w:type="dxa"/>
            <w:vAlign w:val="bottom"/>
            <w:tcBorders>
              <w:bottom w:val="single" w:sz="8" w:color="auto"/>
            </w:tcBorders>
            <w:shd w:val="clear" w:color="auto" w:fill="F5F5F5"/>
          </w:tcPr>
          <w:p>
            <w:pPr>
              <w:jc w:val="right"/>
              <w:ind w:right="248"/>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449,577</w:t>
            </w:r>
          </w:p>
        </w:tc>
      </w:tr>
      <w:tr>
        <w:trPr>
          <w:trHeight w:val="20"/>
        </w:trPr>
        <w:tc>
          <w:tcPr>
            <w:tcW w:w="9400" w:type="dxa"/>
            <w:vAlign w:val="bottom"/>
            <w:tcBorders>
              <w:top w:val="single" w:sz="8" w:color="F5F5F5"/>
            </w:tcBorders>
          </w:tcPr>
          <w:p>
            <w:pPr>
              <w:spacing w:after="0" w:line="20" w:lineRule="exact"/>
              <w:rPr>
                <w:sz w:val="1"/>
                <w:szCs w:val="1"/>
                <w:color w:val="auto"/>
              </w:rPr>
            </w:pPr>
          </w:p>
        </w:tc>
        <w:tc>
          <w:tcPr>
            <w:tcW w:w="400" w:type="dxa"/>
            <w:vAlign w:val="bottom"/>
            <w:tcBorders>
              <w:top w:val="single" w:sz="8" w:color="F5F5F5"/>
              <w:bottom w:val="single" w:sz="8" w:color="auto"/>
            </w:tcBorders>
          </w:tcPr>
          <w:p>
            <w:pPr>
              <w:spacing w:after="0" w:line="20" w:lineRule="exact"/>
              <w:rPr>
                <w:sz w:val="1"/>
                <w:szCs w:val="1"/>
                <w:color w:val="auto"/>
              </w:rPr>
            </w:pPr>
          </w:p>
        </w:tc>
        <w:tc>
          <w:tcPr>
            <w:tcW w:w="1440" w:type="dxa"/>
            <w:vAlign w:val="bottom"/>
            <w:tcBorders>
              <w:top w:val="single" w:sz="8" w:color="F5F5F5"/>
              <w:bottom w:val="single" w:sz="8" w:color="auto"/>
            </w:tcBorders>
          </w:tcPr>
          <w:p>
            <w:pPr>
              <w:spacing w:after="0" w:line="20" w:lineRule="exact"/>
              <w:rPr>
                <w:sz w:val="1"/>
                <w:szCs w:val="1"/>
                <w:color w:val="auto"/>
              </w:rPr>
            </w:pPr>
          </w:p>
        </w:tc>
      </w:tr>
    </w:tbl>
    <w:p>
      <w:pPr>
        <w:spacing w:after="0" w:line="92" w:lineRule="exact"/>
        <w:rPr>
          <w:sz w:val="20"/>
          <w:szCs w:val="20"/>
          <w:color w:val="auto"/>
        </w:rPr>
      </w:pPr>
    </w:p>
    <w:p>
      <w:pPr>
        <w:ind w:left="220" w:hanging="212"/>
        <w:spacing w:after="0"/>
        <w:tabs>
          <w:tab w:leader="none" w:pos="220" w:val="left"/>
        </w:tabs>
        <w:numPr>
          <w:ilvl w:val="0"/>
          <w:numId w:val="43"/>
        </w:numPr>
        <w:rPr>
          <w:rFonts w:ascii="Arial" w:cs="Arial" w:eastAsia="Arial" w:hAnsi="Arial"/>
          <w:sz w:val="18"/>
          <w:szCs w:val="18"/>
          <w:color w:val="auto"/>
          <w:vertAlign w:val="superscript"/>
        </w:rPr>
      </w:pPr>
      <w:r>
        <w:rPr>
          <w:rFonts w:ascii="Arial" w:cs="Arial" w:eastAsia="Arial" w:hAnsi="Arial"/>
          <w:sz w:val="13"/>
          <w:szCs w:val="13"/>
          <w:color w:val="auto"/>
        </w:rPr>
        <w:t>Under the ABL Facility, the Company must maintain excess availability equal to the greater of 10% of the Loan Cap or $36 million.</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Refer to Note 12, </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0000FF"/>
        </w:rPr>
        <w:t>BORROWINGS</w:t>
      </w:r>
      <w:r>
        <w:rPr>
          <w:rFonts w:ascii="Arial" w:cs="Arial" w:eastAsia="Arial" w:hAnsi="Arial"/>
          <w:sz w:val="16"/>
          <w:szCs w:val="16"/>
          <w:i w:val="1"/>
          <w:iCs w:val="1"/>
          <w:color w:val="auto"/>
        </w:rPr>
        <w:t>,”</w:t>
      </w:r>
      <w:r>
        <w:rPr>
          <w:rFonts w:ascii="Arial" w:cs="Arial" w:eastAsia="Arial" w:hAnsi="Arial"/>
          <w:sz w:val="16"/>
          <w:szCs w:val="16"/>
          <w:color w:val="auto"/>
        </w:rPr>
        <w:t xml:space="preserve"> for additional information.</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Income Taxes</w:t>
      </w:r>
    </w:p>
    <w:p>
      <w:pPr>
        <w:spacing w:after="0" w:line="24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Company’s earnings and profits from its foreign subsidiaries could be repatriated to the U.S., without incurring additional federal income tax. The Company determined that the balance of the Company’s undistributed earnings and profits from its foreign subsidiaries as of February 2, 2019, are considered indefinitely reinvested outside of the U.S., and if these funds were to be repatriated to the U.S., the Company would expect to incur an insignificant amount of state income taxes and foreign withholding taxes. The Company accrues for both state income taxes and foreign withholding taxes with respect to earnings and profits earned after February 2, 2019, in such a manner that these funds may be repatriated without incurring additional tax expense. As of February 1, 2025, $257.5 million of the Company’s $772.7 million of cash and equivalents were held by foreign affiliates.</w:t>
      </w:r>
    </w:p>
    <w:p>
      <w:pPr>
        <w:spacing w:after="0" w:line="20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Refer to Note 11, “</w:t>
      </w:r>
      <w:r>
        <w:rPr>
          <w:rFonts w:ascii="Arial" w:cs="Arial" w:eastAsia="Arial" w:hAnsi="Arial"/>
          <w:sz w:val="16"/>
          <w:szCs w:val="16"/>
          <w:i w:val="1"/>
          <w:iCs w:val="1"/>
          <w:u w:val="single" w:color="auto"/>
          <w:color w:val="0000FF"/>
        </w:rPr>
        <w:t>INCOME TAXES</w:t>
      </w:r>
      <w:r>
        <w:rPr>
          <w:rFonts w:ascii="Arial" w:cs="Arial" w:eastAsia="Arial" w:hAnsi="Arial"/>
          <w:sz w:val="16"/>
          <w:szCs w:val="16"/>
          <w:color w:val="auto"/>
        </w:rPr>
        <w:t>,” for additional details regarding the impact certain events related to the Company’s income taxes had on the Company’s Consolidated Financial Statements.</w:t>
      </w:r>
    </w:p>
    <w:p>
      <w:pPr>
        <w:spacing w:after="0" w:line="200" w:lineRule="exact"/>
        <w:rPr>
          <w:sz w:val="20"/>
          <w:szCs w:val="20"/>
          <w:color w:val="auto"/>
        </w:rPr>
      </w:pPr>
    </w:p>
    <w:p>
      <w:pPr>
        <w:spacing w:after="0" w:line="216"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39</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Analysis of Cash Flows</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provides certain components of the Company’s Consolidated Statements of Cash Flows for Fiscal 2024 and Fiscal 2023:</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74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580" w:type="dxa"/>
            <w:vAlign w:val="bottom"/>
          </w:tcPr>
          <w:p>
            <w:pPr>
              <w:spacing w:after="0"/>
              <w:rPr>
                <w:sz w:val="16"/>
                <w:szCs w:val="16"/>
                <w:color w:val="auto"/>
              </w:rPr>
            </w:pPr>
          </w:p>
        </w:tc>
        <w:tc>
          <w:tcPr>
            <w:tcW w:w="1340" w:type="dxa"/>
            <w:vAlign w:val="bottom"/>
            <w:gridSpan w:val="2"/>
          </w:tcPr>
          <w:p>
            <w:pPr>
              <w:ind w:left="480"/>
              <w:spacing w:after="0"/>
              <w:rPr>
                <w:sz w:val="20"/>
                <w:szCs w:val="20"/>
                <w:color w:val="auto"/>
              </w:rPr>
            </w:pPr>
            <w:r>
              <w:rPr>
                <w:rFonts w:ascii="Arial" w:cs="Arial" w:eastAsia="Arial" w:hAnsi="Arial"/>
                <w:sz w:val="14"/>
                <w:szCs w:val="14"/>
                <w:color w:val="auto"/>
              </w:rPr>
              <w:t>Fiscal 2024</w:t>
            </w:r>
          </w:p>
        </w:tc>
        <w:tc>
          <w:tcPr>
            <w:tcW w:w="5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Fiscal 2023</w:t>
            </w:r>
          </w:p>
        </w:tc>
      </w:tr>
      <w:tr>
        <w:trPr>
          <w:trHeight w:val="200"/>
        </w:trPr>
        <w:tc>
          <w:tcPr>
            <w:tcW w:w="7460" w:type="dxa"/>
            <w:vAlign w:val="bottom"/>
            <w:tcBorders>
              <w:top w:val="single" w:sz="8" w:color="F5F5F5"/>
            </w:tcBorders>
            <w:shd w:val="clear" w:color="auto" w:fill="F5F5F5"/>
          </w:tcPr>
          <w:p>
            <w:pPr>
              <w:ind w:left="20"/>
              <w:spacing w:after="0"/>
              <w:rPr>
                <w:sz w:val="20"/>
                <w:szCs w:val="20"/>
                <w:color w:val="auto"/>
              </w:rPr>
            </w:pPr>
            <w:r>
              <w:rPr>
                <w:rFonts w:ascii="Arial" w:cs="Arial" w:eastAsia="Arial" w:hAnsi="Arial"/>
                <w:sz w:val="14"/>
                <w:szCs w:val="14"/>
                <w:color w:val="auto"/>
              </w:rPr>
              <w:t>Cash and equivalents, and restricted cash and equivalents, beginning of period</w:t>
            </w:r>
          </w:p>
        </w:tc>
        <w:tc>
          <w:tcPr>
            <w:tcW w:w="580" w:type="dxa"/>
            <w:vAlign w:val="bottom"/>
            <w:tcBorders>
              <w:top w:val="single" w:sz="8" w:color="auto"/>
            </w:tcBorders>
            <w:shd w:val="clear" w:color="auto" w:fill="F5F5F5"/>
          </w:tcPr>
          <w:p>
            <w:pPr>
              <w:jc w:val="right"/>
              <w:ind w:right="40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909,685</w:t>
            </w:r>
          </w:p>
        </w:tc>
        <w:tc>
          <w:tcPr>
            <w:tcW w:w="100" w:type="dxa"/>
            <w:vAlign w:val="bottom"/>
            <w:tcBorders>
              <w:top w:val="single" w:sz="8" w:color="F5F5F5"/>
            </w:tcBorders>
            <w:shd w:val="clear" w:color="auto" w:fill="F5F5F5"/>
          </w:tcPr>
          <w:p>
            <w:pPr>
              <w:spacing w:after="0"/>
              <w:rPr>
                <w:sz w:val="17"/>
                <w:szCs w:val="17"/>
                <w:color w:val="auto"/>
              </w:rPr>
            </w:pPr>
          </w:p>
        </w:tc>
        <w:tc>
          <w:tcPr>
            <w:tcW w:w="580" w:type="dxa"/>
            <w:vAlign w:val="bottom"/>
            <w:tcBorders>
              <w:top w:val="single" w:sz="8" w:color="auto"/>
            </w:tcBorders>
            <w:shd w:val="clear" w:color="auto" w:fill="F5F5F5"/>
          </w:tcPr>
          <w:p>
            <w:pPr>
              <w:jc w:val="right"/>
              <w:ind w:right="40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F5F5F5"/>
          </w:tcPr>
          <w:p>
            <w:pPr>
              <w:jc w:val="center"/>
              <w:ind w:left="528"/>
              <w:spacing w:after="0"/>
              <w:rPr>
                <w:sz w:val="20"/>
                <w:szCs w:val="20"/>
                <w:color w:val="auto"/>
              </w:rPr>
            </w:pPr>
            <w:r>
              <w:rPr>
                <w:rFonts w:ascii="Arial" w:cs="Arial" w:eastAsia="Arial" w:hAnsi="Arial"/>
                <w:sz w:val="14"/>
                <w:szCs w:val="14"/>
                <w:color w:val="auto"/>
              </w:rPr>
              <w:t>527,569</w:t>
            </w:r>
          </w:p>
        </w:tc>
      </w:tr>
      <w:tr>
        <w:trPr>
          <w:trHeight w:val="199"/>
        </w:trPr>
        <w:tc>
          <w:tcPr>
            <w:tcW w:w="7460" w:type="dxa"/>
            <w:vAlign w:val="bottom"/>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580" w:type="dxa"/>
            <w:vAlign w:val="bottom"/>
          </w:tcPr>
          <w:p>
            <w:pPr>
              <w:spacing w:after="0"/>
              <w:rPr>
                <w:sz w:val="17"/>
                <w:szCs w:val="17"/>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710,376</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40" w:type="dxa"/>
            <w:vAlign w:val="bottom"/>
          </w:tcPr>
          <w:p>
            <w:pPr>
              <w:jc w:val="center"/>
              <w:ind w:left="528"/>
              <w:spacing w:after="0"/>
              <w:rPr>
                <w:sz w:val="20"/>
                <w:szCs w:val="20"/>
                <w:color w:val="auto"/>
              </w:rPr>
            </w:pPr>
            <w:r>
              <w:rPr>
                <w:rFonts w:ascii="Arial" w:cs="Arial" w:eastAsia="Arial" w:hAnsi="Arial"/>
                <w:sz w:val="14"/>
                <w:szCs w:val="14"/>
                <w:color w:val="auto"/>
              </w:rPr>
              <w:t>653,422</w:t>
            </w:r>
          </w:p>
        </w:tc>
      </w:tr>
      <w:tr>
        <w:trPr>
          <w:trHeight w:val="206"/>
        </w:trPr>
        <w:tc>
          <w:tcPr>
            <w:tcW w:w="7460" w:type="dxa"/>
            <w:vAlign w:val="bottom"/>
            <w:shd w:val="clear" w:color="auto" w:fill="F5F5F5"/>
          </w:tcPr>
          <w:p>
            <w:pPr>
              <w:ind w:left="20"/>
              <w:spacing w:after="0"/>
              <w:rPr>
                <w:sz w:val="20"/>
                <w:szCs w:val="20"/>
                <w:color w:val="auto"/>
              </w:rPr>
            </w:pPr>
            <w:r>
              <w:rPr>
                <w:rFonts w:ascii="Arial" w:cs="Arial" w:eastAsia="Arial" w:hAnsi="Arial"/>
                <w:sz w:val="14"/>
                <w:szCs w:val="14"/>
                <w:color w:val="auto"/>
              </w:rPr>
              <w:t>Net cash used for investing activities</w:t>
            </w:r>
          </w:p>
        </w:tc>
        <w:tc>
          <w:tcPr>
            <w:tcW w:w="580" w:type="dxa"/>
            <w:vAlign w:val="bottom"/>
            <w:shd w:val="clear" w:color="auto" w:fill="F5F5F5"/>
          </w:tcPr>
          <w:p>
            <w:pPr>
              <w:spacing w:after="0"/>
              <w:rPr>
                <w:sz w:val="17"/>
                <w:szCs w:val="17"/>
                <w:color w:val="auto"/>
              </w:rPr>
            </w:pPr>
          </w:p>
        </w:tc>
        <w:tc>
          <w:tcPr>
            <w:tcW w:w="1240" w:type="dxa"/>
            <w:vAlign w:val="bottom"/>
            <w:shd w:val="clear" w:color="auto" w:fill="F5F5F5"/>
          </w:tcPr>
          <w:p>
            <w:pPr>
              <w:jc w:val="right"/>
              <w:spacing w:after="0"/>
              <w:rPr>
                <w:sz w:val="20"/>
                <w:szCs w:val="20"/>
                <w:color w:val="auto"/>
              </w:rPr>
            </w:pPr>
            <w:r>
              <w:rPr>
                <w:rFonts w:ascii="Arial" w:cs="Arial" w:eastAsia="Arial" w:hAnsi="Arial"/>
                <w:sz w:val="14"/>
                <w:szCs w:val="14"/>
                <w:color w:val="auto"/>
              </w:rPr>
              <w:t>(297,703)</w:t>
            </w:r>
          </w:p>
        </w:tc>
        <w:tc>
          <w:tcPr>
            <w:tcW w:w="100" w:type="dxa"/>
            <w:vAlign w:val="bottom"/>
            <w:shd w:val="clear" w:color="auto" w:fill="F5F5F5"/>
          </w:tcPr>
          <w:p>
            <w:pPr>
              <w:spacing w:after="0"/>
              <w:rPr>
                <w:sz w:val="17"/>
                <w:szCs w:val="17"/>
                <w:color w:val="auto"/>
              </w:rPr>
            </w:pPr>
          </w:p>
        </w:tc>
        <w:tc>
          <w:tcPr>
            <w:tcW w:w="580" w:type="dxa"/>
            <w:vAlign w:val="bottom"/>
            <w:shd w:val="clear" w:color="auto" w:fill="F5F5F5"/>
          </w:tcPr>
          <w:p>
            <w:pPr>
              <w:spacing w:after="0"/>
              <w:rPr>
                <w:sz w:val="17"/>
                <w:szCs w:val="17"/>
                <w:color w:val="auto"/>
              </w:rPr>
            </w:pPr>
          </w:p>
        </w:tc>
        <w:tc>
          <w:tcPr>
            <w:tcW w:w="124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(157,182)</w:t>
            </w:r>
          </w:p>
        </w:tc>
      </w:tr>
      <w:tr>
        <w:trPr>
          <w:trHeight w:val="198"/>
        </w:trPr>
        <w:tc>
          <w:tcPr>
            <w:tcW w:w="7460" w:type="dxa"/>
            <w:vAlign w:val="bottom"/>
          </w:tcPr>
          <w:p>
            <w:pPr>
              <w:ind w:left="20"/>
              <w:spacing w:after="0"/>
              <w:rPr>
                <w:sz w:val="20"/>
                <w:szCs w:val="20"/>
                <w:color w:val="auto"/>
              </w:rPr>
            </w:pPr>
            <w:r>
              <w:rPr>
                <w:rFonts w:ascii="Arial" w:cs="Arial" w:eastAsia="Arial" w:hAnsi="Arial"/>
                <w:sz w:val="14"/>
                <w:szCs w:val="14"/>
                <w:color w:val="auto"/>
              </w:rPr>
              <w:t>Net cash used for financing activities</w:t>
            </w:r>
          </w:p>
        </w:tc>
        <w:tc>
          <w:tcPr>
            <w:tcW w:w="5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(534,877)</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40" w:type="dxa"/>
            <w:vAlign w:val="bottom"/>
          </w:tcPr>
          <w:p>
            <w:pPr>
              <w:jc w:val="center"/>
              <w:ind w:left="528"/>
              <w:spacing w:after="0"/>
              <w:rPr>
                <w:sz w:val="20"/>
                <w:szCs w:val="20"/>
                <w:color w:val="auto"/>
              </w:rPr>
            </w:pPr>
            <w:r>
              <w:rPr>
                <w:rFonts w:ascii="Arial" w:cs="Arial" w:eastAsia="Arial" w:hAnsi="Arial"/>
                <w:sz w:val="14"/>
                <w:szCs w:val="14"/>
                <w:color w:val="auto"/>
              </w:rPr>
              <w:t>(111,201)</w:t>
            </w:r>
          </w:p>
        </w:tc>
      </w:tr>
      <w:tr>
        <w:trPr>
          <w:trHeight w:val="207"/>
        </w:trPr>
        <w:tc>
          <w:tcPr>
            <w:tcW w:w="7460" w:type="dxa"/>
            <w:vAlign w:val="bottom"/>
            <w:shd w:val="clear" w:color="auto" w:fill="F5F5F5"/>
          </w:tcPr>
          <w:p>
            <w:pPr>
              <w:ind w:left="20"/>
              <w:spacing w:after="0"/>
              <w:rPr>
                <w:sz w:val="20"/>
                <w:szCs w:val="20"/>
                <w:color w:val="auto"/>
              </w:rPr>
            </w:pPr>
            <w:r>
              <w:rPr>
                <w:rFonts w:ascii="Arial" w:cs="Arial" w:eastAsia="Arial" w:hAnsi="Arial"/>
                <w:sz w:val="14"/>
                <w:szCs w:val="14"/>
                <w:color w:val="auto"/>
              </w:rPr>
              <w:t>Effects of foreign currency exchange rate changes on cash</w:t>
            </w:r>
          </w:p>
        </w:tc>
        <w:tc>
          <w:tcPr>
            <w:tcW w:w="580" w:type="dxa"/>
            <w:vAlign w:val="bottom"/>
            <w:tcBorders>
              <w:bottom w:val="single" w:sz="8" w:color="auto"/>
            </w:tcBorders>
            <w:shd w:val="clear" w:color="auto" w:fill="F5F5F5"/>
          </w:tcPr>
          <w:p>
            <w:pPr>
              <w:spacing w:after="0"/>
              <w:rPr>
                <w:sz w:val="17"/>
                <w:szCs w:val="17"/>
                <w:color w:val="auto"/>
              </w:rPr>
            </w:pPr>
          </w:p>
        </w:tc>
        <w:tc>
          <w:tcPr>
            <w:tcW w:w="124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(7,086)</w:t>
            </w:r>
          </w:p>
        </w:tc>
        <w:tc>
          <w:tcPr>
            <w:tcW w:w="100" w:type="dxa"/>
            <w:vAlign w:val="bottom"/>
            <w:shd w:val="clear" w:color="auto" w:fill="F5F5F5"/>
          </w:tcPr>
          <w:p>
            <w:pPr>
              <w:spacing w:after="0"/>
              <w:rPr>
                <w:sz w:val="17"/>
                <w:szCs w:val="17"/>
                <w:color w:val="auto"/>
              </w:rPr>
            </w:pPr>
          </w:p>
        </w:tc>
        <w:tc>
          <w:tcPr>
            <w:tcW w:w="580" w:type="dxa"/>
            <w:vAlign w:val="bottom"/>
            <w:tcBorders>
              <w:bottom w:val="single" w:sz="8" w:color="auto"/>
            </w:tcBorders>
            <w:shd w:val="clear" w:color="auto" w:fill="F5F5F5"/>
          </w:tcPr>
          <w:p>
            <w:pPr>
              <w:spacing w:after="0"/>
              <w:rPr>
                <w:sz w:val="17"/>
                <w:szCs w:val="17"/>
                <w:color w:val="auto"/>
              </w:rPr>
            </w:pPr>
          </w:p>
        </w:tc>
        <w:tc>
          <w:tcPr>
            <w:tcW w:w="124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(2,923)</w:t>
            </w:r>
          </w:p>
        </w:tc>
      </w:tr>
      <w:tr>
        <w:trPr>
          <w:trHeight w:val="192"/>
        </w:trPr>
        <w:tc>
          <w:tcPr>
            <w:tcW w:w="7460" w:type="dxa"/>
            <w:vAlign w:val="bottom"/>
            <w:tcBorders>
              <w:bottom w:val="single" w:sz="8" w:color="F5F5F5"/>
            </w:tcBorders>
          </w:tcPr>
          <w:p>
            <w:pPr>
              <w:ind w:left="20"/>
              <w:spacing w:after="0"/>
              <w:rPr>
                <w:sz w:val="20"/>
                <w:szCs w:val="20"/>
                <w:color w:val="auto"/>
              </w:rPr>
            </w:pPr>
            <w:r>
              <w:rPr>
                <w:rFonts w:ascii="Arial" w:cs="Arial" w:eastAsia="Arial" w:hAnsi="Arial"/>
                <w:sz w:val="14"/>
                <w:szCs w:val="14"/>
                <w:color w:val="auto"/>
              </w:rPr>
              <w:t>Net (decrease) increase in cash and equivalents, and restricted cash and equivalents</w:t>
            </w:r>
          </w:p>
        </w:tc>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(129,290)</w:t>
            </w:r>
          </w:p>
        </w:tc>
        <w:tc>
          <w:tcPr>
            <w:tcW w:w="100" w:type="dxa"/>
            <w:vAlign w:val="bottom"/>
            <w:tcBorders>
              <w:bottom w:val="single" w:sz="8" w:color="F5F5F5"/>
            </w:tcBorders>
          </w:tcPr>
          <w:p>
            <w:pPr>
              <w:spacing w:after="0"/>
              <w:rPr>
                <w:sz w:val="16"/>
                <w:szCs w:val="16"/>
                <w:color w:val="auto"/>
              </w:rPr>
            </w:pPr>
          </w:p>
        </w:tc>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center"/>
              <w:ind w:left="548"/>
              <w:spacing w:after="0"/>
              <w:rPr>
                <w:sz w:val="20"/>
                <w:szCs w:val="20"/>
                <w:color w:val="auto"/>
              </w:rPr>
            </w:pPr>
            <w:r>
              <w:rPr>
                <w:rFonts w:ascii="Arial" w:cs="Arial" w:eastAsia="Arial" w:hAnsi="Arial"/>
                <w:sz w:val="14"/>
                <w:szCs w:val="14"/>
                <w:color w:val="auto"/>
                <w:w w:val="98"/>
              </w:rPr>
              <w:t>382,116</w:t>
            </w:r>
          </w:p>
        </w:tc>
      </w:tr>
      <w:tr>
        <w:trPr>
          <w:trHeight w:val="221"/>
        </w:trPr>
        <w:tc>
          <w:tcPr>
            <w:tcW w:w="7460" w:type="dxa"/>
            <w:vAlign w:val="bottom"/>
            <w:tcBorders>
              <w:bottom w:val="single" w:sz="8" w:color="F5F5F5"/>
            </w:tcBorders>
            <w:shd w:val="clear" w:color="auto" w:fill="F5F5F5"/>
          </w:tcPr>
          <w:p>
            <w:pPr>
              <w:ind w:left="20"/>
              <w:spacing w:after="0"/>
              <w:rPr>
                <w:sz w:val="20"/>
                <w:szCs w:val="20"/>
                <w:color w:val="auto"/>
              </w:rPr>
            </w:pPr>
            <w:r>
              <w:rPr>
                <w:rFonts w:ascii="Arial" w:cs="Arial" w:eastAsia="Arial" w:hAnsi="Arial"/>
                <w:sz w:val="14"/>
                <w:szCs w:val="14"/>
                <w:color w:val="auto"/>
              </w:rPr>
              <w:t>Cash and equivalents, and restricted cash and equivalents, end of period</w:t>
            </w:r>
          </w:p>
        </w:tc>
        <w:tc>
          <w:tcPr>
            <w:tcW w:w="580" w:type="dxa"/>
            <w:vAlign w:val="bottom"/>
            <w:tcBorders>
              <w:bottom w:val="single" w:sz="8" w:color="auto"/>
            </w:tcBorders>
            <w:shd w:val="clear" w:color="auto" w:fill="F5F5F5"/>
          </w:tcPr>
          <w:p>
            <w:pPr>
              <w:jc w:val="right"/>
              <w:ind w:right="4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780,395</w:t>
            </w:r>
          </w:p>
        </w:tc>
        <w:tc>
          <w:tcPr>
            <w:tcW w:w="100" w:type="dxa"/>
            <w:vAlign w:val="bottom"/>
            <w:tcBorders>
              <w:bottom w:val="single" w:sz="8" w:color="F5F5F5"/>
            </w:tcBorders>
            <w:shd w:val="clear" w:color="auto" w:fill="F5F5F5"/>
          </w:tcPr>
          <w:p>
            <w:pPr>
              <w:spacing w:after="0"/>
              <w:rPr>
                <w:sz w:val="18"/>
                <w:szCs w:val="18"/>
                <w:color w:val="auto"/>
              </w:rPr>
            </w:pPr>
          </w:p>
        </w:tc>
        <w:tc>
          <w:tcPr>
            <w:tcW w:w="580" w:type="dxa"/>
            <w:vAlign w:val="bottom"/>
            <w:tcBorders>
              <w:bottom w:val="single" w:sz="8" w:color="auto"/>
            </w:tcBorders>
            <w:shd w:val="clear" w:color="auto" w:fill="F5F5F5"/>
          </w:tcPr>
          <w:p>
            <w:pPr>
              <w:jc w:val="right"/>
              <w:ind w:right="4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F5F5F5"/>
          </w:tcPr>
          <w:p>
            <w:pPr>
              <w:jc w:val="center"/>
              <w:ind w:left="528"/>
              <w:spacing w:after="0"/>
              <w:rPr>
                <w:sz w:val="20"/>
                <w:szCs w:val="20"/>
                <w:color w:val="auto"/>
              </w:rPr>
            </w:pPr>
            <w:r>
              <w:rPr>
                <w:rFonts w:ascii="Arial" w:cs="Arial" w:eastAsia="Arial" w:hAnsi="Arial"/>
                <w:sz w:val="14"/>
                <w:szCs w:val="14"/>
                <w:color w:val="auto"/>
              </w:rPr>
              <w:t>909,685</w:t>
            </w:r>
          </w:p>
        </w:tc>
      </w:tr>
      <w:tr>
        <w:trPr>
          <w:trHeight w:val="20"/>
        </w:trPr>
        <w:tc>
          <w:tcPr>
            <w:tcW w:w="7460" w:type="dxa"/>
            <w:vAlign w:val="bottom"/>
            <w:tcBorders>
              <w:top w:val="single" w:sz="8" w:color="F5F5F5"/>
            </w:tcBorders>
          </w:tcPr>
          <w:p>
            <w:pPr>
              <w:spacing w:after="0" w:line="20" w:lineRule="exact"/>
              <w:rPr>
                <w:sz w:val="1"/>
                <w:szCs w:val="1"/>
                <w:color w:val="auto"/>
              </w:rPr>
            </w:pPr>
          </w:p>
        </w:tc>
        <w:tc>
          <w:tcPr>
            <w:tcW w:w="580" w:type="dxa"/>
            <w:vAlign w:val="bottom"/>
            <w:tcBorders>
              <w:top w:val="single" w:sz="8" w:color="F5F5F5"/>
              <w:bottom w:val="single" w:sz="8" w:color="auto"/>
            </w:tcBorders>
          </w:tcPr>
          <w:p>
            <w:pPr>
              <w:spacing w:after="0" w:line="20" w:lineRule="exact"/>
              <w:rPr>
                <w:sz w:val="1"/>
                <w:szCs w:val="1"/>
                <w:color w:val="auto"/>
              </w:rPr>
            </w:pPr>
          </w:p>
        </w:tc>
        <w:tc>
          <w:tcPr>
            <w:tcW w:w="1240" w:type="dxa"/>
            <w:vAlign w:val="bottom"/>
            <w:tcBorders>
              <w:top w:val="single" w:sz="8" w:color="F5F5F5"/>
              <w:bottom w:val="single" w:sz="8" w:color="auto"/>
            </w:tcBorders>
          </w:tcPr>
          <w:p>
            <w:pPr>
              <w:spacing w:after="0" w:line="20" w:lineRule="exact"/>
              <w:rPr>
                <w:sz w:val="1"/>
                <w:szCs w:val="1"/>
                <w:color w:val="auto"/>
              </w:rPr>
            </w:pPr>
          </w:p>
        </w:tc>
        <w:tc>
          <w:tcPr>
            <w:tcW w:w="100" w:type="dxa"/>
            <w:vAlign w:val="bottom"/>
            <w:tcBorders>
              <w:top w:val="single" w:sz="8" w:color="F5F5F5"/>
            </w:tcBorders>
          </w:tcPr>
          <w:p>
            <w:pPr>
              <w:spacing w:after="0" w:line="20" w:lineRule="exact"/>
              <w:rPr>
                <w:sz w:val="1"/>
                <w:szCs w:val="1"/>
                <w:color w:val="auto"/>
              </w:rPr>
            </w:pPr>
          </w:p>
        </w:tc>
        <w:tc>
          <w:tcPr>
            <w:tcW w:w="580" w:type="dxa"/>
            <w:vAlign w:val="bottom"/>
            <w:tcBorders>
              <w:top w:val="single" w:sz="8" w:color="F5F5F5"/>
              <w:bottom w:val="single" w:sz="8" w:color="auto"/>
            </w:tcBorders>
          </w:tcPr>
          <w:p>
            <w:pPr>
              <w:spacing w:after="0" w:line="20" w:lineRule="exact"/>
              <w:rPr>
                <w:sz w:val="1"/>
                <w:szCs w:val="1"/>
                <w:color w:val="auto"/>
              </w:rPr>
            </w:pPr>
          </w:p>
        </w:tc>
        <w:tc>
          <w:tcPr>
            <w:tcW w:w="1240" w:type="dxa"/>
            <w:vAlign w:val="bottom"/>
            <w:tcBorders>
              <w:top w:val="single" w:sz="8" w:color="F5F5F5"/>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Operating activities - </w:t>
      </w:r>
      <w:r>
        <w:rPr>
          <w:rFonts w:ascii="Arial" w:cs="Arial" w:eastAsia="Arial" w:hAnsi="Arial"/>
          <w:sz w:val="16"/>
          <w:szCs w:val="16"/>
          <w:color w:val="auto"/>
        </w:rPr>
        <w:t>For Fiscal 2024, net cash provided by operating activities included increased cash receipts as a result of the 16% year-over-year</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in net sales as compared to net cash provided by operating activities in Fiscal 2023.</w:t>
      </w:r>
    </w:p>
    <w:p>
      <w:pPr>
        <w:spacing w:after="0" w:line="19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i w:val="1"/>
          <w:iCs w:val="1"/>
          <w:color w:val="auto"/>
        </w:rPr>
        <w:t xml:space="preserve">Investing activities - </w:t>
      </w:r>
      <w:r>
        <w:rPr>
          <w:rFonts w:ascii="Arial" w:cs="Arial" w:eastAsia="Arial" w:hAnsi="Arial"/>
          <w:sz w:val="16"/>
          <w:szCs w:val="16"/>
          <w:color w:val="auto"/>
        </w:rPr>
        <w:t>For Fiscal 2024, net cash used for investing activities was primarily attributable to capital expenditures of $182.9 million, as well as the</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of $140 million in marketable securities and maturity of $25 million in marketable securities as compared to net cash used for investing activities of $157.8 million in Fiscal 2023, primarily attributable to capital expenditures.</w:t>
      </w:r>
    </w:p>
    <w:p>
      <w:pPr>
        <w:spacing w:after="0" w:line="19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i w:val="1"/>
          <w:iCs w:val="1"/>
          <w:color w:val="auto"/>
        </w:rPr>
        <w:t xml:space="preserve">Financing activities - </w:t>
      </w:r>
      <w:r>
        <w:rPr>
          <w:rFonts w:ascii="Arial" w:cs="Arial" w:eastAsia="Arial" w:hAnsi="Arial"/>
          <w:sz w:val="16"/>
          <w:szCs w:val="16"/>
          <w:color w:val="auto"/>
        </w:rPr>
        <w:t>For Fiscal 2024, net cash used for financing activities primarily consisted of the repurchase of approximately 1.6 million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in the open market with a market value of approximately $229.8 million, the repurchase of $9.3 million in the open market and the complete redemption of $214 million of outstanding Senior Secured Notes, and $70.2 million related to shares of Common Stock withheld (repurchased) to cover tax withholdings upon vesting of share-based compensation awards. For Fiscal 2023, net cash used for financing activities primarily consisted of the purchase of $76.5 million of outstanding Senior Secured Notes for $78.0 million, as well as $29.5 million related to shares of Common Stock withheld (repurchased) to cover tax withholdings upon vesting of share-based compensation awards.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C7E65"/>
        </w:rPr>
        <w:t>Contractual Obligations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As of February 1, 2025, the Company’s contractual obligations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rPr>
              <w:t>Payments due by period</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r>
      <w:tr>
        <w:trPr>
          <w:trHeight w:val="198"/>
        </w:trPr>
        <w:tc>
          <w:tcPr>
            <w:tcW w:w="30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Pr>
          <w:p>
            <w:pPr>
              <w:spacing w:after="0"/>
              <w:rPr>
                <w:sz w:val="17"/>
                <w:szCs w:val="17"/>
                <w:color w:val="auto"/>
              </w:rPr>
            </w:pPr>
          </w:p>
        </w:tc>
        <w:tc>
          <w:tcPr>
            <w:tcW w:w="1260" w:type="dxa"/>
            <w:vAlign w:val="bottom"/>
            <w:gridSpan w:val="2"/>
          </w:tcPr>
          <w:p>
            <w:pPr>
              <w:ind w:left="240"/>
              <w:spacing w:after="0"/>
              <w:rPr>
                <w:sz w:val="20"/>
                <w:szCs w:val="20"/>
                <w:color w:val="auto"/>
              </w:rPr>
            </w:pPr>
            <w:r>
              <w:rPr>
                <w:rFonts w:ascii="Arial" w:cs="Arial" w:eastAsia="Arial" w:hAnsi="Arial"/>
                <w:sz w:val="14"/>
                <w:szCs w:val="14"/>
                <w:color w:val="auto"/>
              </w:rPr>
              <w:t>Total</w:t>
            </w:r>
          </w:p>
        </w:tc>
        <w:tc>
          <w:tcPr>
            <w:tcW w:w="160" w:type="dxa"/>
            <w:vAlign w:val="bottom"/>
          </w:tcPr>
          <w:p>
            <w:pPr>
              <w:spacing w:after="0"/>
              <w:rPr>
                <w:sz w:val="17"/>
                <w:szCs w:val="17"/>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color w:val="auto"/>
              </w:rPr>
              <w:t>Less than 1 year</w:t>
            </w:r>
          </w:p>
        </w:tc>
        <w:tc>
          <w:tcPr>
            <w:tcW w:w="280" w:type="dxa"/>
            <w:vAlign w:val="bottom"/>
          </w:tcPr>
          <w:p>
            <w:pPr>
              <w:spacing w:after="0"/>
              <w:rPr>
                <w:sz w:val="17"/>
                <w:szCs w:val="17"/>
                <w:color w:val="auto"/>
              </w:rPr>
            </w:pPr>
          </w:p>
        </w:tc>
        <w:tc>
          <w:tcPr>
            <w:tcW w:w="1340" w:type="dxa"/>
            <w:vAlign w:val="bottom"/>
            <w:gridSpan w:val="2"/>
          </w:tcPr>
          <w:p>
            <w:pPr>
              <w:ind w:left="180"/>
              <w:spacing w:after="0"/>
              <w:rPr>
                <w:sz w:val="20"/>
                <w:szCs w:val="20"/>
                <w:color w:val="auto"/>
              </w:rPr>
            </w:pPr>
            <w:r>
              <w:rPr>
                <w:rFonts w:ascii="Arial" w:cs="Arial" w:eastAsia="Arial" w:hAnsi="Arial"/>
                <w:sz w:val="14"/>
                <w:szCs w:val="14"/>
                <w:color w:val="auto"/>
              </w:rPr>
              <w:t>1-3 years</w:t>
            </w:r>
          </w:p>
        </w:tc>
        <w:tc>
          <w:tcPr>
            <w:tcW w:w="280" w:type="dxa"/>
            <w:vAlign w:val="bottom"/>
          </w:tcPr>
          <w:p>
            <w:pPr>
              <w:spacing w:after="0"/>
              <w:rPr>
                <w:sz w:val="17"/>
                <w:szCs w:val="17"/>
                <w:color w:val="auto"/>
              </w:rPr>
            </w:pPr>
          </w:p>
        </w:tc>
        <w:tc>
          <w:tcPr>
            <w:tcW w:w="1340" w:type="dxa"/>
            <w:vAlign w:val="bottom"/>
            <w:gridSpan w:val="2"/>
          </w:tcPr>
          <w:p>
            <w:pPr>
              <w:ind w:left="180"/>
              <w:spacing w:after="0"/>
              <w:rPr>
                <w:sz w:val="20"/>
                <w:szCs w:val="20"/>
                <w:color w:val="auto"/>
              </w:rPr>
            </w:pPr>
            <w:r>
              <w:rPr>
                <w:rFonts w:ascii="Arial" w:cs="Arial" w:eastAsia="Arial" w:hAnsi="Arial"/>
                <w:sz w:val="14"/>
                <w:szCs w:val="14"/>
                <w:color w:val="auto"/>
              </w:rPr>
              <w:t>3-5 years</w:t>
            </w:r>
          </w:p>
        </w:tc>
        <w:tc>
          <w:tcPr>
            <w:tcW w:w="160" w:type="dxa"/>
            <w:vAlign w:val="bottom"/>
          </w:tcPr>
          <w:p>
            <w:pPr>
              <w:spacing w:after="0"/>
              <w:rPr>
                <w:sz w:val="17"/>
                <w:szCs w:val="17"/>
                <w:color w:val="auto"/>
              </w:rPr>
            </w:pPr>
          </w:p>
        </w:tc>
        <w:tc>
          <w:tcPr>
            <w:tcW w:w="1480" w:type="dxa"/>
            <w:vAlign w:val="bottom"/>
          </w:tcPr>
          <w:p>
            <w:pPr>
              <w:jc w:val="right"/>
              <w:ind w:right="168"/>
              <w:spacing w:after="0"/>
              <w:rPr>
                <w:sz w:val="20"/>
                <w:szCs w:val="20"/>
                <w:color w:val="auto"/>
              </w:rPr>
            </w:pPr>
            <w:r>
              <w:rPr>
                <w:rFonts w:ascii="Arial" w:cs="Arial" w:eastAsia="Arial" w:hAnsi="Arial"/>
                <w:sz w:val="14"/>
                <w:szCs w:val="14"/>
                <w:color w:val="auto"/>
              </w:rPr>
              <w:t>More than 5 years</w:t>
            </w:r>
          </w:p>
        </w:tc>
      </w:tr>
      <w:tr>
        <w:trPr>
          <w:trHeight w:val="200"/>
        </w:trPr>
        <w:tc>
          <w:tcPr>
            <w:tcW w:w="3040" w:type="dxa"/>
            <w:vAlign w:val="bottom"/>
            <w:tcBorders>
              <w:top w:val="single" w:sz="8" w:color="F5F5F5"/>
            </w:tcBorders>
            <w:shd w:val="clear" w:color="auto" w:fill="F5F5F5"/>
          </w:tcPr>
          <w:p>
            <w:pPr>
              <w:ind w:left="20"/>
              <w:spacing w:after="0" w:line="200" w:lineRule="exact"/>
              <w:rPr>
                <w:sz w:val="20"/>
                <w:szCs w:val="20"/>
                <w:color w:val="auto"/>
              </w:rPr>
            </w:pPr>
            <w:r>
              <w:rPr>
                <w:rFonts w:ascii="Arial" w:cs="Arial" w:eastAsia="Arial" w:hAnsi="Arial"/>
                <w:sz w:val="14"/>
                <w:szCs w:val="14"/>
                <w:color w:val="auto"/>
              </w:rPr>
              <w:t xml:space="preserve">Operating lease obligations </w:t>
            </w:r>
            <w:r>
              <w:rPr>
                <w:rFonts w:ascii="Arial" w:cs="Arial" w:eastAsia="Arial" w:hAnsi="Arial"/>
                <w:sz w:val="18"/>
                <w:szCs w:val="18"/>
                <w:color w:val="auto"/>
                <w:vertAlign w:val="superscript"/>
              </w:rPr>
              <w:t>(1)</w:t>
            </w:r>
          </w:p>
        </w:tc>
        <w:tc>
          <w:tcPr>
            <w:tcW w:w="360" w:type="dxa"/>
            <w:vAlign w:val="bottom"/>
            <w:tcBorders>
              <w:top w:val="single" w:sz="8" w:color="auto"/>
            </w:tcBorders>
            <w:shd w:val="clear" w:color="auto" w:fill="F5F5F5"/>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1,129,978</w:t>
            </w:r>
          </w:p>
        </w:tc>
        <w:tc>
          <w:tcPr>
            <w:tcW w:w="100" w:type="dxa"/>
            <w:vAlign w:val="bottom"/>
            <w:tcBorders>
              <w:top w:val="single" w:sz="8" w:color="F5F5F5"/>
            </w:tcBorders>
            <w:shd w:val="clear" w:color="auto" w:fill="F5F5F5"/>
          </w:tcPr>
          <w:p>
            <w:pPr>
              <w:spacing w:after="0"/>
              <w:rPr>
                <w:sz w:val="17"/>
                <w:szCs w:val="17"/>
                <w:color w:val="auto"/>
              </w:rPr>
            </w:pPr>
          </w:p>
        </w:tc>
        <w:tc>
          <w:tcPr>
            <w:tcW w:w="16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267,902</w:t>
            </w:r>
          </w:p>
        </w:tc>
        <w:tc>
          <w:tcPr>
            <w:tcW w:w="100" w:type="dxa"/>
            <w:vAlign w:val="bottom"/>
            <w:tcBorders>
              <w:top w:val="single" w:sz="8" w:color="F5F5F5"/>
            </w:tcBorders>
            <w:shd w:val="clear" w:color="auto" w:fill="F5F5F5"/>
          </w:tcPr>
          <w:p>
            <w:pPr>
              <w:spacing w:after="0"/>
              <w:rPr>
                <w:sz w:val="17"/>
                <w:szCs w:val="17"/>
                <w:color w:val="auto"/>
              </w:rPr>
            </w:pPr>
          </w:p>
        </w:tc>
        <w:tc>
          <w:tcPr>
            <w:tcW w:w="280" w:type="dxa"/>
            <w:vAlign w:val="bottom"/>
            <w:tcBorders>
              <w:top w:val="single" w:sz="8" w:color="auto"/>
            </w:tcBorders>
            <w:shd w:val="clear" w:color="auto" w:fill="F5F5F5"/>
          </w:tcPr>
          <w:p>
            <w:pPr>
              <w:ind w:left="20"/>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447,469</w:t>
            </w:r>
          </w:p>
        </w:tc>
        <w:tc>
          <w:tcPr>
            <w:tcW w:w="100" w:type="dxa"/>
            <w:vAlign w:val="bottom"/>
            <w:tcBorders>
              <w:top w:val="single" w:sz="8" w:color="F5F5F5"/>
            </w:tcBorders>
            <w:shd w:val="clear" w:color="auto" w:fill="F5F5F5"/>
          </w:tcPr>
          <w:p>
            <w:pPr>
              <w:spacing w:after="0"/>
              <w:rPr>
                <w:sz w:val="17"/>
                <w:szCs w:val="17"/>
                <w:color w:val="auto"/>
              </w:rPr>
            </w:pPr>
          </w:p>
        </w:tc>
        <w:tc>
          <w:tcPr>
            <w:tcW w:w="280" w:type="dxa"/>
            <w:vAlign w:val="bottom"/>
            <w:tcBorders>
              <w:top w:val="single" w:sz="8" w:color="auto"/>
            </w:tcBorders>
            <w:shd w:val="clear" w:color="auto" w:fill="F5F5F5"/>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270,912</w:t>
            </w:r>
          </w:p>
        </w:tc>
        <w:tc>
          <w:tcPr>
            <w:tcW w:w="100" w:type="dxa"/>
            <w:vAlign w:val="bottom"/>
            <w:tcBorders>
              <w:top w:val="single" w:sz="8" w:color="F5F5F5"/>
            </w:tcBorders>
            <w:shd w:val="clear" w:color="auto" w:fill="F5F5F5"/>
          </w:tcPr>
          <w:p>
            <w:pPr>
              <w:spacing w:after="0"/>
              <w:rPr>
                <w:sz w:val="17"/>
                <w:szCs w:val="17"/>
                <w:color w:val="auto"/>
              </w:rPr>
            </w:pPr>
          </w:p>
        </w:tc>
        <w:tc>
          <w:tcPr>
            <w:tcW w:w="16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143,695</w:t>
            </w:r>
          </w:p>
        </w:tc>
      </w:tr>
      <w:tr>
        <w:trPr>
          <w:trHeight w:val="203"/>
        </w:trPr>
        <w:tc>
          <w:tcPr>
            <w:tcW w:w="304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Purchase obligations </w:t>
            </w:r>
            <w:r>
              <w:rPr>
                <w:rFonts w:ascii="Arial" w:cs="Arial" w:eastAsia="Arial" w:hAnsi="Arial"/>
                <w:sz w:val="18"/>
                <w:szCs w:val="18"/>
                <w:color w:val="auto"/>
                <w:vertAlign w:val="superscript"/>
              </w:rPr>
              <w:t>(2)</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356,880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274,825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73,433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7,461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1,161</w:t>
            </w:r>
          </w:p>
        </w:tc>
      </w:tr>
      <w:tr>
        <w:trPr>
          <w:trHeight w:val="203"/>
        </w:trPr>
        <w:tc>
          <w:tcPr>
            <w:tcW w:w="3040" w:type="dxa"/>
            <w:vAlign w:val="bottom"/>
            <w:shd w:val="clear" w:color="auto" w:fill="F5F5F5"/>
          </w:tcPr>
          <w:p>
            <w:pPr>
              <w:ind w:left="20"/>
              <w:spacing w:after="0" w:line="202" w:lineRule="exact"/>
              <w:rPr>
                <w:sz w:val="20"/>
                <w:szCs w:val="20"/>
                <w:color w:val="auto"/>
              </w:rPr>
            </w:pPr>
            <w:r>
              <w:rPr>
                <w:rFonts w:ascii="Arial" w:cs="Arial" w:eastAsia="Arial" w:hAnsi="Arial"/>
                <w:sz w:val="14"/>
                <w:szCs w:val="14"/>
                <w:color w:val="auto"/>
              </w:rPr>
              <w:t xml:space="preserve">Other obligations </w:t>
            </w:r>
            <w:r>
              <w:rPr>
                <w:rFonts w:ascii="Arial" w:cs="Arial" w:eastAsia="Arial" w:hAnsi="Arial"/>
                <w:sz w:val="18"/>
                <w:szCs w:val="18"/>
                <w:color w:val="auto"/>
                <w:vertAlign w:val="superscript"/>
              </w:rPr>
              <w:t>(3)</w:t>
            </w:r>
          </w:p>
        </w:tc>
        <w:tc>
          <w:tcPr>
            <w:tcW w:w="360" w:type="dxa"/>
            <w:vAlign w:val="bottom"/>
            <w:tcBorders>
              <w:bottom w:val="single" w:sz="8" w:color="auto"/>
            </w:tcBorders>
            <w:shd w:val="clear" w:color="auto" w:fill="F5F5F5"/>
          </w:tcPr>
          <w:p>
            <w:pPr>
              <w:spacing w:after="0"/>
              <w:rPr>
                <w:sz w:val="17"/>
                <w:szCs w:val="17"/>
                <w:color w:val="auto"/>
              </w:rPr>
            </w:pPr>
          </w:p>
        </w:tc>
        <w:tc>
          <w:tcPr>
            <w:tcW w:w="116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187,039</w:t>
            </w:r>
          </w:p>
        </w:tc>
        <w:tc>
          <w:tcPr>
            <w:tcW w:w="100" w:type="dxa"/>
            <w:vAlign w:val="bottom"/>
            <w:shd w:val="clear" w:color="auto" w:fill="F5F5F5"/>
          </w:tcPr>
          <w:p>
            <w:pPr>
              <w:spacing w:after="0"/>
              <w:rPr>
                <w:sz w:val="17"/>
                <w:szCs w:val="17"/>
                <w:color w:val="auto"/>
              </w:rPr>
            </w:pPr>
          </w:p>
        </w:tc>
        <w:tc>
          <w:tcPr>
            <w:tcW w:w="160" w:type="dxa"/>
            <w:vAlign w:val="bottom"/>
            <w:tcBorders>
              <w:bottom w:val="single" w:sz="8" w:color="auto"/>
            </w:tcBorders>
            <w:shd w:val="clear" w:color="auto" w:fill="F5F5F5"/>
          </w:tcPr>
          <w:p>
            <w:pPr>
              <w:spacing w:after="0"/>
              <w:rPr>
                <w:sz w:val="17"/>
                <w:szCs w:val="17"/>
                <w:color w:val="auto"/>
              </w:rPr>
            </w:pPr>
          </w:p>
        </w:tc>
        <w:tc>
          <w:tcPr>
            <w:tcW w:w="1380" w:type="dxa"/>
            <w:vAlign w:val="bottom"/>
            <w:tcBorders>
              <w:bottom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17,954</w:t>
            </w:r>
          </w:p>
        </w:tc>
        <w:tc>
          <w:tcPr>
            <w:tcW w:w="100" w:type="dxa"/>
            <w:vAlign w:val="bottom"/>
            <w:shd w:val="clear" w:color="auto" w:fill="F5F5F5"/>
          </w:tcPr>
          <w:p>
            <w:pPr>
              <w:spacing w:after="0"/>
              <w:rPr>
                <w:sz w:val="17"/>
                <w:szCs w:val="17"/>
                <w:color w:val="auto"/>
              </w:rPr>
            </w:pPr>
          </w:p>
        </w:tc>
        <w:tc>
          <w:tcPr>
            <w:tcW w:w="280" w:type="dxa"/>
            <w:vAlign w:val="bottom"/>
            <w:tcBorders>
              <w:bottom w:val="single" w:sz="8" w:color="auto"/>
            </w:tcBorders>
            <w:shd w:val="clear" w:color="auto" w:fill="F5F5F5"/>
          </w:tcPr>
          <w:p>
            <w:pPr>
              <w:spacing w:after="0"/>
              <w:rPr>
                <w:sz w:val="17"/>
                <w:szCs w:val="17"/>
                <w:color w:val="auto"/>
              </w:rPr>
            </w:pPr>
          </w:p>
        </w:tc>
        <w:tc>
          <w:tcPr>
            <w:tcW w:w="1240" w:type="dxa"/>
            <w:vAlign w:val="bottom"/>
            <w:tcBorders>
              <w:bottom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36,288</w:t>
            </w:r>
          </w:p>
        </w:tc>
        <w:tc>
          <w:tcPr>
            <w:tcW w:w="100" w:type="dxa"/>
            <w:vAlign w:val="bottom"/>
            <w:shd w:val="clear" w:color="auto" w:fill="F5F5F5"/>
          </w:tcPr>
          <w:p>
            <w:pPr>
              <w:spacing w:after="0"/>
              <w:rPr>
                <w:sz w:val="17"/>
                <w:szCs w:val="17"/>
                <w:color w:val="auto"/>
              </w:rPr>
            </w:pPr>
          </w:p>
        </w:tc>
        <w:tc>
          <w:tcPr>
            <w:tcW w:w="280" w:type="dxa"/>
            <w:vAlign w:val="bottom"/>
            <w:tcBorders>
              <w:bottom w:val="single" w:sz="8" w:color="auto"/>
            </w:tcBorders>
            <w:shd w:val="clear" w:color="auto" w:fill="F5F5F5"/>
          </w:tcPr>
          <w:p>
            <w:pPr>
              <w:spacing w:after="0"/>
              <w:rPr>
                <w:sz w:val="17"/>
                <w:szCs w:val="17"/>
                <w:color w:val="auto"/>
              </w:rPr>
            </w:pPr>
          </w:p>
        </w:tc>
        <w:tc>
          <w:tcPr>
            <w:tcW w:w="1240" w:type="dxa"/>
            <w:vAlign w:val="bottom"/>
            <w:tcBorders>
              <w:bottom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47,641</w:t>
            </w:r>
          </w:p>
        </w:tc>
        <w:tc>
          <w:tcPr>
            <w:tcW w:w="100" w:type="dxa"/>
            <w:vAlign w:val="bottom"/>
            <w:shd w:val="clear" w:color="auto" w:fill="F5F5F5"/>
          </w:tcPr>
          <w:p>
            <w:pPr>
              <w:spacing w:after="0"/>
              <w:rPr>
                <w:sz w:val="17"/>
                <w:szCs w:val="17"/>
                <w:color w:val="auto"/>
              </w:rPr>
            </w:pPr>
          </w:p>
        </w:tc>
        <w:tc>
          <w:tcPr>
            <w:tcW w:w="160" w:type="dxa"/>
            <w:vAlign w:val="bottom"/>
            <w:tcBorders>
              <w:bottom w:val="single" w:sz="8" w:color="auto"/>
            </w:tcBorders>
            <w:shd w:val="clear" w:color="auto" w:fill="F5F5F5"/>
          </w:tcPr>
          <w:p>
            <w:pPr>
              <w:spacing w:after="0"/>
              <w:rPr>
                <w:sz w:val="17"/>
                <w:szCs w:val="17"/>
                <w:color w:val="auto"/>
              </w:rPr>
            </w:pPr>
          </w:p>
        </w:tc>
        <w:tc>
          <w:tcPr>
            <w:tcW w:w="1480" w:type="dxa"/>
            <w:vAlign w:val="bottom"/>
            <w:tcBorders>
              <w:bottom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85,156</w:t>
            </w:r>
          </w:p>
        </w:tc>
      </w:tr>
      <w:tr>
        <w:trPr>
          <w:trHeight w:val="196"/>
        </w:trPr>
        <w:tc>
          <w:tcPr>
            <w:tcW w:w="3040" w:type="dxa"/>
            <w:vAlign w:val="bottom"/>
          </w:tcPr>
          <w:p>
            <w:pPr>
              <w:ind w:left="20"/>
              <w:spacing w:after="0"/>
              <w:rPr>
                <w:sz w:val="20"/>
                <w:szCs w:val="20"/>
                <w:color w:val="auto"/>
              </w:rPr>
            </w:pPr>
            <w:r>
              <w:rPr>
                <w:rFonts w:ascii="Arial" w:cs="Arial" w:eastAsia="Arial" w:hAnsi="Arial"/>
                <w:sz w:val="14"/>
                <w:szCs w:val="14"/>
                <w:color w:val="auto"/>
              </w:rPr>
              <w:t>Total</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1,673,897</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560,681</w:t>
            </w:r>
          </w:p>
        </w:tc>
        <w:tc>
          <w:tcPr>
            <w:tcW w:w="100" w:type="dxa"/>
            <w:vAlign w:val="bottom"/>
          </w:tcPr>
          <w:p>
            <w:pPr>
              <w:spacing w:after="0"/>
              <w:rPr>
                <w:sz w:val="17"/>
                <w:szCs w:val="17"/>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557,190</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326,014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230,012</w:t>
            </w:r>
          </w:p>
        </w:tc>
      </w:tr>
      <w:tr>
        <w:trPr>
          <w:trHeight w:val="21"/>
        </w:trPr>
        <w:tc>
          <w:tcPr>
            <w:tcW w:w="3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36" w:lineRule="exact"/>
        <w:rPr>
          <w:sz w:val="20"/>
          <w:szCs w:val="20"/>
          <w:color w:val="auto"/>
        </w:rPr>
      </w:pPr>
    </w:p>
    <w:p>
      <w:pPr>
        <w:jc w:val="both"/>
        <w:ind w:left="340" w:hanging="332"/>
        <w:spacing w:after="0"/>
        <w:tabs>
          <w:tab w:leader="none" w:pos="339" w:val="left"/>
        </w:tabs>
        <w:numPr>
          <w:ilvl w:val="0"/>
          <w:numId w:val="44"/>
        </w:numPr>
        <w:rPr>
          <w:rFonts w:ascii="Arial" w:cs="Arial" w:eastAsia="Arial" w:hAnsi="Arial"/>
          <w:sz w:val="18"/>
          <w:szCs w:val="18"/>
          <w:color w:val="auto"/>
          <w:vertAlign w:val="superscript"/>
        </w:rPr>
      </w:pPr>
      <w:r>
        <w:rPr>
          <w:rFonts w:ascii="Arial" w:cs="Arial" w:eastAsia="Arial" w:hAnsi="Arial"/>
          <w:sz w:val="13"/>
          <w:szCs w:val="13"/>
          <w:color w:val="auto"/>
        </w:rPr>
        <w:t>Operating lease obligations consist of the Company’s future undiscounted operating lease payments. Operating lease obligations do not include variable payments related to both lease and nonlease components, such as contingent rent payments made by the Company based on performance, and payments related to taxes, insurance, and maintenance costs. Total variable lease cost was $186.8 million in Fiscal 2024. Refer to Note 2, “</w:t>
      </w:r>
      <w:r>
        <w:rPr>
          <w:rFonts w:ascii="Arial" w:cs="Arial" w:eastAsia="Arial" w:hAnsi="Arial"/>
          <w:sz w:val="13"/>
          <w:szCs w:val="13"/>
          <w:i w:val="1"/>
          <w:iCs w:val="1"/>
          <w:u w:val="single" w:color="auto"/>
          <w:color w:val="0000FF"/>
        </w:rPr>
        <w:t>SUMMARY OF SIGNIFICANT ACCOUNTING POLICIES - Leases</w:t>
      </w:r>
      <w:r>
        <w:rPr>
          <w:rFonts w:ascii="Arial" w:cs="Arial" w:eastAsia="Arial" w:hAnsi="Arial"/>
          <w:sz w:val="13"/>
          <w:szCs w:val="13"/>
          <w:i w:val="1"/>
          <w:iCs w:val="1"/>
          <w:color w:val="auto"/>
        </w:rPr>
        <w:t>,</w:t>
      </w:r>
      <w:r>
        <w:rPr>
          <w:rFonts w:ascii="Arial" w:cs="Arial" w:eastAsia="Arial" w:hAnsi="Arial"/>
          <w:sz w:val="13"/>
          <w:szCs w:val="13"/>
          <w:color w:val="auto"/>
        </w:rPr>
        <w:t>” and Note 8, “</w:t>
      </w:r>
      <w:r>
        <w:rPr>
          <w:rFonts w:ascii="Arial" w:cs="Arial" w:eastAsia="Arial" w:hAnsi="Arial"/>
          <w:sz w:val="13"/>
          <w:szCs w:val="13"/>
          <w:i w:val="1"/>
          <w:iCs w:val="1"/>
          <w:u w:val="single" w:color="auto"/>
          <w:color w:val="0000FF"/>
        </w:rPr>
        <w:t>LEASES</w:t>
      </w:r>
      <w:r>
        <w:rPr>
          <w:rFonts w:ascii="Arial" w:cs="Arial" w:eastAsia="Arial" w:hAnsi="Arial"/>
          <w:sz w:val="13"/>
          <w:szCs w:val="13"/>
          <w:color w:val="auto"/>
        </w:rPr>
        <w:t>,” for further discussion.</w:t>
      </w:r>
    </w:p>
    <w:p>
      <w:pPr>
        <w:spacing w:after="0" w:line="196" w:lineRule="exact"/>
        <w:rPr>
          <w:rFonts w:ascii="Arial" w:cs="Arial" w:eastAsia="Arial" w:hAnsi="Arial"/>
          <w:sz w:val="18"/>
          <w:szCs w:val="18"/>
          <w:color w:val="auto"/>
          <w:vertAlign w:val="superscript"/>
        </w:rPr>
      </w:pPr>
    </w:p>
    <w:p>
      <w:pPr>
        <w:jc w:val="both"/>
        <w:ind w:left="340" w:hanging="332"/>
        <w:spacing w:after="0"/>
        <w:tabs>
          <w:tab w:leader="none" w:pos="339" w:val="left"/>
        </w:tabs>
        <w:numPr>
          <w:ilvl w:val="0"/>
          <w:numId w:val="44"/>
        </w:numPr>
        <w:rPr>
          <w:rFonts w:ascii="Arial" w:cs="Arial" w:eastAsia="Arial" w:hAnsi="Arial"/>
          <w:sz w:val="18"/>
          <w:szCs w:val="18"/>
          <w:color w:val="auto"/>
          <w:vertAlign w:val="superscript"/>
        </w:rPr>
      </w:pPr>
      <w:r>
        <w:rPr>
          <w:rFonts w:ascii="Arial" w:cs="Arial" w:eastAsia="Arial" w:hAnsi="Arial"/>
          <w:sz w:val="13"/>
          <w:szCs w:val="13"/>
          <w:color w:val="auto"/>
        </w:rPr>
        <w:t>Purchase obligations primarily consist of non-cancelable purchase orders for merchandise to be delivered during Fiscal 2025 and commitments for fabric expected to be used during upcoming seasons. In addition, purchase obligations include agreements to purchase goods or services, including, but not limited to, information technology, digital and marketing contracts, as well as estimated obligations related to the Company’s 13-year, 100% renewable energy supply agreement for its global home office and Company-owned distribution centers.</w:t>
      </w:r>
    </w:p>
    <w:p>
      <w:pPr>
        <w:spacing w:after="0" w:line="196" w:lineRule="exact"/>
        <w:rPr>
          <w:rFonts w:ascii="Arial" w:cs="Arial" w:eastAsia="Arial" w:hAnsi="Arial"/>
          <w:sz w:val="18"/>
          <w:szCs w:val="18"/>
          <w:color w:val="auto"/>
          <w:vertAlign w:val="superscript"/>
        </w:rPr>
      </w:pPr>
    </w:p>
    <w:p>
      <w:pPr>
        <w:jc w:val="both"/>
        <w:ind w:left="340" w:hanging="332"/>
        <w:spacing w:after="0" w:line="237" w:lineRule="auto"/>
        <w:tabs>
          <w:tab w:leader="none" w:pos="339" w:val="left"/>
        </w:tabs>
        <w:numPr>
          <w:ilvl w:val="0"/>
          <w:numId w:val="44"/>
        </w:numPr>
        <w:rPr>
          <w:rFonts w:ascii="Arial" w:cs="Arial" w:eastAsia="Arial" w:hAnsi="Arial"/>
          <w:sz w:val="18"/>
          <w:szCs w:val="18"/>
          <w:color w:val="auto"/>
          <w:vertAlign w:val="superscript"/>
        </w:rPr>
      </w:pPr>
      <w:r>
        <w:rPr>
          <w:rFonts w:ascii="Arial" w:cs="Arial" w:eastAsia="Arial" w:hAnsi="Arial"/>
          <w:sz w:val="13"/>
          <w:szCs w:val="13"/>
          <w:color w:val="auto"/>
        </w:rPr>
        <w:t>Other obligations consist of: estimated asset retirement obligations; known and scheduled payments related to the Company’s deferred compensation and supplemental retirement plans; and minimum contractual obligations related to leases signed but not yet commenced, primarily related to the Company’s stores. Refer to Note 8, “</w:t>
      </w:r>
      <w:r>
        <w:rPr>
          <w:rFonts w:ascii="Arial" w:cs="Arial" w:eastAsia="Arial" w:hAnsi="Arial"/>
          <w:sz w:val="13"/>
          <w:szCs w:val="13"/>
          <w:i w:val="1"/>
          <w:iCs w:val="1"/>
          <w:u w:val="single" w:color="auto"/>
          <w:color w:val="0000FF"/>
        </w:rPr>
        <w:t>LEASES</w:t>
      </w:r>
      <w:r>
        <w:rPr>
          <w:rFonts w:ascii="Arial" w:cs="Arial" w:eastAsia="Arial" w:hAnsi="Arial"/>
          <w:sz w:val="13"/>
          <w:szCs w:val="13"/>
          <w:color w:val="auto"/>
        </w:rPr>
        <w:t>,” and Note 16, “</w:t>
      </w:r>
      <w:r>
        <w:rPr>
          <w:rFonts w:ascii="Arial" w:cs="Arial" w:eastAsia="Arial" w:hAnsi="Arial"/>
          <w:sz w:val="13"/>
          <w:szCs w:val="13"/>
          <w:i w:val="1"/>
          <w:iCs w:val="1"/>
          <w:u w:val="single" w:color="auto"/>
          <w:color w:val="0000FF"/>
        </w:rPr>
        <w:t>SAVINGS AND RETIREMENT PLANS</w:t>
      </w:r>
      <w:r>
        <w:rPr>
          <w:rFonts w:ascii="Arial" w:cs="Arial" w:eastAsia="Arial" w:hAnsi="Arial"/>
          <w:sz w:val="13"/>
          <w:szCs w:val="13"/>
          <w:color w:val="auto"/>
        </w:rPr>
        <w:t>,” for further discussion.</w:t>
      </w:r>
    </w:p>
    <w:p>
      <w:pPr>
        <w:spacing w:after="0" w:line="22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Due to uncertainty as to the amounts and timing of future payments, tax related to uncertain tax positions, including accrued interest and penalties, of $4.9 million as of February 1, 2025, is excluded from the contractual obligations table. Deferred taxes are also excluded in the contractual obligations table. For further discussion, refer to Note 11, “</w:t>
      </w:r>
      <w:r>
        <w:rPr>
          <w:rFonts w:ascii="Arial" w:cs="Arial" w:eastAsia="Arial" w:hAnsi="Arial"/>
          <w:sz w:val="16"/>
          <w:szCs w:val="16"/>
          <w:i w:val="1"/>
          <w:iCs w:val="1"/>
          <w:u w:val="single" w:color="auto"/>
          <w:color w:val="0000FF"/>
        </w:rPr>
        <w:t>INCOME TAXES</w:t>
      </w:r>
      <w:r>
        <w:rPr>
          <w:rFonts w:ascii="Arial" w:cs="Arial" w:eastAsia="Arial" w:hAnsi="Arial"/>
          <w:sz w:val="16"/>
          <w:szCs w:val="16"/>
          <w:color w:val="auto"/>
        </w:rPr>
        <w:t>.”</w:t>
      </w:r>
    </w:p>
    <w:p>
      <w:pPr>
        <w:spacing w:after="0" w:line="21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 of February 1, 2025, the Company had recorded $4.4 million and $42.0 million of obligations related to its deferred compensation and supplemental retirement plans in accrued expenses and other liabilities on the Consolidated Balance Sheet, respectively. Amounts payable with known payment dates of $15.7 million have been classified in the contractual obligations table based on those scheduled payment dates. However, it is not reasonably practicable to estimate the timing and amounts for the remainder of these obligations; therefore, those amounts have been excluded in the contractual obligations table.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40</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b w:val="1"/>
          <w:bCs w:val="1"/>
          <w:color w:val="AC7E65"/>
        </w:rPr>
        <w:t>RECENT ACCOUNTING PRONOUNCEMENTS</w:t>
      </w:r>
    </w:p>
    <w:p>
      <w:pPr>
        <w:spacing w:after="0" w:line="24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The Company describes its significant accounting policies in Note 2, </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0000FF"/>
        </w:rPr>
        <w:t>SUMMARY OF SIGNIFICANT ACCOUNTING POLICIES - Recent accounting</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0000FF"/>
        </w:rPr>
        <w:t>pronouncements</w:t>
      </w:r>
      <w:r>
        <w:rPr>
          <w:rFonts w:ascii="Arial" w:cs="Arial" w:eastAsia="Arial" w:hAnsi="Arial"/>
          <w:sz w:val="16"/>
          <w:szCs w:val="16"/>
          <w:i w:val="1"/>
          <w:iCs w:val="1"/>
          <w:color w:val="000000"/>
        </w:rPr>
        <w:t>.”</w:t>
      </w:r>
      <w:r>
        <w:rPr>
          <w:rFonts w:ascii="Arial" w:cs="Arial" w:eastAsia="Arial" w:hAnsi="Arial"/>
          <w:sz w:val="16"/>
          <w:szCs w:val="16"/>
          <w:i w:val="1"/>
          <w:iCs w:val="1"/>
          <w:color w:val="0000FF"/>
        </w:rPr>
        <w:t xml:space="preserve"> </w:t>
      </w:r>
      <w:r>
        <w:rPr>
          <w:rFonts w:ascii="Arial" w:cs="Arial" w:eastAsia="Arial" w:hAnsi="Arial"/>
          <w:sz w:val="16"/>
          <w:szCs w:val="16"/>
          <w:color w:val="000000"/>
        </w:rPr>
        <w:t>The Company reviews recent accounting pronouncements on a quarterly basis and has excluded discussion of those not applicable to the</w:t>
      </w:r>
      <w:r>
        <w:rPr>
          <w:rFonts w:ascii="Arial" w:cs="Arial" w:eastAsia="Arial" w:hAnsi="Arial"/>
          <w:sz w:val="16"/>
          <w:szCs w:val="16"/>
          <w:i w:val="1"/>
          <w:iCs w:val="1"/>
          <w:color w:val="0000FF"/>
        </w:rPr>
        <w:t xml:space="preserve"> </w:t>
      </w:r>
      <w:r>
        <w:rPr>
          <w:rFonts w:ascii="Arial" w:cs="Arial" w:eastAsia="Arial" w:hAnsi="Arial"/>
          <w:sz w:val="16"/>
          <w:szCs w:val="16"/>
          <w:color w:val="000000"/>
        </w:rPr>
        <w:t>Company and those that did not have, or are not expected to have, a material impact on the Company’s consolidated financial statements.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C7E65"/>
        </w:rPr>
        <w:t>CRITICAL ACCOUNTING ESTIMATES</w:t>
      </w:r>
    </w:p>
    <w:p>
      <w:pPr>
        <w:spacing w:after="0" w:line="26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Company’s discussion and analysis of its financial condition and results of operations are based upon the Company’s consolidated financial statements, which have been prepared in accordance with GAAP. The preparation of these consolidated financial statements requires the Company to make estimates and assumptions that affect the reported amounts. Since actual results may differ from those estimates, the Company revises its estimates and assumptions as new information becomes available. Note 2, “</w:t>
      </w:r>
      <w:r>
        <w:rPr>
          <w:rFonts w:ascii="Arial" w:cs="Arial" w:eastAsia="Arial" w:hAnsi="Arial"/>
          <w:sz w:val="16"/>
          <w:szCs w:val="16"/>
          <w:i w:val="1"/>
          <w:iCs w:val="1"/>
          <w:u w:val="single" w:color="auto"/>
          <w:color w:val="0000FF"/>
        </w:rPr>
        <w:t>SUMMARY OF SIGNIFICANT ACCOUNTING POLICIES</w:t>
      </w:r>
      <w:r>
        <w:rPr>
          <w:rFonts w:ascii="Arial" w:cs="Arial" w:eastAsia="Arial" w:hAnsi="Arial"/>
          <w:sz w:val="16"/>
          <w:szCs w:val="16"/>
          <w:b w:val="1"/>
          <w:bCs w:val="1"/>
          <w:color w:val="auto"/>
        </w:rPr>
        <w:t>,”</w:t>
      </w:r>
      <w:r>
        <w:rPr>
          <w:rFonts w:ascii="Arial" w:cs="Arial" w:eastAsia="Arial" w:hAnsi="Arial"/>
          <w:sz w:val="16"/>
          <w:szCs w:val="16"/>
          <w:color w:val="auto"/>
        </w:rPr>
        <w:t xml:space="preserve"> describes the significant accounting policies and methods used in the preparation of the Company’s consolidated financial statements. The estimates and assumptions discussed below include those that the Company believes are the most critical to the portrayal of the Company’s financial condition and results of operations.</w:t>
      </w:r>
    </w:p>
    <w:p>
      <w:pPr>
        <w:sectPr>
          <w:pgSz w:w="11900" w:h="16838" w:orient="portrait"/>
          <w:cols w:equalWidth="0" w:num="1">
            <w:col w:w="11240"/>
          </w:cols>
          <w:pgMar w:left="320" w:top="125" w:right="339" w:bottom="1440" w:gutter="0" w:footer="0" w:header="0"/>
        </w:sectPr>
      </w:pPr>
    </w:p>
    <w:p>
      <w:pPr>
        <w:spacing w:after="0" w:line="6" w:lineRule="exact"/>
        <w:rPr>
          <w:sz w:val="20"/>
          <w:szCs w:val="20"/>
          <w:color w:val="auto"/>
        </w:rPr>
      </w:pPr>
    </w:p>
    <w:p>
      <w:pPr>
        <w:ind w:left="20"/>
        <w:spacing w:after="0"/>
        <w:rPr>
          <w:sz w:val="20"/>
          <w:szCs w:val="20"/>
          <w:color w:val="auto"/>
        </w:rPr>
      </w:pPr>
      <w:r>
        <w:rPr>
          <w:rFonts w:ascii="Arial" w:cs="Arial" w:eastAsia="Arial" w:hAnsi="Arial"/>
          <w:sz w:val="14"/>
          <w:szCs w:val="14"/>
          <w:color w:val="auto"/>
        </w:rPr>
        <w:t>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413194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Inventory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916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916940"/>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The Company reviews inventories on a quarterly basis. The Company reduces the inventory</w:t>
      </w:r>
    </w:p>
    <w:p>
      <w:pPr>
        <w:spacing w:after="0" w:line="2" w:lineRule="exact"/>
        <w:rPr>
          <w:sz w:val="20"/>
          <w:szCs w:val="20"/>
          <w:color w:val="auto"/>
        </w:rPr>
      </w:pPr>
    </w:p>
    <w:p>
      <w:pPr>
        <w:ind w:left="20"/>
        <w:spacing w:after="0" w:line="211" w:lineRule="auto"/>
        <w:rPr>
          <w:sz w:val="20"/>
          <w:szCs w:val="20"/>
          <w:color w:val="auto"/>
        </w:rPr>
      </w:pPr>
      <w:r>
        <w:rPr>
          <w:rFonts w:ascii="Arial" w:cs="Arial" w:eastAsia="Arial" w:hAnsi="Arial"/>
          <w:sz w:val="14"/>
          <w:szCs w:val="14"/>
          <w:color w:val="auto"/>
        </w:rPr>
        <w:t>valuation when the carrying cost of specific inventory items on hand exceeds the amount expected to be realized from the ultimate sale or disposal of the goods, through a lower of cost and net realizable</w:t>
      </w:r>
    </w:p>
    <w:p>
      <w:pPr>
        <w:ind w:left="20"/>
        <w:spacing w:after="0"/>
        <w:rPr>
          <w:sz w:val="20"/>
          <w:szCs w:val="20"/>
          <w:color w:val="auto"/>
        </w:rPr>
      </w:pPr>
      <w:r>
        <w:rPr>
          <w:rFonts w:ascii="Arial" w:cs="Arial" w:eastAsia="Arial" w:hAnsi="Arial"/>
          <w:sz w:val="14"/>
          <w:szCs w:val="14"/>
          <w:color w:val="auto"/>
        </w:rPr>
        <w:t>value (“LCNRV”) adjustment.</w:t>
      </w:r>
    </w:p>
    <w:p>
      <w:pPr>
        <w:spacing w:after="0" w:line="217" w:lineRule="exact"/>
        <w:rPr>
          <w:sz w:val="20"/>
          <w:szCs w:val="20"/>
          <w:color w:val="auto"/>
        </w:rPr>
      </w:pPr>
    </w:p>
    <w:p>
      <w:pPr>
        <w:ind w:left="20"/>
        <w:spacing w:after="0" w:line="221" w:lineRule="auto"/>
        <w:rPr>
          <w:sz w:val="20"/>
          <w:szCs w:val="20"/>
          <w:color w:val="auto"/>
        </w:rPr>
      </w:pPr>
      <w:r>
        <w:rPr>
          <w:rFonts w:ascii="Arial" w:cs="Arial" w:eastAsia="Arial" w:hAnsi="Arial"/>
          <w:sz w:val="14"/>
          <w:szCs w:val="14"/>
          <w:color w:val="auto"/>
        </w:rPr>
        <w:t>The LCNRV adjustment reduces inventory to its net realizable value based on the Company’s consideration of multiple factors and assumptions, expected sell-off activity, composition and aging of</w:t>
      </w:r>
    </w:p>
    <w:p>
      <w:pPr>
        <w:spacing w:after="0" w:line="1" w:lineRule="exact"/>
        <w:rPr>
          <w:sz w:val="20"/>
          <w:szCs w:val="20"/>
          <w:color w:val="auto"/>
        </w:rPr>
      </w:pPr>
    </w:p>
    <w:p>
      <w:pPr>
        <w:ind w:left="20"/>
        <w:spacing w:after="0" w:line="231" w:lineRule="auto"/>
        <w:rPr>
          <w:sz w:val="20"/>
          <w:szCs w:val="20"/>
          <w:color w:val="auto"/>
        </w:rPr>
      </w:pPr>
      <w:r>
        <w:rPr>
          <w:rFonts w:ascii="Arial" w:cs="Arial" w:eastAsia="Arial" w:hAnsi="Arial"/>
          <w:sz w:val="14"/>
          <w:szCs w:val="14"/>
          <w:color w:val="auto"/>
        </w:rPr>
        <w:t>inventory, historical recoverability experience and risk of obsolescence from changes in economic conditions or customer preferences.</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7886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788670"/>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The provision for income taxes is determined using the asset and liability approach. Tax laws often</w:t>
      </w:r>
    </w:p>
    <w:p>
      <w:pPr>
        <w:spacing w:after="0" w:line="2" w:lineRule="exact"/>
        <w:rPr>
          <w:sz w:val="20"/>
          <w:szCs w:val="20"/>
          <w:color w:val="auto"/>
        </w:rPr>
      </w:pPr>
    </w:p>
    <w:p>
      <w:pPr>
        <w:ind w:left="20"/>
        <w:spacing w:after="0" w:line="211" w:lineRule="auto"/>
        <w:rPr>
          <w:sz w:val="20"/>
          <w:szCs w:val="20"/>
          <w:color w:val="auto"/>
        </w:rPr>
      </w:pPr>
      <w:r>
        <w:rPr>
          <w:rFonts w:ascii="Arial" w:cs="Arial" w:eastAsia="Arial" w:hAnsi="Arial"/>
          <w:sz w:val="14"/>
          <w:szCs w:val="14"/>
          <w:color w:val="auto"/>
        </w:rPr>
        <w:t>require items to be included in tax filings at different times than the items are being reflected in the financial statements. A current liability is recognized for the estimated taxes payable for the current</w:t>
      </w:r>
    </w:p>
    <w:p>
      <w:pPr>
        <w:ind w:left="20"/>
        <w:spacing w:after="0" w:line="222" w:lineRule="auto"/>
        <w:rPr>
          <w:sz w:val="20"/>
          <w:szCs w:val="20"/>
          <w:color w:val="auto"/>
        </w:rPr>
      </w:pPr>
      <w:r>
        <w:rPr>
          <w:rFonts w:ascii="Arial" w:cs="Arial" w:eastAsia="Arial" w:hAnsi="Arial"/>
          <w:sz w:val="14"/>
          <w:szCs w:val="14"/>
          <w:color w:val="auto"/>
        </w:rPr>
        <w:t>year. Deferred taxes represent the future tax consequences expected to occur when the reported</w:t>
      </w:r>
    </w:p>
    <w:p>
      <w:pPr>
        <w:ind w:left="20"/>
        <w:spacing w:after="0" w:line="211" w:lineRule="auto"/>
        <w:rPr>
          <w:sz w:val="20"/>
          <w:szCs w:val="20"/>
          <w:color w:val="auto"/>
        </w:rPr>
      </w:pPr>
      <w:r>
        <w:rPr>
          <w:rFonts w:ascii="Arial" w:cs="Arial" w:eastAsia="Arial" w:hAnsi="Arial"/>
          <w:sz w:val="14"/>
          <w:szCs w:val="14"/>
          <w:color w:val="auto"/>
        </w:rPr>
        <w:t>amounts of assets and liabilities are recovered or paid. Deferred taxes are adjusted for enacted changes in tax rates and tax laws. Valuation allowances are recorded to reduce deferred tax assets</w:t>
      </w:r>
    </w:p>
    <w:p>
      <w:pPr>
        <w:ind w:left="20"/>
        <w:spacing w:after="0"/>
        <w:rPr>
          <w:sz w:val="20"/>
          <w:szCs w:val="20"/>
          <w:color w:val="auto"/>
        </w:rPr>
      </w:pPr>
      <w:r>
        <w:rPr>
          <w:rFonts w:ascii="Arial" w:cs="Arial" w:eastAsia="Arial" w:hAnsi="Arial"/>
          <w:sz w:val="14"/>
          <w:szCs w:val="14"/>
          <w:color w:val="auto"/>
        </w:rPr>
        <w:t>when it is more likely than not that a tax benefit will not be realized.</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Long-lived Assets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Effect if Actual Results Differ from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23495</wp:posOffset>
            </wp:positionV>
            <wp:extent cx="29317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The Company does not expect material changes to the underlying</w:t>
      </w:r>
    </w:p>
    <w:p>
      <w:pPr>
        <w:spacing w:after="0" w:line="2" w:lineRule="exact"/>
        <w:rPr>
          <w:sz w:val="20"/>
          <w:szCs w:val="20"/>
          <w:color w:val="auto"/>
        </w:rPr>
      </w:pPr>
    </w:p>
    <w:p>
      <w:pPr>
        <w:ind w:right="20"/>
        <w:spacing w:after="0" w:line="211" w:lineRule="auto"/>
        <w:rPr>
          <w:sz w:val="20"/>
          <w:szCs w:val="20"/>
          <w:color w:val="auto"/>
        </w:rPr>
      </w:pPr>
      <w:r>
        <w:rPr>
          <w:rFonts w:ascii="Arial" w:cs="Arial" w:eastAsia="Arial" w:hAnsi="Arial"/>
          <w:sz w:val="14"/>
          <w:szCs w:val="14"/>
          <w:color w:val="auto"/>
        </w:rPr>
        <w:t>assumptions used to measure the LCNRV estimate as of February 1, 2025. However, actual results could vary from estimates and could</w:t>
      </w:r>
    </w:p>
    <w:p>
      <w:pPr>
        <w:ind w:right="20"/>
        <w:spacing w:after="0" w:line="244" w:lineRule="auto"/>
        <w:rPr>
          <w:sz w:val="20"/>
          <w:szCs w:val="20"/>
          <w:color w:val="auto"/>
        </w:rPr>
      </w:pPr>
      <w:r>
        <w:rPr>
          <w:rFonts w:ascii="Arial" w:cs="Arial" w:eastAsia="Arial" w:hAnsi="Arial"/>
          <w:sz w:val="14"/>
          <w:szCs w:val="14"/>
          <w:color w:val="auto"/>
        </w:rPr>
        <w:t>significantly impact the ending inventory valuation at cost, as well as gross profit.</w:t>
      </w:r>
    </w:p>
    <w:p>
      <w:pPr>
        <w:spacing w:after="0" w:line="185" w:lineRule="exact"/>
        <w:rPr>
          <w:sz w:val="20"/>
          <w:szCs w:val="20"/>
          <w:color w:val="auto"/>
        </w:rPr>
      </w:pPr>
    </w:p>
    <w:p>
      <w:pPr>
        <w:ind w:right="20"/>
        <w:spacing w:after="0" w:line="264" w:lineRule="auto"/>
        <w:rPr>
          <w:sz w:val="20"/>
          <w:szCs w:val="20"/>
          <w:color w:val="auto"/>
        </w:rPr>
      </w:pPr>
      <w:r>
        <w:rPr>
          <w:rFonts w:ascii="Arial" w:cs="Arial" w:eastAsia="Arial" w:hAnsi="Arial"/>
          <w:sz w:val="14"/>
          <w:szCs w:val="14"/>
          <w:color w:val="auto"/>
        </w:rPr>
        <w:t>An increase or decrease in the LCNRV adjustment of 10% would have affected pre-tax income by approximately $2.9 million for Fiscal 2024.</w:t>
      </w:r>
    </w:p>
    <w:p>
      <w:pPr>
        <w:spacing w:after="0" w:line="375" w:lineRule="exact"/>
        <w:rPr>
          <w:sz w:val="20"/>
          <w:szCs w:val="20"/>
          <w:color w:val="auto"/>
        </w:rPr>
      </w:pPr>
    </w:p>
    <w:p>
      <w:pPr>
        <w:ind w:right="20"/>
        <w:spacing w:after="0" w:line="221" w:lineRule="auto"/>
        <w:rPr>
          <w:sz w:val="20"/>
          <w:szCs w:val="20"/>
          <w:color w:val="auto"/>
        </w:rPr>
      </w:pPr>
      <w:r>
        <w:rPr>
          <w:rFonts w:ascii="Arial" w:cs="Arial" w:eastAsia="Arial" w:hAnsi="Arial"/>
          <w:sz w:val="14"/>
          <w:szCs w:val="14"/>
          <w:color w:val="auto"/>
        </w:rPr>
        <w:t>The Company does not expect material changes in the judgments, assumptions or interpretations used to calculate the tax provision for</w:t>
      </w:r>
    </w:p>
    <w:p>
      <w:pPr>
        <w:spacing w:after="0" w:line="222" w:lineRule="auto"/>
        <w:rPr>
          <w:sz w:val="20"/>
          <w:szCs w:val="20"/>
          <w:color w:val="auto"/>
        </w:rPr>
      </w:pPr>
      <w:r>
        <w:rPr>
          <w:rFonts w:ascii="Arial" w:cs="Arial" w:eastAsia="Arial" w:hAnsi="Arial"/>
          <w:sz w:val="14"/>
          <w:szCs w:val="14"/>
          <w:color w:val="auto"/>
        </w:rPr>
        <w:t>Fiscal 2025. However, changes in these judgments, assumptions or</w:t>
      </w:r>
    </w:p>
    <w:p>
      <w:pPr>
        <w:spacing w:after="0" w:line="1" w:lineRule="exact"/>
        <w:rPr>
          <w:sz w:val="20"/>
          <w:szCs w:val="20"/>
          <w:color w:val="auto"/>
        </w:rPr>
      </w:pPr>
    </w:p>
    <w:p>
      <w:pPr>
        <w:ind w:right="20"/>
        <w:spacing w:after="0" w:line="211" w:lineRule="auto"/>
        <w:rPr>
          <w:sz w:val="20"/>
          <w:szCs w:val="20"/>
          <w:color w:val="auto"/>
        </w:rPr>
      </w:pPr>
      <w:r>
        <w:rPr>
          <w:rFonts w:ascii="Arial" w:cs="Arial" w:eastAsia="Arial" w:hAnsi="Arial"/>
          <w:sz w:val="14"/>
          <w:szCs w:val="14"/>
          <w:color w:val="auto"/>
        </w:rPr>
        <w:t>interpretations may occur, and should those changes be significant, they could have a material impact on the Company’s income tax</w:t>
      </w:r>
    </w:p>
    <w:p>
      <w:pPr>
        <w:spacing w:after="0" w:line="222" w:lineRule="auto"/>
        <w:rPr>
          <w:sz w:val="20"/>
          <w:szCs w:val="20"/>
          <w:color w:val="auto"/>
        </w:rPr>
      </w:pPr>
      <w:r>
        <w:rPr>
          <w:rFonts w:ascii="Arial" w:cs="Arial" w:eastAsia="Arial" w:hAnsi="Arial"/>
          <w:sz w:val="14"/>
          <w:szCs w:val="14"/>
          <w:color w:val="auto"/>
        </w:rPr>
        <w:t xml:space="preserve">provision. As of the end of Fiscal </w:t>
      </w:r>
      <w:r>
        <w:rPr>
          <w:rFonts w:ascii="Arial" w:cs="Arial" w:eastAsia="Arial" w:hAnsi="Arial"/>
          <w:sz w:val="13"/>
          <w:szCs w:val="13"/>
          <w:color w:val="auto"/>
        </w:rPr>
        <w:t>2024</w:t>
      </w:r>
      <w:r>
        <w:rPr>
          <w:rFonts w:ascii="Arial" w:cs="Arial" w:eastAsia="Arial" w:hAnsi="Arial"/>
          <w:sz w:val="14"/>
          <w:szCs w:val="14"/>
          <w:color w:val="auto"/>
        </w:rPr>
        <w:t>, the Company had recorded</w:t>
      </w:r>
    </w:p>
    <w:p>
      <w:pPr>
        <w:ind w:right="20"/>
        <w:spacing w:after="0" w:line="231" w:lineRule="auto"/>
        <w:rPr>
          <w:sz w:val="20"/>
          <w:szCs w:val="20"/>
          <w:color w:val="auto"/>
        </w:rPr>
      </w:pPr>
      <w:r>
        <w:rPr>
          <w:rFonts w:ascii="Arial" w:cs="Arial" w:eastAsia="Arial" w:hAnsi="Arial"/>
          <w:sz w:val="14"/>
          <w:szCs w:val="14"/>
          <w:color w:val="auto"/>
        </w:rPr>
        <w:t>valuation allowances of $151.8 million, of which $147.9 million relates to Switzerland.</w:t>
      </w:r>
    </w:p>
    <w:p>
      <w:pPr>
        <w:spacing w:after="0" w:line="203" w:lineRule="exact"/>
        <w:rPr>
          <w:sz w:val="20"/>
          <w:szCs w:val="20"/>
          <w:color w:val="auto"/>
        </w:rPr>
      </w:pPr>
    </w:p>
    <w:p>
      <w:pPr>
        <w:sectPr>
          <w:pgSz w:w="11900" w:h="16838" w:orient="portrait"/>
          <w:cols w:equalWidth="0" w:num="2">
            <w:col w:w="6500" w:space="140"/>
            <w:col w:w="460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6560" w:type="dxa"/>
            <w:vAlign w:val="bottom"/>
            <w:gridSpan w:val="2"/>
            <w:shd w:val="clear" w:color="auto" w:fill="F5F5F5"/>
          </w:tcPr>
          <w:p>
            <w:pPr>
              <w:ind w:left="20"/>
              <w:spacing w:after="0"/>
              <w:rPr>
                <w:sz w:val="20"/>
                <w:szCs w:val="20"/>
                <w:color w:val="auto"/>
              </w:rPr>
            </w:pPr>
            <w:r>
              <w:rPr>
                <w:rFonts w:ascii="Arial" w:cs="Arial" w:eastAsia="Arial" w:hAnsi="Arial"/>
                <w:sz w:val="14"/>
                <w:szCs w:val="14"/>
                <w:color w:val="auto"/>
              </w:rPr>
              <w:t>Long-lived assets, primarily operating lease right-of-use assets, leasehold improvements, furniture,</w:t>
            </w:r>
          </w:p>
        </w:tc>
        <w:tc>
          <w:tcPr>
            <w:tcW w:w="4680" w:type="dxa"/>
            <w:vAlign w:val="bottom"/>
            <w:shd w:val="clear" w:color="auto" w:fill="F5F5F5"/>
          </w:tcPr>
          <w:p>
            <w:pPr>
              <w:ind w:left="80"/>
              <w:spacing w:after="0"/>
              <w:rPr>
                <w:sz w:val="20"/>
                <w:szCs w:val="20"/>
                <w:color w:val="auto"/>
              </w:rPr>
            </w:pPr>
            <w:r>
              <w:rPr>
                <w:rFonts w:ascii="Arial" w:cs="Arial" w:eastAsia="Arial" w:hAnsi="Arial"/>
                <w:sz w:val="14"/>
                <w:szCs w:val="14"/>
                <w:color w:val="auto"/>
              </w:rPr>
              <w:t>Store assets that were tested for impairment as of February 1, 2025</w:t>
            </w:r>
          </w:p>
        </w:tc>
        <w:tc>
          <w:tcPr>
            <w:tcW w:w="0" w:type="dxa"/>
            <w:vAlign w:val="bottom"/>
          </w:tcPr>
          <w:p>
            <w:pPr>
              <w:spacing w:after="0"/>
              <w:rPr>
                <w:sz w:val="1"/>
                <w:szCs w:val="1"/>
                <w:color w:val="auto"/>
              </w:rPr>
            </w:pPr>
          </w:p>
        </w:tc>
      </w:tr>
      <w:tr>
        <w:trPr>
          <w:trHeight w:val="144"/>
        </w:trPr>
        <w:tc>
          <w:tcPr>
            <w:tcW w:w="6560" w:type="dxa"/>
            <w:vAlign w:val="bottom"/>
            <w:gridSpan w:val="2"/>
            <w:shd w:val="clear" w:color="auto" w:fill="F5F5F5"/>
          </w:tcPr>
          <w:p>
            <w:pPr>
              <w:ind w:left="20"/>
              <w:spacing w:after="0" w:line="145" w:lineRule="exact"/>
              <w:rPr>
                <w:sz w:val="20"/>
                <w:szCs w:val="20"/>
                <w:color w:val="auto"/>
              </w:rPr>
            </w:pPr>
            <w:r>
              <w:rPr>
                <w:rFonts w:ascii="Arial" w:cs="Arial" w:eastAsia="Arial" w:hAnsi="Arial"/>
                <w:sz w:val="14"/>
                <w:szCs w:val="14"/>
                <w:color w:val="auto"/>
              </w:rPr>
              <w:t>fixtures and equipment, are tested for recoverability whenever events or changes in circumstances</w:t>
            </w:r>
          </w:p>
        </w:tc>
        <w:tc>
          <w:tcPr>
            <w:tcW w:w="4680" w:type="dxa"/>
            <w:vAlign w:val="bottom"/>
            <w:shd w:val="clear" w:color="auto" w:fill="F5F5F5"/>
          </w:tcPr>
          <w:p>
            <w:pPr>
              <w:ind w:left="80"/>
              <w:spacing w:after="0" w:line="145" w:lineRule="exact"/>
              <w:rPr>
                <w:sz w:val="20"/>
                <w:szCs w:val="20"/>
                <w:color w:val="auto"/>
              </w:rPr>
            </w:pPr>
            <w:r>
              <w:rPr>
                <w:rFonts w:ascii="Arial" w:cs="Arial" w:eastAsia="Arial" w:hAnsi="Arial"/>
                <w:sz w:val="14"/>
                <w:szCs w:val="14"/>
                <w:color w:val="auto"/>
              </w:rPr>
              <w:t>and not impaired, had long-lived assets with a net book value of $8.8</w:t>
            </w:r>
          </w:p>
        </w:tc>
        <w:tc>
          <w:tcPr>
            <w:tcW w:w="0" w:type="dxa"/>
            <w:vAlign w:val="bottom"/>
          </w:tcPr>
          <w:p>
            <w:pPr>
              <w:spacing w:after="0"/>
              <w:rPr>
                <w:sz w:val="1"/>
                <w:szCs w:val="1"/>
                <w:color w:val="auto"/>
              </w:rPr>
            </w:pPr>
          </w:p>
        </w:tc>
      </w:tr>
      <w:tr>
        <w:trPr>
          <w:trHeight w:val="139"/>
        </w:trPr>
        <w:tc>
          <w:tcPr>
            <w:tcW w:w="6560" w:type="dxa"/>
            <w:vAlign w:val="bottom"/>
            <w:gridSpan w:val="2"/>
            <w:shd w:val="clear" w:color="auto" w:fill="F5F5F5"/>
          </w:tcPr>
          <w:p>
            <w:pPr>
              <w:ind w:left="20"/>
              <w:spacing w:after="0" w:line="139" w:lineRule="exact"/>
              <w:rPr>
                <w:sz w:val="20"/>
                <w:szCs w:val="20"/>
                <w:color w:val="auto"/>
              </w:rPr>
            </w:pPr>
            <w:r>
              <w:rPr>
                <w:rFonts w:ascii="Arial" w:cs="Arial" w:eastAsia="Arial" w:hAnsi="Arial"/>
                <w:sz w:val="14"/>
                <w:szCs w:val="14"/>
                <w:color w:val="auto"/>
              </w:rPr>
              <w:t>indicate that the carrying amount of the long-lived asset group might not be recoverable. These</w:t>
            </w:r>
          </w:p>
        </w:tc>
        <w:tc>
          <w:tcPr>
            <w:tcW w:w="4680" w:type="dxa"/>
            <w:vAlign w:val="bottom"/>
            <w:shd w:val="clear" w:color="auto" w:fill="F5F5F5"/>
          </w:tcPr>
          <w:p>
            <w:pPr>
              <w:ind w:left="80"/>
              <w:spacing w:after="0" w:line="139" w:lineRule="exact"/>
              <w:rPr>
                <w:sz w:val="20"/>
                <w:szCs w:val="20"/>
                <w:color w:val="auto"/>
              </w:rPr>
            </w:pPr>
            <w:r>
              <w:rPr>
                <w:rFonts w:ascii="Arial" w:cs="Arial" w:eastAsia="Arial" w:hAnsi="Arial"/>
                <w:sz w:val="14"/>
                <w:szCs w:val="14"/>
                <w:color w:val="auto"/>
              </w:rPr>
              <w:t>million, which included $8.1 million of operating lease right-of-use</w:t>
            </w:r>
          </w:p>
        </w:tc>
        <w:tc>
          <w:tcPr>
            <w:tcW w:w="0" w:type="dxa"/>
            <w:vAlign w:val="bottom"/>
          </w:tcPr>
          <w:p>
            <w:pPr>
              <w:spacing w:after="0"/>
              <w:rPr>
                <w:sz w:val="1"/>
                <w:szCs w:val="1"/>
                <w:color w:val="auto"/>
              </w:rPr>
            </w:pPr>
          </w:p>
        </w:tc>
      </w:tr>
      <w:tr>
        <w:trPr>
          <w:trHeight w:val="149"/>
        </w:trPr>
        <w:tc>
          <w:tcPr>
            <w:tcW w:w="6560" w:type="dxa"/>
            <w:vAlign w:val="bottom"/>
            <w:gridSpan w:val="2"/>
            <w:shd w:val="clear" w:color="auto" w:fill="F5F5F5"/>
          </w:tcPr>
          <w:p>
            <w:pPr>
              <w:ind w:left="20"/>
              <w:spacing w:after="0" w:line="149" w:lineRule="exact"/>
              <w:rPr>
                <w:sz w:val="20"/>
                <w:szCs w:val="20"/>
                <w:color w:val="auto"/>
              </w:rPr>
            </w:pPr>
            <w:r>
              <w:rPr>
                <w:rFonts w:ascii="Arial" w:cs="Arial" w:eastAsia="Arial" w:hAnsi="Arial"/>
                <w:sz w:val="14"/>
                <w:szCs w:val="14"/>
                <w:color w:val="auto"/>
              </w:rPr>
              <w:t>include, but are not limited to, material declines in operational performance, a history of losses, an</w:t>
            </w:r>
          </w:p>
        </w:tc>
        <w:tc>
          <w:tcPr>
            <w:tcW w:w="4680" w:type="dxa"/>
            <w:vAlign w:val="bottom"/>
            <w:shd w:val="clear" w:color="auto" w:fill="F5F5F5"/>
          </w:tcPr>
          <w:p>
            <w:pPr>
              <w:ind w:left="80"/>
              <w:spacing w:after="0" w:line="149" w:lineRule="exact"/>
              <w:rPr>
                <w:sz w:val="20"/>
                <w:szCs w:val="20"/>
                <w:color w:val="auto"/>
              </w:rPr>
            </w:pPr>
            <w:r>
              <w:rPr>
                <w:rFonts w:ascii="Arial" w:cs="Arial" w:eastAsia="Arial" w:hAnsi="Arial"/>
                <w:sz w:val="14"/>
                <w:szCs w:val="14"/>
                <w:color w:val="auto"/>
              </w:rPr>
              <w:t>assets as of February 1, 2025.</w:t>
            </w:r>
          </w:p>
        </w:tc>
        <w:tc>
          <w:tcPr>
            <w:tcW w:w="0" w:type="dxa"/>
            <w:vAlign w:val="bottom"/>
          </w:tcPr>
          <w:p>
            <w:pPr>
              <w:spacing w:after="0"/>
              <w:rPr>
                <w:sz w:val="1"/>
                <w:szCs w:val="1"/>
                <w:color w:val="auto"/>
              </w:rPr>
            </w:pPr>
          </w:p>
        </w:tc>
      </w:tr>
      <w:tr>
        <w:trPr>
          <w:trHeight w:val="144"/>
        </w:trPr>
        <w:tc>
          <w:tcPr>
            <w:tcW w:w="6560" w:type="dxa"/>
            <w:vAlign w:val="bottom"/>
            <w:gridSpan w:val="2"/>
            <w:shd w:val="clear" w:color="auto" w:fill="F5F5F5"/>
          </w:tcPr>
          <w:p>
            <w:pPr>
              <w:ind w:left="20"/>
              <w:spacing w:after="0" w:line="145" w:lineRule="exact"/>
              <w:rPr>
                <w:sz w:val="20"/>
                <w:szCs w:val="20"/>
                <w:color w:val="auto"/>
              </w:rPr>
            </w:pPr>
            <w:r>
              <w:rPr>
                <w:rFonts w:ascii="Arial" w:cs="Arial" w:eastAsia="Arial" w:hAnsi="Arial"/>
                <w:sz w:val="14"/>
                <w:szCs w:val="14"/>
                <w:color w:val="auto"/>
              </w:rPr>
              <w:t>expectation of future losses, adverse market conditions and store closure or relocation decisions. On</w:t>
            </w:r>
          </w:p>
        </w:tc>
        <w:tc>
          <w:tcPr>
            <w:tcW w:w="4680" w:type="dxa"/>
            <w:vAlign w:val="bottom"/>
            <w:shd w:val="clear" w:color="auto" w:fill="F5F5F5"/>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560" w:type="dxa"/>
            <w:vAlign w:val="bottom"/>
            <w:gridSpan w:val="2"/>
            <w:shd w:val="clear" w:color="auto" w:fill="F5F5F5"/>
          </w:tcPr>
          <w:p>
            <w:pPr>
              <w:ind w:left="20"/>
              <w:spacing w:after="0" w:line="139" w:lineRule="exact"/>
              <w:rPr>
                <w:sz w:val="20"/>
                <w:szCs w:val="20"/>
                <w:color w:val="auto"/>
              </w:rPr>
            </w:pPr>
            <w:r>
              <w:rPr>
                <w:rFonts w:ascii="Arial" w:cs="Arial" w:eastAsia="Arial" w:hAnsi="Arial"/>
                <w:sz w:val="14"/>
                <w:szCs w:val="14"/>
                <w:color w:val="auto"/>
              </w:rPr>
              <w:t>at least a quarterly basis, the Company reviews for indicators of impairment at the individual store</w:t>
            </w:r>
          </w:p>
        </w:tc>
        <w:tc>
          <w:tcPr>
            <w:tcW w:w="4680" w:type="dxa"/>
            <w:vAlign w:val="bottom"/>
            <w:vMerge w:val="restart"/>
            <w:shd w:val="clear" w:color="auto" w:fill="F5F5F5"/>
          </w:tcPr>
          <w:p>
            <w:pPr>
              <w:ind w:left="80"/>
              <w:spacing w:after="0"/>
              <w:rPr>
                <w:sz w:val="20"/>
                <w:szCs w:val="20"/>
                <w:color w:val="auto"/>
              </w:rPr>
            </w:pPr>
            <w:r>
              <w:rPr>
                <w:rFonts w:ascii="Arial" w:cs="Arial" w:eastAsia="Arial" w:hAnsi="Arial"/>
                <w:sz w:val="14"/>
                <w:szCs w:val="14"/>
                <w:color w:val="auto"/>
              </w:rPr>
              <w:t>Store assets that were previously impaired as of February 1, 2025, had</w:t>
            </w:r>
          </w:p>
        </w:tc>
        <w:tc>
          <w:tcPr>
            <w:tcW w:w="0" w:type="dxa"/>
            <w:vAlign w:val="bottom"/>
          </w:tcPr>
          <w:p>
            <w:pPr>
              <w:spacing w:after="0"/>
              <w:rPr>
                <w:sz w:val="1"/>
                <w:szCs w:val="1"/>
                <w:color w:val="auto"/>
              </w:rPr>
            </w:pPr>
          </w:p>
        </w:tc>
      </w:tr>
      <w:tr>
        <w:trPr>
          <w:trHeight w:val="144"/>
        </w:trPr>
        <w:tc>
          <w:tcPr>
            <w:tcW w:w="4620" w:type="dxa"/>
            <w:vAlign w:val="bottom"/>
            <w:shd w:val="clear" w:color="auto" w:fill="F5F5F5"/>
          </w:tcPr>
          <w:p>
            <w:pPr>
              <w:ind w:left="20"/>
              <w:spacing w:after="0" w:line="145" w:lineRule="exact"/>
              <w:rPr>
                <w:sz w:val="20"/>
                <w:szCs w:val="20"/>
                <w:color w:val="auto"/>
              </w:rPr>
            </w:pPr>
            <w:r>
              <w:rPr>
                <w:rFonts w:ascii="Arial" w:cs="Arial" w:eastAsia="Arial" w:hAnsi="Arial"/>
                <w:sz w:val="14"/>
                <w:szCs w:val="14"/>
                <w:color w:val="auto"/>
              </w:rPr>
              <w:t>level, the lowest level for which cash flows are identifiable.</w:t>
            </w:r>
          </w:p>
        </w:tc>
        <w:tc>
          <w:tcPr>
            <w:tcW w:w="1940" w:type="dxa"/>
            <w:vAlign w:val="bottom"/>
            <w:shd w:val="clear" w:color="auto" w:fill="F5F5F5"/>
          </w:tcPr>
          <w:p>
            <w:pPr>
              <w:spacing w:after="0"/>
              <w:rPr>
                <w:sz w:val="12"/>
                <w:szCs w:val="12"/>
                <w:color w:val="auto"/>
              </w:rPr>
            </w:pPr>
          </w:p>
        </w:tc>
        <w:tc>
          <w:tcPr>
            <w:tcW w:w="4680" w:type="dxa"/>
            <w:vAlign w:val="bottom"/>
            <w:vMerge w:val="continue"/>
            <w:shd w:val="clear" w:color="auto" w:fill="F5F5F5"/>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620" w:type="dxa"/>
            <w:vAlign w:val="bottom"/>
            <w:shd w:val="clear" w:color="auto" w:fill="F5F5F5"/>
          </w:tcPr>
          <w:p>
            <w:pPr>
              <w:spacing w:after="0"/>
              <w:rPr>
                <w:sz w:val="8"/>
                <w:szCs w:val="8"/>
                <w:color w:val="auto"/>
              </w:rPr>
            </w:pPr>
          </w:p>
        </w:tc>
        <w:tc>
          <w:tcPr>
            <w:tcW w:w="1940" w:type="dxa"/>
            <w:vAlign w:val="bottom"/>
            <w:shd w:val="clear" w:color="auto" w:fill="F5F5F5"/>
          </w:tcPr>
          <w:p>
            <w:pPr>
              <w:spacing w:after="0"/>
              <w:rPr>
                <w:sz w:val="8"/>
                <w:szCs w:val="8"/>
                <w:color w:val="auto"/>
              </w:rPr>
            </w:pPr>
          </w:p>
        </w:tc>
        <w:tc>
          <w:tcPr>
            <w:tcW w:w="4680" w:type="dxa"/>
            <w:vAlign w:val="bottom"/>
            <w:shd w:val="clear" w:color="auto" w:fill="F5F5F5"/>
          </w:tcPr>
          <w:p>
            <w:pPr>
              <w:ind w:left="80"/>
              <w:spacing w:after="0" w:line="99" w:lineRule="exact"/>
              <w:rPr>
                <w:sz w:val="20"/>
                <w:szCs w:val="20"/>
                <w:color w:val="auto"/>
              </w:rPr>
            </w:pPr>
            <w:r>
              <w:rPr>
                <w:rFonts w:ascii="Arial" w:cs="Arial" w:eastAsia="Arial" w:hAnsi="Arial"/>
                <w:sz w:val="11"/>
                <w:szCs w:val="11"/>
                <w:color w:val="auto"/>
              </w:rPr>
              <w:t>a remaining net book value of $77.6 million, which included $68.8</w:t>
            </w:r>
          </w:p>
        </w:tc>
        <w:tc>
          <w:tcPr>
            <w:tcW w:w="0" w:type="dxa"/>
            <w:vAlign w:val="bottom"/>
          </w:tcPr>
          <w:p>
            <w:pPr>
              <w:spacing w:after="0"/>
              <w:rPr>
                <w:sz w:val="1"/>
                <w:szCs w:val="1"/>
                <w:color w:val="auto"/>
              </w:rPr>
            </w:pPr>
          </w:p>
        </w:tc>
      </w:tr>
      <w:tr>
        <w:trPr>
          <w:trHeight w:val="175"/>
        </w:trPr>
        <w:tc>
          <w:tcPr>
            <w:tcW w:w="6560" w:type="dxa"/>
            <w:vAlign w:val="bottom"/>
            <w:gridSpan w:val="2"/>
            <w:shd w:val="clear" w:color="auto" w:fill="F5F5F5"/>
          </w:tcPr>
          <w:p>
            <w:pPr>
              <w:ind w:left="20"/>
              <w:spacing w:after="0"/>
              <w:rPr>
                <w:sz w:val="20"/>
                <w:szCs w:val="20"/>
                <w:color w:val="auto"/>
              </w:rPr>
            </w:pPr>
            <w:r>
              <w:rPr>
                <w:rFonts w:ascii="Arial" w:cs="Arial" w:eastAsia="Arial" w:hAnsi="Arial"/>
                <w:sz w:val="14"/>
                <w:szCs w:val="14"/>
                <w:color w:val="auto"/>
              </w:rPr>
              <w:t>Stores that display an indicator of impairment are subjected to an impairment assessment. The</w:t>
            </w:r>
          </w:p>
        </w:tc>
        <w:tc>
          <w:tcPr>
            <w:tcW w:w="4680" w:type="dxa"/>
            <w:vAlign w:val="bottom"/>
            <w:shd w:val="clear" w:color="auto" w:fill="F5F5F5"/>
          </w:tcPr>
          <w:p>
            <w:pPr>
              <w:ind w:left="80"/>
              <w:spacing w:after="0"/>
              <w:rPr>
                <w:sz w:val="20"/>
                <w:szCs w:val="20"/>
                <w:color w:val="auto"/>
              </w:rPr>
            </w:pPr>
            <w:r>
              <w:rPr>
                <w:rFonts w:ascii="Arial" w:cs="Arial" w:eastAsia="Arial" w:hAnsi="Arial"/>
                <w:sz w:val="14"/>
                <w:szCs w:val="14"/>
                <w:color w:val="auto"/>
              </w:rPr>
              <w:t>million of operating lease right-of-use assets, as of February 1, 2025.</w:t>
            </w:r>
          </w:p>
        </w:tc>
        <w:tc>
          <w:tcPr>
            <w:tcW w:w="0" w:type="dxa"/>
            <w:vAlign w:val="bottom"/>
          </w:tcPr>
          <w:p>
            <w:pPr>
              <w:spacing w:after="0"/>
              <w:rPr>
                <w:sz w:val="1"/>
                <w:szCs w:val="1"/>
                <w:color w:val="auto"/>
              </w:rPr>
            </w:pPr>
          </w:p>
        </w:tc>
      </w:tr>
      <w:tr>
        <w:trPr>
          <w:trHeight w:val="149"/>
        </w:trPr>
        <w:tc>
          <w:tcPr>
            <w:tcW w:w="6560" w:type="dxa"/>
            <w:vAlign w:val="bottom"/>
            <w:gridSpan w:val="2"/>
            <w:shd w:val="clear" w:color="auto" w:fill="F5F5F5"/>
          </w:tcPr>
          <w:p>
            <w:pPr>
              <w:ind w:left="20"/>
              <w:spacing w:after="0" w:line="149" w:lineRule="exact"/>
              <w:rPr>
                <w:sz w:val="20"/>
                <w:szCs w:val="20"/>
                <w:color w:val="auto"/>
              </w:rPr>
            </w:pPr>
            <w:r>
              <w:rPr>
                <w:rFonts w:ascii="Arial" w:cs="Arial" w:eastAsia="Arial" w:hAnsi="Arial"/>
                <w:sz w:val="14"/>
                <w:szCs w:val="14"/>
                <w:color w:val="auto"/>
              </w:rPr>
              <w:t>Company’s impairment assessment requires management to make assumptions and judgments</w:t>
            </w:r>
          </w:p>
        </w:tc>
        <w:tc>
          <w:tcPr>
            <w:tcW w:w="4680" w:type="dxa"/>
            <w:vAlign w:val="bottom"/>
            <w:shd w:val="clear" w:color="auto" w:fill="F5F5F5"/>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6560" w:type="dxa"/>
            <w:vAlign w:val="bottom"/>
            <w:gridSpan w:val="2"/>
            <w:shd w:val="clear" w:color="auto" w:fill="F5F5F5"/>
          </w:tcPr>
          <w:p>
            <w:pPr>
              <w:ind w:left="20"/>
              <w:spacing w:after="0"/>
              <w:rPr>
                <w:sz w:val="20"/>
                <w:szCs w:val="20"/>
                <w:color w:val="auto"/>
              </w:rPr>
            </w:pPr>
            <w:r>
              <w:rPr>
                <w:rFonts w:ascii="Arial" w:cs="Arial" w:eastAsia="Arial" w:hAnsi="Arial"/>
                <w:sz w:val="14"/>
                <w:szCs w:val="14"/>
                <w:color w:val="auto"/>
              </w:rPr>
              <w:t>related, but not limited, to management’s expectations for future operations and projected cash flows.</w:t>
            </w:r>
          </w:p>
        </w:tc>
        <w:tc>
          <w:tcPr>
            <w:tcW w:w="4680" w:type="dxa"/>
            <w:vAlign w:val="bottom"/>
            <w:shd w:val="clear" w:color="auto" w:fill="F5F5F5"/>
          </w:tcPr>
          <w:p>
            <w:pPr>
              <w:ind w:left="80"/>
              <w:spacing w:after="0"/>
              <w:rPr>
                <w:sz w:val="20"/>
                <w:szCs w:val="20"/>
                <w:color w:val="auto"/>
              </w:rPr>
            </w:pPr>
            <w:r>
              <w:rPr>
                <w:rFonts w:ascii="Arial" w:cs="Arial" w:eastAsia="Arial" w:hAnsi="Arial"/>
                <w:sz w:val="14"/>
                <w:szCs w:val="14"/>
                <w:color w:val="auto"/>
              </w:rPr>
              <w:t>If actual results are not consistent with the estimates and assumptions</w:t>
            </w:r>
          </w:p>
        </w:tc>
        <w:tc>
          <w:tcPr>
            <w:tcW w:w="0" w:type="dxa"/>
            <w:vAlign w:val="bottom"/>
          </w:tcPr>
          <w:p>
            <w:pPr>
              <w:spacing w:after="0"/>
              <w:rPr>
                <w:sz w:val="1"/>
                <w:szCs w:val="1"/>
                <w:color w:val="auto"/>
              </w:rPr>
            </w:pPr>
          </w:p>
        </w:tc>
      </w:tr>
      <w:tr>
        <w:trPr>
          <w:trHeight w:val="148"/>
        </w:trPr>
        <w:tc>
          <w:tcPr>
            <w:tcW w:w="6560" w:type="dxa"/>
            <w:vAlign w:val="bottom"/>
            <w:gridSpan w:val="2"/>
            <w:shd w:val="clear" w:color="auto" w:fill="F5F5F5"/>
          </w:tcPr>
          <w:p>
            <w:pPr>
              <w:ind w:left="20"/>
              <w:spacing w:after="0" w:line="149" w:lineRule="exact"/>
              <w:rPr>
                <w:sz w:val="20"/>
                <w:szCs w:val="20"/>
                <w:color w:val="auto"/>
              </w:rPr>
            </w:pPr>
            <w:r>
              <w:rPr>
                <w:rFonts w:ascii="Arial" w:cs="Arial" w:eastAsia="Arial" w:hAnsi="Arial"/>
                <w:sz w:val="14"/>
                <w:szCs w:val="14"/>
                <w:color w:val="auto"/>
              </w:rPr>
              <w:t>The key assumption used in the Company’s undiscounted future store cash flow models is estimated</w:t>
            </w:r>
          </w:p>
        </w:tc>
        <w:tc>
          <w:tcPr>
            <w:tcW w:w="4680" w:type="dxa"/>
            <w:vAlign w:val="bottom"/>
            <w:shd w:val="clear" w:color="auto" w:fill="F5F5F5"/>
          </w:tcPr>
          <w:p>
            <w:pPr>
              <w:ind w:left="80"/>
              <w:spacing w:after="0" w:line="149" w:lineRule="exact"/>
              <w:rPr>
                <w:sz w:val="20"/>
                <w:szCs w:val="20"/>
                <w:color w:val="auto"/>
              </w:rPr>
            </w:pPr>
            <w:r>
              <w:rPr>
                <w:rFonts w:ascii="Arial" w:cs="Arial" w:eastAsia="Arial" w:hAnsi="Arial"/>
                <w:sz w:val="14"/>
                <w:szCs w:val="14"/>
                <w:color w:val="auto"/>
              </w:rPr>
              <w:t>used in assessing impairment or measuring impairment losses, there</w:t>
            </w:r>
          </w:p>
        </w:tc>
        <w:tc>
          <w:tcPr>
            <w:tcW w:w="0" w:type="dxa"/>
            <w:vAlign w:val="bottom"/>
          </w:tcPr>
          <w:p>
            <w:pPr>
              <w:spacing w:after="0"/>
              <w:rPr>
                <w:sz w:val="1"/>
                <w:szCs w:val="1"/>
                <w:color w:val="auto"/>
              </w:rPr>
            </w:pPr>
          </w:p>
        </w:tc>
      </w:tr>
      <w:tr>
        <w:trPr>
          <w:trHeight w:val="149"/>
        </w:trPr>
        <w:tc>
          <w:tcPr>
            <w:tcW w:w="4620" w:type="dxa"/>
            <w:vAlign w:val="bottom"/>
            <w:shd w:val="clear" w:color="auto" w:fill="F5F5F5"/>
          </w:tcPr>
          <w:p>
            <w:pPr>
              <w:ind w:left="20"/>
              <w:spacing w:after="0" w:line="149" w:lineRule="exact"/>
              <w:rPr>
                <w:sz w:val="20"/>
                <w:szCs w:val="20"/>
                <w:color w:val="auto"/>
              </w:rPr>
            </w:pPr>
            <w:r>
              <w:rPr>
                <w:rFonts w:ascii="Arial" w:cs="Arial" w:eastAsia="Arial" w:hAnsi="Arial"/>
                <w:sz w:val="14"/>
                <w:szCs w:val="14"/>
                <w:color w:val="auto"/>
              </w:rPr>
              <w:t>sales growth rate.</w:t>
            </w:r>
          </w:p>
        </w:tc>
        <w:tc>
          <w:tcPr>
            <w:tcW w:w="1940" w:type="dxa"/>
            <w:vAlign w:val="bottom"/>
            <w:shd w:val="clear" w:color="auto" w:fill="F5F5F5"/>
          </w:tcPr>
          <w:p>
            <w:pPr>
              <w:spacing w:after="0"/>
              <w:rPr>
                <w:sz w:val="12"/>
                <w:szCs w:val="12"/>
                <w:color w:val="auto"/>
              </w:rPr>
            </w:pPr>
          </w:p>
        </w:tc>
        <w:tc>
          <w:tcPr>
            <w:tcW w:w="4680" w:type="dxa"/>
            <w:vAlign w:val="bottom"/>
            <w:shd w:val="clear" w:color="auto" w:fill="F5F5F5"/>
          </w:tcPr>
          <w:p>
            <w:pPr>
              <w:ind w:left="80"/>
              <w:spacing w:after="0" w:line="149" w:lineRule="exact"/>
              <w:rPr>
                <w:sz w:val="20"/>
                <w:szCs w:val="20"/>
                <w:color w:val="auto"/>
              </w:rPr>
            </w:pPr>
            <w:r>
              <w:rPr>
                <w:rFonts w:ascii="Arial" w:cs="Arial" w:eastAsia="Arial" w:hAnsi="Arial"/>
                <w:sz w:val="14"/>
                <w:szCs w:val="14"/>
                <w:color w:val="auto"/>
              </w:rPr>
              <w:t>may be a material impact on the Company’s financial condition or</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F5F5F5"/>
          </w:tcPr>
          <w:p>
            <w:pPr>
              <w:ind w:left="20"/>
              <w:spacing w:after="0"/>
              <w:rPr>
                <w:sz w:val="20"/>
                <w:szCs w:val="20"/>
                <w:color w:val="auto"/>
              </w:rPr>
            </w:pPr>
            <w:r>
              <w:rPr>
                <w:rFonts w:ascii="Arial" w:cs="Arial" w:eastAsia="Arial" w:hAnsi="Arial"/>
                <w:sz w:val="14"/>
                <w:szCs w:val="14"/>
                <w:color w:val="auto"/>
              </w:rPr>
              <w:t>An impairment loss may be recognized when these undiscounted future cash flows are less than the</w:t>
            </w:r>
          </w:p>
        </w:tc>
        <w:tc>
          <w:tcPr>
            <w:tcW w:w="4680" w:type="dxa"/>
            <w:vAlign w:val="bottom"/>
            <w:shd w:val="clear" w:color="auto" w:fill="F5F5F5"/>
          </w:tcPr>
          <w:p>
            <w:pPr>
              <w:ind w:left="80"/>
              <w:spacing w:after="0"/>
              <w:rPr>
                <w:sz w:val="20"/>
                <w:szCs w:val="20"/>
                <w:color w:val="auto"/>
              </w:rPr>
            </w:pPr>
            <w:r>
              <w:rPr>
                <w:rFonts w:ascii="Arial" w:cs="Arial" w:eastAsia="Arial" w:hAnsi="Arial"/>
                <w:sz w:val="14"/>
                <w:szCs w:val="14"/>
                <w:color w:val="auto"/>
              </w:rPr>
              <w:t>results of operation.</w:t>
            </w:r>
          </w:p>
        </w:tc>
        <w:tc>
          <w:tcPr>
            <w:tcW w:w="0" w:type="dxa"/>
            <w:vAlign w:val="bottom"/>
          </w:tcPr>
          <w:p>
            <w:pPr>
              <w:spacing w:after="0"/>
              <w:rPr>
                <w:sz w:val="1"/>
                <w:szCs w:val="1"/>
                <w:color w:val="auto"/>
              </w:rPr>
            </w:pPr>
          </w:p>
        </w:tc>
      </w:tr>
      <w:tr>
        <w:trPr>
          <w:trHeight w:val="139"/>
        </w:trPr>
        <w:tc>
          <w:tcPr>
            <w:tcW w:w="6560" w:type="dxa"/>
            <w:vAlign w:val="bottom"/>
            <w:gridSpan w:val="2"/>
            <w:shd w:val="clear" w:color="auto" w:fill="F5F5F5"/>
          </w:tcPr>
          <w:p>
            <w:pPr>
              <w:ind w:left="20"/>
              <w:spacing w:after="0" w:line="139" w:lineRule="exact"/>
              <w:rPr>
                <w:sz w:val="20"/>
                <w:szCs w:val="20"/>
                <w:color w:val="auto"/>
              </w:rPr>
            </w:pPr>
            <w:r>
              <w:rPr>
                <w:rFonts w:ascii="Arial" w:cs="Arial" w:eastAsia="Arial" w:hAnsi="Arial"/>
                <w:sz w:val="14"/>
                <w:szCs w:val="14"/>
                <w:color w:val="auto"/>
              </w:rPr>
              <w:t>carrying amount of the asset group. In the circumstance of impairment, any loss would be measured</w:t>
            </w:r>
          </w:p>
        </w:tc>
        <w:tc>
          <w:tcPr>
            <w:tcW w:w="4680" w:type="dxa"/>
            <w:vAlign w:val="bottom"/>
            <w:shd w:val="clear" w:color="auto" w:fill="F5F5F5"/>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60" w:type="dxa"/>
            <w:vAlign w:val="bottom"/>
            <w:gridSpan w:val="2"/>
            <w:shd w:val="clear" w:color="auto" w:fill="F5F5F5"/>
          </w:tcPr>
          <w:p>
            <w:pPr>
              <w:ind w:left="20"/>
              <w:spacing w:after="0" w:line="149" w:lineRule="exact"/>
              <w:rPr>
                <w:sz w:val="20"/>
                <w:szCs w:val="20"/>
                <w:color w:val="auto"/>
              </w:rPr>
            </w:pPr>
            <w:r>
              <w:rPr>
                <w:rFonts w:ascii="Arial" w:cs="Arial" w:eastAsia="Arial" w:hAnsi="Arial"/>
                <w:sz w:val="14"/>
                <w:szCs w:val="14"/>
                <w:color w:val="auto"/>
              </w:rPr>
              <w:t>as the excess of the carrying amount of the asset group over its fair value. Fair value of the</w:t>
            </w:r>
          </w:p>
        </w:tc>
        <w:tc>
          <w:tcPr>
            <w:tcW w:w="4680" w:type="dxa"/>
            <w:vAlign w:val="bottom"/>
            <w:shd w:val="clear" w:color="auto" w:fill="F5F5F5"/>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560" w:type="dxa"/>
            <w:vAlign w:val="bottom"/>
            <w:gridSpan w:val="2"/>
            <w:shd w:val="clear" w:color="auto" w:fill="F5F5F5"/>
          </w:tcPr>
          <w:p>
            <w:pPr>
              <w:ind w:left="20"/>
              <w:spacing w:after="0" w:line="145" w:lineRule="exact"/>
              <w:rPr>
                <w:sz w:val="20"/>
                <w:szCs w:val="20"/>
                <w:color w:val="auto"/>
              </w:rPr>
            </w:pPr>
            <w:r>
              <w:rPr>
                <w:rFonts w:ascii="Arial" w:cs="Arial" w:eastAsia="Arial" w:hAnsi="Arial"/>
                <w:sz w:val="14"/>
                <w:szCs w:val="14"/>
                <w:color w:val="auto"/>
              </w:rPr>
              <w:t>Company’s store-related assets is determined at the individual store level based on the highest and</w:t>
            </w:r>
          </w:p>
        </w:tc>
        <w:tc>
          <w:tcPr>
            <w:tcW w:w="4680" w:type="dxa"/>
            <w:vAlign w:val="bottom"/>
            <w:shd w:val="clear" w:color="auto" w:fill="F5F5F5"/>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560" w:type="dxa"/>
            <w:vAlign w:val="bottom"/>
            <w:gridSpan w:val="2"/>
            <w:shd w:val="clear" w:color="auto" w:fill="F5F5F5"/>
          </w:tcPr>
          <w:p>
            <w:pPr>
              <w:ind w:left="20"/>
              <w:spacing w:after="0" w:line="139" w:lineRule="exact"/>
              <w:rPr>
                <w:sz w:val="20"/>
                <w:szCs w:val="20"/>
                <w:color w:val="auto"/>
              </w:rPr>
            </w:pPr>
            <w:r>
              <w:rPr>
                <w:rFonts w:ascii="Arial" w:cs="Arial" w:eastAsia="Arial" w:hAnsi="Arial"/>
                <w:sz w:val="14"/>
                <w:szCs w:val="14"/>
                <w:color w:val="auto"/>
              </w:rPr>
              <w:t>best use of the asset group. The key assumptions used in the Company’s fair value analysis is</w:t>
            </w:r>
          </w:p>
        </w:tc>
        <w:tc>
          <w:tcPr>
            <w:tcW w:w="4680" w:type="dxa"/>
            <w:vAlign w:val="bottom"/>
            <w:shd w:val="clear" w:color="auto" w:fill="F5F5F5"/>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620" w:type="dxa"/>
            <w:vAlign w:val="bottom"/>
            <w:shd w:val="clear" w:color="auto" w:fill="F5F5F5"/>
          </w:tcPr>
          <w:p>
            <w:pPr>
              <w:ind w:left="20"/>
              <w:spacing w:after="0"/>
              <w:rPr>
                <w:sz w:val="20"/>
                <w:szCs w:val="20"/>
                <w:color w:val="auto"/>
              </w:rPr>
            </w:pPr>
            <w:r>
              <w:rPr>
                <w:rFonts w:ascii="Arial" w:cs="Arial" w:eastAsia="Arial" w:hAnsi="Arial"/>
                <w:sz w:val="14"/>
                <w:szCs w:val="14"/>
                <w:color w:val="auto"/>
              </w:rPr>
              <w:t>comparable market rents.</w:t>
            </w:r>
          </w:p>
        </w:tc>
        <w:tc>
          <w:tcPr>
            <w:tcW w:w="1940" w:type="dxa"/>
            <w:vAlign w:val="bottom"/>
            <w:shd w:val="clear" w:color="auto" w:fill="F5F5F5"/>
          </w:tcPr>
          <w:p>
            <w:pPr>
              <w:spacing w:after="0"/>
              <w:rPr>
                <w:sz w:val="17"/>
                <w:szCs w:val="17"/>
                <w:color w:val="auto"/>
              </w:rPr>
            </w:pPr>
          </w:p>
        </w:tc>
        <w:tc>
          <w:tcPr>
            <w:tcW w:w="4680" w:type="dxa"/>
            <w:vAlign w:val="bottom"/>
            <w:shd w:val="clear" w:color="auto" w:fill="F5F5F5"/>
          </w:tcPr>
          <w:p>
            <w:pPr>
              <w:spacing w:after="0"/>
              <w:rPr>
                <w:sz w:val="17"/>
                <w:szCs w:val="17"/>
                <w:color w:val="auto"/>
              </w:rPr>
            </w:pPr>
          </w:p>
        </w:tc>
        <w:tc>
          <w:tcPr>
            <w:tcW w:w="0" w:type="dxa"/>
            <w:vAlign w:val="bottom"/>
          </w:tcPr>
          <w:p>
            <w:pPr>
              <w:spacing w:after="0"/>
              <w:rPr>
                <w:sz w:val="1"/>
                <w:szCs w:val="1"/>
                <w:color w:val="auto"/>
              </w:rPr>
            </w:pPr>
          </w:p>
        </w:tc>
      </w:tr>
      <w:tr>
        <w:trPr>
          <w:trHeight w:val="748"/>
        </w:trPr>
        <w:tc>
          <w:tcPr>
            <w:tcW w:w="4620" w:type="dxa"/>
            <w:vAlign w:val="bottom"/>
          </w:tcPr>
          <w:p>
            <w:pPr>
              <w:ind w:left="720"/>
              <w:spacing w:after="0"/>
              <w:rPr>
                <w:sz w:val="20"/>
                <w:szCs w:val="20"/>
                <w:color w:val="auto"/>
              </w:rPr>
            </w:pPr>
            <w:r>
              <w:rPr>
                <w:rFonts w:ascii="Arial" w:cs="Arial" w:eastAsia="Arial" w:hAnsi="Arial"/>
                <w:sz w:val="14"/>
                <w:szCs w:val="14"/>
                <w:color w:val="auto"/>
              </w:rPr>
              <w:t>Abercrombie &amp; Fitch Co.</w:t>
            </w:r>
          </w:p>
        </w:tc>
        <w:tc>
          <w:tcPr>
            <w:tcW w:w="1940" w:type="dxa"/>
            <w:vAlign w:val="bottom"/>
          </w:tcPr>
          <w:p>
            <w:pPr>
              <w:jc w:val="right"/>
              <w:ind w:right="788"/>
              <w:spacing w:after="0"/>
              <w:rPr>
                <w:sz w:val="20"/>
                <w:szCs w:val="20"/>
                <w:color w:val="auto"/>
              </w:rPr>
            </w:pPr>
            <w:r>
              <w:rPr>
                <w:rFonts w:ascii="Arial" w:cs="Arial" w:eastAsia="Arial" w:hAnsi="Arial"/>
                <w:sz w:val="14"/>
                <w:szCs w:val="14"/>
                <w:color w:val="auto"/>
              </w:rPr>
              <w:t>41</w:t>
            </w:r>
          </w:p>
        </w:tc>
        <w:tc>
          <w:tcPr>
            <w:tcW w:w="4680" w:type="dxa"/>
            <w:vAlign w:val="bottom"/>
          </w:tcPr>
          <w:p>
            <w:pPr>
              <w:ind w:left="2920"/>
              <w:spacing w:after="0"/>
              <w:rPr>
                <w:sz w:val="20"/>
                <w:szCs w:val="20"/>
                <w:color w:val="auto"/>
              </w:rPr>
            </w:pPr>
            <w:r>
              <w:rPr>
                <w:rFonts w:ascii="Arial" w:cs="Arial" w:eastAsia="Arial" w:hAnsi="Arial"/>
                <w:sz w:val="14"/>
                <w:szCs w:val="14"/>
                <w:color w:val="auto"/>
              </w:rPr>
              <w:t>2024 Form 10-K</w:t>
            </w:r>
          </w:p>
        </w:tc>
        <w:tc>
          <w:tcPr>
            <w:tcW w:w="0" w:type="dxa"/>
            <w:vAlign w:val="bottom"/>
          </w:tcPr>
          <w:p>
            <w:pPr>
              <w:spacing w:after="0"/>
              <w:rPr>
                <w:sz w:val="1"/>
                <w:szCs w:val="1"/>
                <w:color w:val="auto"/>
              </w:rPr>
            </w:pPr>
          </w:p>
        </w:tc>
      </w:tr>
      <w:tr>
        <w:trPr>
          <w:trHeight w:val="231"/>
        </w:trPr>
        <w:tc>
          <w:tcPr>
            <w:tcW w:w="4620" w:type="dxa"/>
            <w:vAlign w:val="bottom"/>
            <w:tcBorders>
              <w:bottom w:val="single" w:sz="8" w:color="9A9A9A"/>
            </w:tcBorders>
          </w:tcPr>
          <w:p>
            <w:pPr>
              <w:spacing w:after="0"/>
              <w:rPr>
                <w:sz w:val="20"/>
                <w:szCs w:val="20"/>
                <w:color w:val="auto"/>
              </w:rPr>
            </w:pPr>
          </w:p>
        </w:tc>
        <w:tc>
          <w:tcPr>
            <w:tcW w:w="1940" w:type="dxa"/>
            <w:vAlign w:val="bottom"/>
            <w:tcBorders>
              <w:bottom w:val="single" w:sz="8" w:color="9A9A9A"/>
            </w:tcBorders>
          </w:tcPr>
          <w:p>
            <w:pPr>
              <w:spacing w:after="0"/>
              <w:rPr>
                <w:sz w:val="20"/>
                <w:szCs w:val="20"/>
                <w:color w:val="auto"/>
              </w:rPr>
            </w:pPr>
          </w:p>
        </w:tc>
        <w:tc>
          <w:tcPr>
            <w:tcW w:w="468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b w:val="1"/>
          <w:bCs w:val="1"/>
          <w:color w:val="AC7E65"/>
        </w:rPr>
        <w:t>NON-GAAP FINANCIAL MEASURES</w:t>
      </w:r>
    </w:p>
    <w:p>
      <w:pPr>
        <w:spacing w:after="0" w:line="24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This Annual Report on Form 10-K includes discussion of certain financial measures on both a GAAP and a non-GAAP basis. The Company believes that each of the non-GAAP financial measures presented in this “</w:t>
      </w:r>
      <w:r>
        <w:rPr>
          <w:rFonts w:ascii="Arial" w:cs="Arial" w:eastAsia="Arial" w:hAnsi="Arial"/>
          <w:sz w:val="16"/>
          <w:szCs w:val="16"/>
          <w:i w:val="1"/>
          <w:iCs w:val="1"/>
          <w:u w:val="single" w:color="auto"/>
          <w:color w:val="0000FF"/>
        </w:rPr>
        <w:t>ITEM 7. MANAGEMENT’S DISCUSSION AND ANALYSIS OF FINANCIAL CONDITION AND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0000FF"/>
        </w:rPr>
        <w:t>RESULTS OF OPERATIONS</w:t>
      </w:r>
      <w:r>
        <w:rPr>
          <w:rFonts w:ascii="Arial" w:cs="Arial" w:eastAsia="Arial" w:hAnsi="Arial"/>
          <w:sz w:val="16"/>
          <w:szCs w:val="16"/>
          <w:color w:val="000000"/>
        </w:rPr>
        <w:t>” is useful to investors as it provides a meaningful basis to evaluate the Company’s operating performance excluding the effect</w:t>
      </w:r>
      <w:r>
        <w:rPr>
          <w:rFonts w:ascii="Arial" w:cs="Arial" w:eastAsia="Arial" w:hAnsi="Arial"/>
          <w:sz w:val="16"/>
          <w:szCs w:val="16"/>
          <w:i w:val="1"/>
          <w:iCs w:val="1"/>
          <w:color w:val="0000FF"/>
        </w:rPr>
        <w:t xml:space="preserve"> </w:t>
      </w:r>
      <w:r>
        <w:rPr>
          <w:rFonts w:ascii="Arial" w:cs="Arial" w:eastAsia="Arial" w:hAnsi="Arial"/>
          <w:sz w:val="16"/>
          <w:szCs w:val="16"/>
          <w:color w:val="000000"/>
        </w:rPr>
        <w:t>of certain items that the Company believes do not reflect its future operating outlook, such as certain asset impairment charges, therefore supplementing investors’ understanding of comparability of operations across periods. Management used these non-GAAP financial measures during the periods presented to assess the Company’s performance and to develop expectations for future operating performance. These non-GAAP financial measures should be used as a supplement to, and not as an alternative to, the Company’s GAAP financial results, and may not be calculated in the same manner as similar measures presented by other companies.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Comparable sales</w:t>
      </w:r>
    </w:p>
    <w:p>
      <w:pPr>
        <w:spacing w:after="0" w:line="26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At times, the Company provides comparable sales, defined as the year-over-year percentage change in the aggregate of (1) sales for stores that have been open as the same brand at least one year and whose square footage has not been expanded or reduced by more than 20% within the past year, with the prior fiscal year’s net sales converted at the current fiscal year’s foreign currency exchange rates to remove the impact of foreign currency exchange rate fluctuations, and (2) digital sales with the prior fiscal year’s net sales converted at the current fiscal year’s foreign currency exchange rates to remove the impact of foreign currency exchange rate fluctuations. Comparable sales exclude revenue other than store and digital sales. Management uses comparable sales to understand the drivers of year-over-year changes in net sales and believes comparable sales can be a useful metric as it can assist investors in distinguishing the portion of the Company’s revenue attributable to existing locations from the portion attributable to the opening or closing of stores. The most directly comparable GAAP financial measure is change in net sales.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Excluded Items</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financial measures are disclosed on a GAAP basis and on an adjusted non-GAAP basis excluding the following items, as applicable: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xml:space="preserve">Financial measures </w:t>
            </w:r>
            <w:r>
              <w:rPr>
                <w:rFonts w:ascii="Arial" w:cs="Arial" w:eastAsia="Arial" w:hAnsi="Arial"/>
                <w:sz w:val="18"/>
                <w:szCs w:val="18"/>
                <w:color w:val="auto"/>
                <w:vertAlign w:val="superscript"/>
              </w:rPr>
              <w:t>(1)</w:t>
            </w:r>
          </w:p>
        </w:tc>
        <w:tc>
          <w:tcPr>
            <w:tcW w:w="120" w:type="dxa"/>
            <w:vAlign w:val="bottom"/>
            <w:tcBorders>
              <w:bottom w:val="single" w:sz="8" w:color="F5F5F5"/>
            </w:tcBorders>
          </w:tcPr>
          <w:p>
            <w:pPr>
              <w:spacing w:after="0"/>
              <w:rPr>
                <w:sz w:val="17"/>
                <w:szCs w:val="17"/>
                <w:color w:val="auto"/>
              </w:rPr>
            </w:pP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Excluded items</w:t>
            </w:r>
          </w:p>
        </w:tc>
      </w:tr>
      <w:tr>
        <w:trPr>
          <w:trHeight w:val="196"/>
        </w:trPr>
        <w:tc>
          <w:tcPr>
            <w:tcW w:w="5640" w:type="dxa"/>
            <w:vAlign w:val="bottom"/>
            <w:gridSpan w:val="2"/>
            <w:shd w:val="clear" w:color="auto" w:fill="F5F5F5"/>
          </w:tcPr>
          <w:p>
            <w:pPr>
              <w:ind w:left="20"/>
              <w:spacing w:after="0"/>
              <w:rPr>
                <w:sz w:val="20"/>
                <w:szCs w:val="20"/>
                <w:color w:val="auto"/>
              </w:rPr>
            </w:pPr>
            <w:r>
              <w:rPr>
                <w:rFonts w:ascii="Arial" w:cs="Arial" w:eastAsia="Arial" w:hAnsi="Arial"/>
                <w:sz w:val="14"/>
                <w:szCs w:val="14"/>
                <w:color w:val="auto"/>
              </w:rPr>
              <w:t>Asset impairment</w:t>
            </w:r>
          </w:p>
        </w:tc>
        <w:tc>
          <w:tcPr>
            <w:tcW w:w="5280" w:type="dxa"/>
            <w:vAlign w:val="bottom"/>
            <w:shd w:val="clear" w:color="auto" w:fill="F5F5F5"/>
          </w:tcPr>
          <w:p>
            <w:pPr>
              <w:ind w:left="20"/>
              <w:spacing w:after="0"/>
              <w:rPr>
                <w:sz w:val="20"/>
                <w:szCs w:val="20"/>
                <w:color w:val="auto"/>
              </w:rPr>
            </w:pPr>
            <w:r>
              <w:rPr>
                <w:rFonts w:ascii="Arial" w:cs="Arial" w:eastAsia="Arial" w:hAnsi="Arial"/>
                <w:sz w:val="14"/>
                <w:szCs w:val="14"/>
                <w:color w:val="auto"/>
              </w:rPr>
              <w:t>Certain asset impairment charges</w:t>
            </w:r>
          </w:p>
        </w:tc>
      </w:tr>
      <w:tr>
        <w:trPr>
          <w:trHeight w:val="199"/>
        </w:trPr>
        <w:tc>
          <w:tcPr>
            <w:tcW w:w="5640" w:type="dxa"/>
            <w:vAlign w:val="bottom"/>
            <w:gridSpan w:val="2"/>
          </w:tcPr>
          <w:p>
            <w:pPr>
              <w:ind w:left="20"/>
              <w:spacing w:after="0"/>
              <w:rPr>
                <w:sz w:val="20"/>
                <w:szCs w:val="20"/>
                <w:color w:val="auto"/>
              </w:rPr>
            </w:pPr>
            <w:r>
              <w:rPr>
                <w:rFonts w:ascii="Arial" w:cs="Arial" w:eastAsia="Arial" w:hAnsi="Arial"/>
                <w:sz w:val="14"/>
                <w:szCs w:val="14"/>
                <w:color w:val="auto"/>
              </w:rPr>
              <w:t>Operating income</w:t>
            </w:r>
          </w:p>
        </w:tc>
        <w:tc>
          <w:tcPr>
            <w:tcW w:w="5280" w:type="dxa"/>
            <w:vAlign w:val="bottom"/>
          </w:tcPr>
          <w:p>
            <w:pPr>
              <w:ind w:left="20"/>
              <w:spacing w:after="0"/>
              <w:rPr>
                <w:sz w:val="20"/>
                <w:szCs w:val="20"/>
                <w:color w:val="auto"/>
              </w:rPr>
            </w:pPr>
            <w:r>
              <w:rPr>
                <w:rFonts w:ascii="Arial" w:cs="Arial" w:eastAsia="Arial" w:hAnsi="Arial"/>
                <w:sz w:val="14"/>
                <w:szCs w:val="14"/>
                <w:color w:val="auto"/>
              </w:rPr>
              <w:t>Certain asset impairment charges</w:t>
            </w:r>
          </w:p>
        </w:tc>
      </w:tr>
      <w:tr>
        <w:trPr>
          <w:trHeight w:val="206"/>
        </w:trPr>
        <w:tc>
          <w:tcPr>
            <w:tcW w:w="5640" w:type="dxa"/>
            <w:vAlign w:val="bottom"/>
            <w:gridSpan w:val="2"/>
            <w:shd w:val="clear" w:color="auto" w:fill="F5F5F5"/>
          </w:tcPr>
          <w:p>
            <w:pPr>
              <w:ind w:left="20"/>
              <w:spacing w:after="0"/>
              <w:rPr>
                <w:sz w:val="20"/>
                <w:szCs w:val="20"/>
                <w:color w:val="auto"/>
              </w:rPr>
            </w:pPr>
            <w:r>
              <w:rPr>
                <w:rFonts w:ascii="Arial" w:cs="Arial" w:eastAsia="Arial" w:hAnsi="Arial"/>
                <w:sz w:val="14"/>
                <w:szCs w:val="14"/>
                <w:color w:val="auto"/>
              </w:rPr>
              <w:t xml:space="preserve">Income tax expense </w:t>
            </w:r>
            <w:r>
              <w:rPr>
                <w:rFonts w:ascii="Arial" w:cs="Arial" w:eastAsia="Arial" w:hAnsi="Arial"/>
                <w:sz w:val="18"/>
                <w:szCs w:val="18"/>
                <w:color w:val="auto"/>
                <w:vertAlign w:val="superscript"/>
              </w:rPr>
              <w:t>(2)</w:t>
            </w:r>
          </w:p>
        </w:tc>
        <w:tc>
          <w:tcPr>
            <w:tcW w:w="5280" w:type="dxa"/>
            <w:vAlign w:val="bottom"/>
            <w:shd w:val="clear" w:color="auto" w:fill="F5F5F5"/>
          </w:tcPr>
          <w:p>
            <w:pPr>
              <w:ind w:left="20"/>
              <w:spacing w:after="0"/>
              <w:rPr>
                <w:sz w:val="20"/>
                <w:szCs w:val="20"/>
                <w:color w:val="auto"/>
              </w:rPr>
            </w:pPr>
            <w:r>
              <w:rPr>
                <w:rFonts w:ascii="Arial" w:cs="Arial" w:eastAsia="Arial" w:hAnsi="Arial"/>
                <w:sz w:val="14"/>
                <w:szCs w:val="14"/>
                <w:color w:val="auto"/>
              </w:rPr>
              <w:t>Tax effect of pre-tax excluded items</w:t>
            </w:r>
          </w:p>
        </w:tc>
      </w:tr>
      <w:tr>
        <w:trPr>
          <w:trHeight w:val="252"/>
        </w:trPr>
        <w:tc>
          <w:tcPr>
            <w:tcW w:w="5640" w:type="dxa"/>
            <w:vAlign w:val="bottom"/>
            <w:gridSpan w:val="2"/>
          </w:tcPr>
          <w:p>
            <w:pPr>
              <w:ind w:left="20"/>
              <w:spacing w:after="0"/>
              <w:rPr>
                <w:sz w:val="20"/>
                <w:szCs w:val="20"/>
                <w:color w:val="auto"/>
              </w:rPr>
            </w:pPr>
            <w:r>
              <w:rPr>
                <w:rFonts w:ascii="Arial" w:cs="Arial" w:eastAsia="Arial" w:hAnsi="Arial"/>
                <w:sz w:val="14"/>
                <w:szCs w:val="14"/>
                <w:color w:val="auto"/>
              </w:rPr>
              <w:t xml:space="preserve">Net income and net income per share attributable to A&amp;F </w:t>
            </w:r>
            <w:r>
              <w:rPr>
                <w:rFonts w:ascii="Arial" w:cs="Arial" w:eastAsia="Arial" w:hAnsi="Arial"/>
                <w:sz w:val="18"/>
                <w:szCs w:val="18"/>
                <w:color w:val="auto"/>
                <w:vertAlign w:val="superscript"/>
              </w:rPr>
              <w:t>(2)</w:t>
            </w:r>
          </w:p>
        </w:tc>
        <w:tc>
          <w:tcPr>
            <w:tcW w:w="5280" w:type="dxa"/>
            <w:vAlign w:val="bottom"/>
          </w:tcPr>
          <w:p>
            <w:pPr>
              <w:ind w:left="20"/>
              <w:spacing w:after="0"/>
              <w:rPr>
                <w:sz w:val="20"/>
                <w:szCs w:val="20"/>
                <w:color w:val="auto"/>
              </w:rPr>
            </w:pPr>
            <w:r>
              <w:rPr>
                <w:rFonts w:ascii="Arial" w:cs="Arial" w:eastAsia="Arial" w:hAnsi="Arial"/>
                <w:sz w:val="14"/>
                <w:szCs w:val="14"/>
                <w:color w:val="auto"/>
              </w:rPr>
              <w:t>Pre-tax excluded items and the tax effect of pre-tax excluded items</w:t>
            </w:r>
          </w:p>
        </w:tc>
      </w:tr>
    </w:tbl>
    <w:p>
      <w:pPr>
        <w:ind w:left="220" w:hanging="212"/>
        <w:spacing w:after="0" w:line="224" w:lineRule="auto"/>
        <w:tabs>
          <w:tab w:leader="none" w:pos="220" w:val="left"/>
        </w:tabs>
        <w:numPr>
          <w:ilvl w:val="0"/>
          <w:numId w:val="45"/>
        </w:numPr>
        <w:rPr>
          <w:rFonts w:ascii="Arial" w:cs="Arial" w:eastAsia="Arial" w:hAnsi="Arial"/>
          <w:sz w:val="18"/>
          <w:szCs w:val="18"/>
          <w:color w:val="auto"/>
          <w:vertAlign w:val="superscript"/>
        </w:rPr>
      </w:pPr>
      <w:r>
        <w:rPr>
          <w:rFonts w:ascii="Arial" w:cs="Arial" w:eastAsia="Arial" w:hAnsi="Arial"/>
          <w:sz w:val="13"/>
          <w:szCs w:val="13"/>
          <w:color w:val="auto"/>
        </w:rPr>
        <w:t>Certain of these financial measures are also expressed as a percentage of net sales.</w:t>
      </w:r>
    </w:p>
    <w:p>
      <w:pPr>
        <w:ind w:left="220" w:hanging="212"/>
        <w:spacing w:after="0" w:line="190" w:lineRule="auto"/>
        <w:tabs>
          <w:tab w:leader="none" w:pos="220" w:val="left"/>
        </w:tabs>
        <w:numPr>
          <w:ilvl w:val="0"/>
          <w:numId w:val="45"/>
        </w:numPr>
        <w:rPr>
          <w:rFonts w:ascii="Arial" w:cs="Arial" w:eastAsia="Arial" w:hAnsi="Arial"/>
          <w:sz w:val="18"/>
          <w:szCs w:val="18"/>
          <w:color w:val="auto"/>
          <w:vertAlign w:val="superscript"/>
        </w:rPr>
      </w:pPr>
      <w:r>
        <w:rPr>
          <w:rFonts w:ascii="Arial" w:cs="Arial" w:eastAsia="Arial" w:hAnsi="Arial"/>
          <w:sz w:val="13"/>
          <w:szCs w:val="13"/>
          <w:color w:val="auto"/>
        </w:rPr>
        <w:t>The tax effect of excluded items is the difference between the tax provision calculation on a GAAP basis and on an adjusted non-GAAP basis.</w:t>
      </w:r>
    </w:p>
    <w:p>
      <w:pPr>
        <w:spacing w:after="0" w:line="200" w:lineRule="exact"/>
        <w:rPr>
          <w:sz w:val="20"/>
          <w:szCs w:val="20"/>
          <w:color w:val="auto"/>
        </w:rPr>
      </w:pPr>
    </w:p>
    <w:p>
      <w:pPr>
        <w:spacing w:after="0" w:line="276"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42</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Financial Information on a Constant Currency Basis</w:t>
      </w:r>
    </w:p>
    <w:p>
      <w:pPr>
        <w:spacing w:after="0" w:line="24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provides certain financial information on a constant currency basis to enhance investors’ understanding of underlying business trends and operating performance by removing the impact of foreign currency exchange rate fluctuations. Management also uses financial information on a constant currency basis to award employee performance-based compensation. The effect from foreign currency exchange rates, calculated on a constant currency basis, is determined by applying the current period’s foreign currency exchange rates to the prior fiscal year’s results and is net of the year-over-year impact from hedging. The per diluted share effect from foreign currency exchange rates is calculated using a 26% effective tax rate.</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financial metrics on a constant currency basis to GAAP for Fiscal 2024 and Fiscal 2023 is as follows:</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6020" w:type="dxa"/>
            <w:vAlign w:val="bottom"/>
          </w:tcPr>
          <w:p>
            <w:pPr>
              <w:spacing w:after="0"/>
              <w:rPr>
                <w:sz w:val="20"/>
                <w:szCs w:val="20"/>
                <w:color w:val="auto"/>
              </w:rPr>
            </w:pPr>
            <w:r>
              <w:rPr>
                <w:rFonts w:ascii="Arial" w:cs="Arial" w:eastAsia="Arial" w:hAnsi="Arial"/>
                <w:sz w:val="14"/>
                <w:szCs w:val="14"/>
                <w:i w:val="1"/>
                <w:iCs w:val="1"/>
                <w:color w:val="auto"/>
              </w:rPr>
              <w:t>(in thousands, except change in net sales, operating margin and per share data)</w:t>
            </w:r>
          </w:p>
        </w:tc>
        <w:tc>
          <w:tcPr>
            <w:tcW w:w="5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10"/>
        </w:trPr>
        <w:tc>
          <w:tcPr>
            <w:tcW w:w="6020" w:type="dxa"/>
            <w:vAlign w:val="bottom"/>
            <w:tcBorders>
              <w:bottom w:val="single" w:sz="8" w:color="F5F5F5"/>
            </w:tcBorders>
          </w:tcPr>
          <w:p>
            <w:pPr>
              <w:spacing w:after="0"/>
              <w:rPr>
                <w:sz w:val="20"/>
                <w:szCs w:val="20"/>
                <w:color w:val="auto"/>
              </w:rPr>
            </w:pPr>
            <w:r>
              <w:rPr>
                <w:rFonts w:ascii="Arial" w:cs="Arial" w:eastAsia="Arial" w:hAnsi="Arial"/>
                <w:sz w:val="14"/>
                <w:szCs w:val="14"/>
                <w:b w:val="1"/>
                <w:bCs w:val="1"/>
                <w:color w:val="auto"/>
              </w:rPr>
              <w:t>Net sales</w:t>
            </w:r>
          </w:p>
        </w:tc>
        <w:tc>
          <w:tcPr>
            <w:tcW w:w="5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Fiscal 2024</w:t>
            </w:r>
          </w:p>
        </w:tc>
        <w:tc>
          <w:tcPr>
            <w:tcW w:w="100" w:type="dxa"/>
            <w:vAlign w:val="bottom"/>
            <w:tcBorders>
              <w:bottom w:val="single" w:sz="8" w:color="F5F5F5"/>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Fiscal 2023</w:t>
            </w:r>
          </w:p>
        </w:tc>
        <w:tc>
          <w:tcPr>
            <w:tcW w:w="100" w:type="dxa"/>
            <w:vAlign w:val="bottom"/>
            <w:tcBorders>
              <w:bottom w:val="single" w:sz="8" w:color="F5F5F5"/>
            </w:tcBorders>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 Change</w:t>
            </w:r>
          </w:p>
        </w:tc>
      </w:tr>
      <w:tr>
        <w:trPr>
          <w:trHeight w:val="197"/>
        </w:trPr>
        <w:tc>
          <w:tcPr>
            <w:tcW w:w="6020" w:type="dxa"/>
            <w:vAlign w:val="bottom"/>
            <w:shd w:val="clear" w:color="auto" w:fill="F5F5F5"/>
          </w:tcPr>
          <w:p>
            <w:pPr>
              <w:ind w:left="200"/>
              <w:spacing w:after="0"/>
              <w:rPr>
                <w:sz w:val="20"/>
                <w:szCs w:val="20"/>
                <w:color w:val="auto"/>
              </w:rPr>
            </w:pPr>
            <w:r>
              <w:rPr>
                <w:rFonts w:ascii="Arial" w:cs="Arial" w:eastAsia="Arial" w:hAnsi="Arial"/>
                <w:sz w:val="14"/>
                <w:szCs w:val="14"/>
                <w:color w:val="auto"/>
              </w:rPr>
              <w:t>GAAP</w:t>
            </w:r>
          </w:p>
        </w:tc>
        <w:tc>
          <w:tcPr>
            <w:tcW w:w="500" w:type="dxa"/>
            <w:vAlign w:val="bottom"/>
            <w:shd w:val="clear" w:color="auto" w:fill="F5F5F5"/>
          </w:tcPr>
          <w:p>
            <w:pPr>
              <w:jc w:val="right"/>
              <w:ind w:right="3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4,948,587</w:t>
            </w:r>
          </w:p>
        </w:tc>
        <w:tc>
          <w:tcPr>
            <w:tcW w:w="100" w:type="dxa"/>
            <w:vAlign w:val="bottom"/>
            <w:shd w:val="clear" w:color="auto" w:fill="F5F5F5"/>
          </w:tcPr>
          <w:p>
            <w:pPr>
              <w:spacing w:after="0"/>
              <w:rPr>
                <w:sz w:val="17"/>
                <w:szCs w:val="17"/>
                <w:color w:val="auto"/>
              </w:rPr>
            </w:pPr>
          </w:p>
        </w:tc>
        <w:tc>
          <w:tcPr>
            <w:tcW w:w="500" w:type="dxa"/>
            <w:vAlign w:val="bottom"/>
            <w:shd w:val="clear" w:color="auto" w:fill="F5F5F5"/>
          </w:tcPr>
          <w:p>
            <w:pPr>
              <w:jc w:val="right"/>
              <w:ind w:right="3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4,280,677</w:t>
            </w:r>
          </w:p>
        </w:tc>
        <w:tc>
          <w:tcPr>
            <w:tcW w:w="1740" w:type="dxa"/>
            <w:vAlign w:val="bottom"/>
            <w:gridSpan w:val="2"/>
            <w:shd w:val="clear" w:color="auto" w:fill="F5F5F5"/>
          </w:tcPr>
          <w:p>
            <w:pPr>
              <w:jc w:val="center"/>
              <w:ind w:left="28"/>
              <w:spacing w:after="0"/>
              <w:rPr>
                <w:sz w:val="20"/>
                <w:szCs w:val="20"/>
                <w:color w:val="auto"/>
              </w:rPr>
            </w:pPr>
            <w:r>
              <w:rPr>
                <w:rFonts w:ascii="Arial" w:cs="Arial" w:eastAsia="Arial" w:hAnsi="Arial"/>
                <w:sz w:val="14"/>
                <w:szCs w:val="14"/>
                <w:color w:val="auto"/>
                <w:w w:val="99"/>
              </w:rPr>
              <w:t>16%</w:t>
            </w:r>
          </w:p>
        </w:tc>
      </w:tr>
      <w:tr>
        <w:trPr>
          <w:trHeight w:val="198"/>
        </w:trPr>
        <w:tc>
          <w:tcPr>
            <w:tcW w:w="6020" w:type="dxa"/>
            <w:vAlign w:val="bottom"/>
          </w:tcPr>
          <w:p>
            <w:pPr>
              <w:ind w:left="200"/>
              <w:spacing w:after="0"/>
              <w:rPr>
                <w:sz w:val="20"/>
                <w:szCs w:val="20"/>
                <w:color w:val="auto"/>
              </w:rPr>
            </w:pPr>
            <w:r>
              <w:rPr>
                <w:rFonts w:ascii="Arial" w:cs="Arial" w:eastAsia="Arial" w:hAnsi="Arial"/>
                <w:sz w:val="14"/>
                <w:szCs w:val="14"/>
                <w:color w:val="auto"/>
              </w:rPr>
              <w:t>Impact from changes in foreign currency exchange rates</w:t>
            </w:r>
          </w:p>
        </w:tc>
        <w:tc>
          <w:tcPr>
            <w:tcW w:w="5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(3,769)</w:t>
            </w:r>
          </w:p>
        </w:tc>
        <w:tc>
          <w:tcPr>
            <w:tcW w:w="1740" w:type="dxa"/>
            <w:vAlign w:val="bottom"/>
            <w:gridSpan w:val="2"/>
          </w:tcPr>
          <w:p>
            <w:pPr>
              <w:jc w:val="center"/>
              <w:ind w:left="28"/>
              <w:spacing w:after="0"/>
              <w:rPr>
                <w:sz w:val="20"/>
                <w:szCs w:val="20"/>
                <w:color w:val="auto"/>
              </w:rPr>
            </w:pPr>
            <w:r>
              <w:rPr>
                <w:rFonts w:ascii="Arial" w:cs="Arial" w:eastAsia="Arial" w:hAnsi="Arial"/>
                <w:sz w:val="14"/>
                <w:szCs w:val="14"/>
                <w:color w:val="auto"/>
                <w:w w:val="98"/>
              </w:rPr>
              <w:t>0%</w:t>
            </w:r>
          </w:p>
        </w:tc>
      </w:tr>
      <w:tr>
        <w:trPr>
          <w:trHeight w:val="200"/>
        </w:trPr>
        <w:tc>
          <w:tcPr>
            <w:tcW w:w="6020" w:type="dxa"/>
            <w:vAlign w:val="bottom"/>
            <w:tcBorders>
              <w:top w:val="single" w:sz="8" w:color="F5F5F5"/>
            </w:tcBorders>
            <w:shd w:val="clear" w:color="auto" w:fill="F5F5F5"/>
          </w:tcPr>
          <w:p>
            <w:pPr>
              <w:ind w:left="200"/>
              <w:spacing w:after="0"/>
              <w:rPr>
                <w:sz w:val="20"/>
                <w:szCs w:val="20"/>
                <w:color w:val="auto"/>
              </w:rPr>
            </w:pPr>
            <w:r>
              <w:rPr>
                <w:rFonts w:ascii="Arial" w:cs="Arial" w:eastAsia="Arial" w:hAnsi="Arial"/>
                <w:sz w:val="14"/>
                <w:szCs w:val="14"/>
                <w:color w:val="auto"/>
              </w:rPr>
              <w:t>Net sales on a constant currency basis</w:t>
            </w:r>
          </w:p>
        </w:tc>
        <w:tc>
          <w:tcPr>
            <w:tcW w:w="500" w:type="dxa"/>
            <w:vAlign w:val="bottom"/>
            <w:tcBorders>
              <w:top w:val="single" w:sz="8" w:color="auto"/>
            </w:tcBorders>
            <w:shd w:val="clear" w:color="auto" w:fill="F5F5F5"/>
          </w:tcPr>
          <w:p>
            <w:pPr>
              <w:jc w:val="right"/>
              <w:ind w:right="32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4,948,587</w:t>
            </w:r>
          </w:p>
        </w:tc>
        <w:tc>
          <w:tcPr>
            <w:tcW w:w="100" w:type="dxa"/>
            <w:vAlign w:val="bottom"/>
            <w:tcBorders>
              <w:top w:val="single" w:sz="8" w:color="F5F5F5"/>
            </w:tcBorders>
            <w:shd w:val="clear" w:color="auto" w:fill="F5F5F5"/>
          </w:tcPr>
          <w:p>
            <w:pPr>
              <w:spacing w:after="0"/>
              <w:rPr>
                <w:sz w:val="17"/>
                <w:szCs w:val="17"/>
                <w:color w:val="auto"/>
              </w:rPr>
            </w:pPr>
          </w:p>
        </w:tc>
        <w:tc>
          <w:tcPr>
            <w:tcW w:w="500" w:type="dxa"/>
            <w:vAlign w:val="bottom"/>
            <w:tcBorders>
              <w:top w:val="single" w:sz="8" w:color="auto"/>
            </w:tcBorders>
            <w:shd w:val="clear" w:color="auto" w:fill="F5F5F5"/>
          </w:tcPr>
          <w:p>
            <w:pPr>
              <w:jc w:val="right"/>
              <w:ind w:right="32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4,276,908</w:t>
            </w:r>
          </w:p>
        </w:tc>
        <w:tc>
          <w:tcPr>
            <w:tcW w:w="1740" w:type="dxa"/>
            <w:vAlign w:val="bottom"/>
            <w:tcBorders>
              <w:top w:val="single" w:sz="8" w:color="F5F5F5"/>
            </w:tcBorders>
            <w:gridSpan w:val="2"/>
            <w:shd w:val="clear" w:color="auto" w:fill="F5F5F5"/>
          </w:tcPr>
          <w:p>
            <w:pPr>
              <w:jc w:val="center"/>
              <w:ind w:left="28"/>
              <w:spacing w:after="0"/>
              <w:rPr>
                <w:sz w:val="20"/>
                <w:szCs w:val="20"/>
                <w:color w:val="auto"/>
              </w:rPr>
            </w:pPr>
            <w:r>
              <w:rPr>
                <w:rFonts w:ascii="Arial" w:cs="Arial" w:eastAsia="Arial" w:hAnsi="Arial"/>
                <w:sz w:val="14"/>
                <w:szCs w:val="14"/>
                <w:color w:val="auto"/>
                <w:w w:val="99"/>
              </w:rPr>
              <w:t>16%</w:t>
            </w:r>
          </w:p>
        </w:tc>
      </w:tr>
      <w:tr>
        <w:trPr>
          <w:trHeight w:val="202"/>
        </w:trPr>
        <w:tc>
          <w:tcPr>
            <w:tcW w:w="6020" w:type="dxa"/>
            <w:vAlign w:val="bottom"/>
            <w:tcBorders>
              <w:bottom w:val="single" w:sz="8" w:color="F5F5F5"/>
            </w:tcBorders>
          </w:tcPr>
          <w:p>
            <w:pPr>
              <w:spacing w:after="0"/>
              <w:rPr>
                <w:sz w:val="20"/>
                <w:szCs w:val="20"/>
                <w:color w:val="auto"/>
              </w:rPr>
            </w:pPr>
            <w:r>
              <w:rPr>
                <w:rFonts w:ascii="Arial" w:cs="Arial" w:eastAsia="Arial" w:hAnsi="Arial"/>
                <w:sz w:val="14"/>
                <w:szCs w:val="14"/>
                <w:b w:val="1"/>
                <w:bCs w:val="1"/>
                <w:color w:val="auto"/>
              </w:rPr>
              <w:t>Operating income</w:t>
            </w:r>
          </w:p>
        </w:tc>
        <w:tc>
          <w:tcPr>
            <w:tcW w:w="5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Fiscal 2024</w:t>
            </w:r>
          </w:p>
        </w:tc>
        <w:tc>
          <w:tcPr>
            <w:tcW w:w="100" w:type="dxa"/>
            <w:vAlign w:val="bottom"/>
            <w:tcBorders>
              <w:bottom w:val="single" w:sz="8" w:color="F5F5F5"/>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Fiscal 2023</w:t>
            </w:r>
          </w:p>
        </w:tc>
        <w:tc>
          <w:tcPr>
            <w:tcW w:w="100" w:type="dxa"/>
            <w:vAlign w:val="bottom"/>
            <w:tcBorders>
              <w:bottom w:val="single" w:sz="8" w:color="F5F5F5"/>
            </w:tcBorders>
          </w:tcPr>
          <w:p>
            <w:pPr>
              <w:spacing w:after="0"/>
              <w:rPr>
                <w:sz w:val="17"/>
                <w:szCs w:val="17"/>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 xml:space="preserve">BPS Change </w:t>
            </w:r>
            <w:r>
              <w:rPr>
                <w:rFonts w:ascii="Arial" w:cs="Arial" w:eastAsia="Arial" w:hAnsi="Arial"/>
                <w:sz w:val="9"/>
                <w:szCs w:val="9"/>
                <w:color w:val="auto"/>
              </w:rPr>
              <w:t>(1)</w:t>
            </w:r>
          </w:p>
        </w:tc>
      </w:tr>
      <w:tr>
        <w:trPr>
          <w:trHeight w:val="197"/>
        </w:trPr>
        <w:tc>
          <w:tcPr>
            <w:tcW w:w="6020" w:type="dxa"/>
            <w:vAlign w:val="bottom"/>
            <w:shd w:val="clear" w:color="auto" w:fill="F5F5F5"/>
          </w:tcPr>
          <w:p>
            <w:pPr>
              <w:ind w:left="200"/>
              <w:spacing w:after="0"/>
              <w:rPr>
                <w:sz w:val="20"/>
                <w:szCs w:val="20"/>
                <w:color w:val="auto"/>
              </w:rPr>
            </w:pPr>
            <w:r>
              <w:rPr>
                <w:rFonts w:ascii="Arial" w:cs="Arial" w:eastAsia="Arial" w:hAnsi="Arial"/>
                <w:sz w:val="14"/>
                <w:szCs w:val="14"/>
                <w:color w:val="auto"/>
              </w:rPr>
              <w:t>GAAP</w:t>
            </w:r>
          </w:p>
        </w:tc>
        <w:tc>
          <w:tcPr>
            <w:tcW w:w="500" w:type="dxa"/>
            <w:vAlign w:val="bottom"/>
            <w:shd w:val="clear" w:color="auto" w:fill="F5F5F5"/>
          </w:tcPr>
          <w:p>
            <w:pPr>
              <w:jc w:val="right"/>
              <w:ind w:right="3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740,820</w:t>
            </w:r>
          </w:p>
        </w:tc>
        <w:tc>
          <w:tcPr>
            <w:tcW w:w="100" w:type="dxa"/>
            <w:vAlign w:val="bottom"/>
            <w:shd w:val="clear" w:color="auto" w:fill="F5F5F5"/>
          </w:tcPr>
          <w:p>
            <w:pPr>
              <w:spacing w:after="0"/>
              <w:rPr>
                <w:sz w:val="17"/>
                <w:szCs w:val="17"/>
                <w:color w:val="auto"/>
              </w:rPr>
            </w:pPr>
          </w:p>
        </w:tc>
        <w:tc>
          <w:tcPr>
            <w:tcW w:w="500" w:type="dxa"/>
            <w:vAlign w:val="bottom"/>
            <w:shd w:val="clear" w:color="auto" w:fill="F5F5F5"/>
          </w:tcPr>
          <w:p>
            <w:pPr>
              <w:jc w:val="right"/>
              <w:ind w:right="3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484,671</w:t>
            </w:r>
          </w:p>
        </w:tc>
        <w:tc>
          <w:tcPr>
            <w:tcW w:w="1740" w:type="dxa"/>
            <w:vAlign w:val="bottom"/>
            <w:gridSpan w:val="2"/>
            <w:shd w:val="clear" w:color="auto" w:fill="F5F5F5"/>
          </w:tcPr>
          <w:p>
            <w:pPr>
              <w:jc w:val="center"/>
              <w:ind w:left="28"/>
              <w:spacing w:after="0"/>
              <w:rPr>
                <w:sz w:val="20"/>
                <w:szCs w:val="20"/>
                <w:color w:val="auto"/>
              </w:rPr>
            </w:pPr>
            <w:r>
              <w:rPr>
                <w:rFonts w:ascii="Arial" w:cs="Arial" w:eastAsia="Arial" w:hAnsi="Arial"/>
                <w:sz w:val="14"/>
                <w:szCs w:val="14"/>
                <w:color w:val="auto"/>
              </w:rPr>
              <w:t>370</w:t>
            </w:r>
          </w:p>
        </w:tc>
      </w:tr>
      <w:tr>
        <w:trPr>
          <w:trHeight w:val="198"/>
        </w:trPr>
        <w:tc>
          <w:tcPr>
            <w:tcW w:w="6020" w:type="dxa"/>
            <w:vAlign w:val="bottom"/>
          </w:tcPr>
          <w:p>
            <w:pPr>
              <w:ind w:left="200"/>
              <w:spacing w:after="0"/>
              <w:rPr>
                <w:sz w:val="20"/>
                <w:szCs w:val="20"/>
                <w:color w:val="auto"/>
              </w:rPr>
            </w:pPr>
            <w:r>
              <w:rPr>
                <w:rFonts w:ascii="Arial" w:cs="Arial" w:eastAsia="Arial" w:hAnsi="Arial"/>
                <w:sz w:val="14"/>
                <w:szCs w:val="14"/>
                <w:color w:val="auto"/>
              </w:rPr>
              <w:t xml:space="preserve">Excluded items </w:t>
            </w:r>
            <w:r>
              <w:rPr>
                <w:rFonts w:ascii="Arial" w:cs="Arial" w:eastAsia="Arial" w:hAnsi="Arial"/>
                <w:sz w:val="9"/>
                <w:szCs w:val="9"/>
                <w:color w:val="auto"/>
              </w:rPr>
              <w:t>(2)</w:t>
            </w:r>
          </w:p>
        </w:tc>
        <w:tc>
          <w:tcPr>
            <w:tcW w:w="5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4,436</w:t>
            </w:r>
          </w:p>
        </w:tc>
        <w:tc>
          <w:tcPr>
            <w:tcW w:w="1740" w:type="dxa"/>
            <w:vAlign w:val="bottom"/>
            <w:gridSpan w:val="2"/>
          </w:tcPr>
          <w:p>
            <w:pPr>
              <w:jc w:val="center"/>
              <w:ind w:left="8"/>
              <w:spacing w:after="0"/>
              <w:rPr>
                <w:sz w:val="20"/>
                <w:szCs w:val="20"/>
                <w:color w:val="auto"/>
              </w:rPr>
            </w:pPr>
            <w:r>
              <w:rPr>
                <w:rFonts w:ascii="Arial" w:cs="Arial" w:eastAsia="Arial" w:hAnsi="Arial"/>
                <w:sz w:val="14"/>
                <w:szCs w:val="14"/>
                <w:color w:val="auto"/>
              </w:rPr>
              <w:t>(10)</w:t>
            </w:r>
          </w:p>
        </w:tc>
      </w:tr>
      <w:tr>
        <w:trPr>
          <w:trHeight w:val="200"/>
        </w:trPr>
        <w:tc>
          <w:tcPr>
            <w:tcW w:w="6020" w:type="dxa"/>
            <w:vAlign w:val="bottom"/>
            <w:tcBorders>
              <w:top w:val="single" w:sz="8" w:color="F5F5F5"/>
            </w:tcBorders>
            <w:shd w:val="clear" w:color="auto" w:fill="F5F5F5"/>
          </w:tcPr>
          <w:p>
            <w:pPr>
              <w:ind w:left="200"/>
              <w:spacing w:after="0"/>
              <w:rPr>
                <w:sz w:val="20"/>
                <w:szCs w:val="20"/>
                <w:color w:val="auto"/>
              </w:rPr>
            </w:pPr>
            <w:r>
              <w:rPr>
                <w:rFonts w:ascii="Arial" w:cs="Arial" w:eastAsia="Arial" w:hAnsi="Arial"/>
                <w:sz w:val="14"/>
                <w:szCs w:val="14"/>
                <w:color w:val="auto"/>
              </w:rPr>
              <w:t>Adjusted non-GAAP</w:t>
            </w:r>
          </w:p>
        </w:tc>
        <w:tc>
          <w:tcPr>
            <w:tcW w:w="500" w:type="dxa"/>
            <w:vAlign w:val="bottom"/>
            <w:tcBorders>
              <w:top w:val="single" w:sz="8" w:color="auto"/>
            </w:tcBorders>
            <w:shd w:val="clear" w:color="auto" w:fill="F5F5F5"/>
          </w:tcPr>
          <w:p>
            <w:pPr>
              <w:jc w:val="right"/>
              <w:ind w:right="32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740,820</w:t>
            </w:r>
          </w:p>
        </w:tc>
        <w:tc>
          <w:tcPr>
            <w:tcW w:w="100" w:type="dxa"/>
            <w:vAlign w:val="bottom"/>
            <w:tcBorders>
              <w:top w:val="single" w:sz="8" w:color="F5F5F5"/>
            </w:tcBorders>
            <w:shd w:val="clear" w:color="auto" w:fill="F5F5F5"/>
          </w:tcPr>
          <w:p>
            <w:pPr>
              <w:spacing w:after="0"/>
              <w:rPr>
                <w:sz w:val="17"/>
                <w:szCs w:val="17"/>
                <w:color w:val="auto"/>
              </w:rPr>
            </w:pPr>
          </w:p>
        </w:tc>
        <w:tc>
          <w:tcPr>
            <w:tcW w:w="500" w:type="dxa"/>
            <w:vAlign w:val="bottom"/>
            <w:tcBorders>
              <w:top w:val="single" w:sz="8" w:color="auto"/>
            </w:tcBorders>
            <w:shd w:val="clear" w:color="auto" w:fill="F5F5F5"/>
          </w:tcPr>
          <w:p>
            <w:pPr>
              <w:jc w:val="right"/>
              <w:ind w:right="32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489,107</w:t>
            </w:r>
          </w:p>
        </w:tc>
        <w:tc>
          <w:tcPr>
            <w:tcW w:w="1740" w:type="dxa"/>
            <w:vAlign w:val="bottom"/>
            <w:tcBorders>
              <w:top w:val="single" w:sz="8" w:color="F5F5F5"/>
            </w:tcBorders>
            <w:gridSpan w:val="2"/>
            <w:shd w:val="clear" w:color="auto" w:fill="F5F5F5"/>
          </w:tcPr>
          <w:p>
            <w:pPr>
              <w:jc w:val="center"/>
              <w:ind w:left="28"/>
              <w:spacing w:after="0"/>
              <w:rPr>
                <w:sz w:val="20"/>
                <w:szCs w:val="20"/>
                <w:color w:val="auto"/>
              </w:rPr>
            </w:pPr>
            <w:r>
              <w:rPr>
                <w:rFonts w:ascii="Arial" w:cs="Arial" w:eastAsia="Arial" w:hAnsi="Arial"/>
                <w:sz w:val="14"/>
                <w:szCs w:val="14"/>
                <w:color w:val="auto"/>
              </w:rPr>
              <w:t>360</w:t>
            </w:r>
          </w:p>
        </w:tc>
      </w:tr>
      <w:tr>
        <w:trPr>
          <w:trHeight w:val="198"/>
        </w:trPr>
        <w:tc>
          <w:tcPr>
            <w:tcW w:w="6020" w:type="dxa"/>
            <w:vAlign w:val="bottom"/>
          </w:tcPr>
          <w:p>
            <w:pPr>
              <w:ind w:left="200"/>
              <w:spacing w:after="0"/>
              <w:rPr>
                <w:sz w:val="20"/>
                <w:szCs w:val="20"/>
                <w:color w:val="auto"/>
              </w:rPr>
            </w:pPr>
            <w:r>
              <w:rPr>
                <w:rFonts w:ascii="Arial" w:cs="Arial" w:eastAsia="Arial" w:hAnsi="Arial"/>
                <w:sz w:val="14"/>
                <w:szCs w:val="14"/>
                <w:color w:val="auto"/>
              </w:rPr>
              <w:t>Impact from changes in foreign currency exchange rates</w:t>
            </w:r>
          </w:p>
        </w:tc>
        <w:tc>
          <w:tcPr>
            <w:tcW w:w="5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2,955</w:t>
            </w:r>
          </w:p>
        </w:tc>
        <w:tc>
          <w:tcPr>
            <w:tcW w:w="1740" w:type="dxa"/>
            <w:vAlign w:val="bottom"/>
            <w:gridSpan w:val="2"/>
          </w:tcPr>
          <w:p>
            <w:pPr>
              <w:jc w:val="center"/>
              <w:ind w:left="8"/>
              <w:spacing w:after="0"/>
              <w:rPr>
                <w:sz w:val="20"/>
                <w:szCs w:val="20"/>
                <w:color w:val="auto"/>
              </w:rPr>
            </w:pPr>
            <w:r>
              <w:rPr>
                <w:rFonts w:ascii="Arial" w:cs="Arial" w:eastAsia="Arial" w:hAnsi="Arial"/>
                <w:sz w:val="14"/>
                <w:szCs w:val="14"/>
                <w:color w:val="auto"/>
              </w:rPr>
              <w:t>(10)</w:t>
            </w:r>
          </w:p>
        </w:tc>
      </w:tr>
      <w:tr>
        <w:trPr>
          <w:trHeight w:val="200"/>
        </w:trPr>
        <w:tc>
          <w:tcPr>
            <w:tcW w:w="6020" w:type="dxa"/>
            <w:vAlign w:val="bottom"/>
            <w:tcBorders>
              <w:top w:val="single" w:sz="8" w:color="F5F5F5"/>
            </w:tcBorders>
            <w:shd w:val="clear" w:color="auto" w:fill="F5F5F5"/>
          </w:tcPr>
          <w:p>
            <w:pPr>
              <w:ind w:left="200"/>
              <w:spacing w:after="0"/>
              <w:rPr>
                <w:sz w:val="20"/>
                <w:szCs w:val="20"/>
                <w:color w:val="auto"/>
              </w:rPr>
            </w:pPr>
            <w:r>
              <w:rPr>
                <w:rFonts w:ascii="Arial" w:cs="Arial" w:eastAsia="Arial" w:hAnsi="Arial"/>
                <w:sz w:val="14"/>
                <w:szCs w:val="14"/>
                <w:color w:val="auto"/>
              </w:rPr>
              <w:t>Adjusted non-GAAP on a constant currency basis</w:t>
            </w:r>
          </w:p>
        </w:tc>
        <w:tc>
          <w:tcPr>
            <w:tcW w:w="500" w:type="dxa"/>
            <w:vAlign w:val="bottom"/>
            <w:tcBorders>
              <w:top w:val="single" w:sz="8" w:color="auto"/>
            </w:tcBorders>
            <w:shd w:val="clear" w:color="auto" w:fill="F5F5F5"/>
          </w:tcPr>
          <w:p>
            <w:pPr>
              <w:jc w:val="right"/>
              <w:ind w:right="32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740,820</w:t>
            </w:r>
          </w:p>
        </w:tc>
        <w:tc>
          <w:tcPr>
            <w:tcW w:w="100" w:type="dxa"/>
            <w:vAlign w:val="bottom"/>
            <w:tcBorders>
              <w:top w:val="single" w:sz="8" w:color="F5F5F5"/>
            </w:tcBorders>
            <w:shd w:val="clear" w:color="auto" w:fill="F5F5F5"/>
          </w:tcPr>
          <w:p>
            <w:pPr>
              <w:spacing w:after="0"/>
              <w:rPr>
                <w:sz w:val="17"/>
                <w:szCs w:val="17"/>
                <w:color w:val="auto"/>
              </w:rPr>
            </w:pPr>
          </w:p>
        </w:tc>
        <w:tc>
          <w:tcPr>
            <w:tcW w:w="500" w:type="dxa"/>
            <w:vAlign w:val="bottom"/>
            <w:tcBorders>
              <w:top w:val="single" w:sz="8" w:color="auto"/>
            </w:tcBorders>
            <w:shd w:val="clear" w:color="auto" w:fill="F5F5F5"/>
          </w:tcPr>
          <w:p>
            <w:pPr>
              <w:jc w:val="right"/>
              <w:ind w:right="32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492,062</w:t>
            </w:r>
          </w:p>
        </w:tc>
        <w:tc>
          <w:tcPr>
            <w:tcW w:w="1740" w:type="dxa"/>
            <w:vAlign w:val="bottom"/>
            <w:tcBorders>
              <w:top w:val="single" w:sz="8" w:color="F5F5F5"/>
            </w:tcBorders>
            <w:gridSpan w:val="2"/>
            <w:shd w:val="clear" w:color="auto" w:fill="F5F5F5"/>
          </w:tcPr>
          <w:p>
            <w:pPr>
              <w:jc w:val="center"/>
              <w:ind w:left="28"/>
              <w:spacing w:after="0"/>
              <w:rPr>
                <w:sz w:val="20"/>
                <w:szCs w:val="20"/>
                <w:color w:val="auto"/>
              </w:rPr>
            </w:pPr>
            <w:r>
              <w:rPr>
                <w:rFonts w:ascii="Arial" w:cs="Arial" w:eastAsia="Arial" w:hAnsi="Arial"/>
                <w:sz w:val="14"/>
                <w:szCs w:val="14"/>
                <w:color w:val="auto"/>
              </w:rPr>
              <w:t>350</w:t>
            </w:r>
          </w:p>
        </w:tc>
      </w:tr>
      <w:tr>
        <w:trPr>
          <w:trHeight w:val="202"/>
        </w:trPr>
        <w:tc>
          <w:tcPr>
            <w:tcW w:w="6020" w:type="dxa"/>
            <w:vAlign w:val="bottom"/>
            <w:tcBorders>
              <w:bottom w:val="single" w:sz="8" w:color="F5F5F5"/>
            </w:tcBorders>
          </w:tcPr>
          <w:p>
            <w:pPr>
              <w:spacing w:after="0"/>
              <w:rPr>
                <w:sz w:val="20"/>
                <w:szCs w:val="20"/>
                <w:color w:val="auto"/>
              </w:rPr>
            </w:pPr>
            <w:r>
              <w:rPr>
                <w:rFonts w:ascii="Arial" w:cs="Arial" w:eastAsia="Arial" w:hAnsi="Arial"/>
                <w:sz w:val="14"/>
                <w:szCs w:val="14"/>
                <w:b w:val="1"/>
                <w:bCs w:val="1"/>
                <w:color w:val="auto"/>
              </w:rPr>
              <w:t>Net income per diluted share attributable to A&amp;F</w:t>
            </w:r>
          </w:p>
        </w:tc>
        <w:tc>
          <w:tcPr>
            <w:tcW w:w="5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Fiscal 2024</w:t>
            </w:r>
          </w:p>
        </w:tc>
        <w:tc>
          <w:tcPr>
            <w:tcW w:w="100" w:type="dxa"/>
            <w:vAlign w:val="bottom"/>
            <w:tcBorders>
              <w:bottom w:val="single" w:sz="8" w:color="F5F5F5"/>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Fiscal 2023</w:t>
            </w:r>
          </w:p>
        </w:tc>
        <w:tc>
          <w:tcPr>
            <w:tcW w:w="100" w:type="dxa"/>
            <w:vAlign w:val="bottom"/>
            <w:tcBorders>
              <w:bottom w:val="single" w:sz="8" w:color="F5F5F5"/>
            </w:tcBorders>
          </w:tcPr>
          <w:p>
            <w:pPr>
              <w:spacing w:after="0"/>
              <w:rPr>
                <w:sz w:val="17"/>
                <w:szCs w:val="17"/>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 Change</w:t>
            </w:r>
          </w:p>
        </w:tc>
      </w:tr>
      <w:tr>
        <w:trPr>
          <w:trHeight w:val="197"/>
        </w:trPr>
        <w:tc>
          <w:tcPr>
            <w:tcW w:w="6020" w:type="dxa"/>
            <w:vAlign w:val="bottom"/>
            <w:shd w:val="clear" w:color="auto" w:fill="F5F5F5"/>
          </w:tcPr>
          <w:p>
            <w:pPr>
              <w:ind w:left="200"/>
              <w:spacing w:after="0"/>
              <w:rPr>
                <w:sz w:val="20"/>
                <w:szCs w:val="20"/>
                <w:color w:val="auto"/>
              </w:rPr>
            </w:pPr>
            <w:r>
              <w:rPr>
                <w:rFonts w:ascii="Arial" w:cs="Arial" w:eastAsia="Arial" w:hAnsi="Arial"/>
                <w:sz w:val="14"/>
                <w:szCs w:val="14"/>
                <w:color w:val="auto"/>
              </w:rPr>
              <w:t>GAAP</w:t>
            </w:r>
          </w:p>
        </w:tc>
        <w:tc>
          <w:tcPr>
            <w:tcW w:w="500" w:type="dxa"/>
            <w:vAlign w:val="bottom"/>
            <w:shd w:val="clear" w:color="auto" w:fill="F5F5F5"/>
          </w:tcPr>
          <w:p>
            <w:pPr>
              <w:jc w:val="right"/>
              <w:ind w:right="3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10.69</w:t>
            </w:r>
          </w:p>
        </w:tc>
        <w:tc>
          <w:tcPr>
            <w:tcW w:w="100" w:type="dxa"/>
            <w:vAlign w:val="bottom"/>
            <w:shd w:val="clear" w:color="auto" w:fill="F5F5F5"/>
          </w:tcPr>
          <w:p>
            <w:pPr>
              <w:spacing w:after="0"/>
              <w:rPr>
                <w:sz w:val="17"/>
                <w:szCs w:val="17"/>
                <w:color w:val="auto"/>
              </w:rPr>
            </w:pPr>
          </w:p>
        </w:tc>
        <w:tc>
          <w:tcPr>
            <w:tcW w:w="500" w:type="dxa"/>
            <w:vAlign w:val="bottom"/>
            <w:shd w:val="clear" w:color="auto" w:fill="F5F5F5"/>
          </w:tcPr>
          <w:p>
            <w:pPr>
              <w:jc w:val="right"/>
              <w:ind w:right="3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6.22</w:t>
            </w:r>
          </w:p>
        </w:tc>
        <w:tc>
          <w:tcPr>
            <w:tcW w:w="1740" w:type="dxa"/>
            <w:vAlign w:val="bottom"/>
            <w:gridSpan w:val="2"/>
            <w:shd w:val="clear" w:color="auto" w:fill="F5F5F5"/>
          </w:tcPr>
          <w:p>
            <w:pPr>
              <w:jc w:val="center"/>
              <w:ind w:left="28"/>
              <w:spacing w:after="0"/>
              <w:rPr>
                <w:sz w:val="20"/>
                <w:szCs w:val="20"/>
                <w:color w:val="auto"/>
              </w:rPr>
            </w:pPr>
            <w:r>
              <w:rPr>
                <w:rFonts w:ascii="Arial" w:cs="Arial" w:eastAsia="Arial" w:hAnsi="Arial"/>
                <w:sz w:val="14"/>
                <w:szCs w:val="14"/>
                <w:color w:val="auto"/>
              </w:rPr>
              <w:t>$4.47</w:t>
            </w:r>
          </w:p>
        </w:tc>
      </w:tr>
      <w:tr>
        <w:trPr>
          <w:trHeight w:val="198"/>
        </w:trPr>
        <w:tc>
          <w:tcPr>
            <w:tcW w:w="6020" w:type="dxa"/>
            <w:vAlign w:val="bottom"/>
          </w:tcPr>
          <w:p>
            <w:pPr>
              <w:ind w:left="200"/>
              <w:spacing w:after="0"/>
              <w:rPr>
                <w:sz w:val="20"/>
                <w:szCs w:val="20"/>
                <w:color w:val="auto"/>
              </w:rPr>
            </w:pPr>
            <w:r>
              <w:rPr>
                <w:rFonts w:ascii="Arial" w:cs="Arial" w:eastAsia="Arial" w:hAnsi="Arial"/>
                <w:sz w:val="14"/>
                <w:szCs w:val="14"/>
                <w:color w:val="auto"/>
              </w:rPr>
              <w:t xml:space="preserve">Excluded items, net of tax </w:t>
            </w:r>
            <w:r>
              <w:rPr>
                <w:rFonts w:ascii="Arial" w:cs="Arial" w:eastAsia="Arial" w:hAnsi="Arial"/>
                <w:sz w:val="9"/>
                <w:szCs w:val="9"/>
                <w:color w:val="auto"/>
              </w:rPr>
              <w:t>(2)</w:t>
            </w:r>
          </w:p>
        </w:tc>
        <w:tc>
          <w:tcPr>
            <w:tcW w:w="5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0.06</w:t>
            </w:r>
          </w:p>
        </w:tc>
        <w:tc>
          <w:tcPr>
            <w:tcW w:w="1740" w:type="dxa"/>
            <w:vAlign w:val="bottom"/>
            <w:gridSpan w:val="2"/>
          </w:tcPr>
          <w:p>
            <w:pPr>
              <w:jc w:val="center"/>
              <w:ind w:left="28"/>
              <w:spacing w:after="0"/>
              <w:rPr>
                <w:sz w:val="20"/>
                <w:szCs w:val="20"/>
                <w:color w:val="auto"/>
              </w:rPr>
            </w:pPr>
            <w:r>
              <w:rPr>
                <w:rFonts w:ascii="Arial" w:cs="Arial" w:eastAsia="Arial" w:hAnsi="Arial"/>
                <w:sz w:val="14"/>
                <w:szCs w:val="14"/>
                <w:color w:val="auto"/>
              </w:rPr>
              <w:t>0.06</w:t>
            </w:r>
          </w:p>
        </w:tc>
      </w:tr>
      <w:tr>
        <w:trPr>
          <w:trHeight w:val="200"/>
        </w:trPr>
        <w:tc>
          <w:tcPr>
            <w:tcW w:w="6020" w:type="dxa"/>
            <w:vAlign w:val="bottom"/>
            <w:tcBorders>
              <w:top w:val="single" w:sz="8" w:color="F5F5F5"/>
            </w:tcBorders>
            <w:shd w:val="clear" w:color="auto" w:fill="F5F5F5"/>
          </w:tcPr>
          <w:p>
            <w:pPr>
              <w:ind w:left="200"/>
              <w:spacing w:after="0"/>
              <w:rPr>
                <w:sz w:val="20"/>
                <w:szCs w:val="20"/>
                <w:color w:val="auto"/>
              </w:rPr>
            </w:pPr>
            <w:r>
              <w:rPr>
                <w:rFonts w:ascii="Arial" w:cs="Arial" w:eastAsia="Arial" w:hAnsi="Arial"/>
                <w:sz w:val="14"/>
                <w:szCs w:val="14"/>
                <w:color w:val="auto"/>
              </w:rPr>
              <w:t>Adjusted non-GAAP</w:t>
            </w:r>
          </w:p>
        </w:tc>
        <w:tc>
          <w:tcPr>
            <w:tcW w:w="500" w:type="dxa"/>
            <w:vAlign w:val="bottom"/>
            <w:tcBorders>
              <w:top w:val="single" w:sz="8" w:color="auto"/>
            </w:tcBorders>
            <w:shd w:val="clear" w:color="auto" w:fill="F5F5F5"/>
          </w:tcPr>
          <w:p>
            <w:pPr>
              <w:jc w:val="right"/>
              <w:ind w:right="32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10.69</w:t>
            </w:r>
          </w:p>
        </w:tc>
        <w:tc>
          <w:tcPr>
            <w:tcW w:w="100" w:type="dxa"/>
            <w:vAlign w:val="bottom"/>
            <w:tcBorders>
              <w:top w:val="single" w:sz="8" w:color="F5F5F5"/>
            </w:tcBorders>
            <w:shd w:val="clear" w:color="auto" w:fill="F5F5F5"/>
          </w:tcPr>
          <w:p>
            <w:pPr>
              <w:spacing w:after="0"/>
              <w:rPr>
                <w:sz w:val="17"/>
                <w:szCs w:val="17"/>
                <w:color w:val="auto"/>
              </w:rPr>
            </w:pPr>
          </w:p>
        </w:tc>
        <w:tc>
          <w:tcPr>
            <w:tcW w:w="500" w:type="dxa"/>
            <w:vAlign w:val="bottom"/>
            <w:tcBorders>
              <w:top w:val="single" w:sz="8" w:color="auto"/>
            </w:tcBorders>
            <w:shd w:val="clear" w:color="auto" w:fill="F5F5F5"/>
          </w:tcPr>
          <w:p>
            <w:pPr>
              <w:jc w:val="right"/>
              <w:ind w:right="32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6.28</w:t>
            </w:r>
          </w:p>
        </w:tc>
        <w:tc>
          <w:tcPr>
            <w:tcW w:w="1740" w:type="dxa"/>
            <w:vAlign w:val="bottom"/>
            <w:tcBorders>
              <w:top w:val="single" w:sz="8" w:color="F5F5F5"/>
            </w:tcBorders>
            <w:gridSpan w:val="2"/>
            <w:shd w:val="clear" w:color="auto" w:fill="F5F5F5"/>
          </w:tcPr>
          <w:p>
            <w:pPr>
              <w:jc w:val="center"/>
              <w:ind w:left="28"/>
              <w:spacing w:after="0"/>
              <w:rPr>
                <w:sz w:val="20"/>
                <w:szCs w:val="20"/>
                <w:color w:val="auto"/>
              </w:rPr>
            </w:pPr>
            <w:r>
              <w:rPr>
                <w:rFonts w:ascii="Arial" w:cs="Arial" w:eastAsia="Arial" w:hAnsi="Arial"/>
                <w:sz w:val="14"/>
                <w:szCs w:val="14"/>
                <w:color w:val="auto"/>
              </w:rPr>
              <w:t>$4.41</w:t>
            </w:r>
          </w:p>
        </w:tc>
      </w:tr>
      <w:tr>
        <w:trPr>
          <w:trHeight w:val="198"/>
        </w:trPr>
        <w:tc>
          <w:tcPr>
            <w:tcW w:w="6020" w:type="dxa"/>
            <w:vAlign w:val="bottom"/>
          </w:tcPr>
          <w:p>
            <w:pPr>
              <w:ind w:left="200"/>
              <w:spacing w:after="0"/>
              <w:rPr>
                <w:sz w:val="20"/>
                <w:szCs w:val="20"/>
                <w:color w:val="auto"/>
              </w:rPr>
            </w:pPr>
            <w:r>
              <w:rPr>
                <w:rFonts w:ascii="Arial" w:cs="Arial" w:eastAsia="Arial" w:hAnsi="Arial"/>
                <w:sz w:val="14"/>
                <w:szCs w:val="14"/>
                <w:color w:val="auto"/>
              </w:rPr>
              <w:t>Impact from changes in foreign currency exchange rates</w:t>
            </w:r>
          </w:p>
        </w:tc>
        <w:tc>
          <w:tcPr>
            <w:tcW w:w="5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0.05</w:t>
            </w:r>
          </w:p>
        </w:tc>
        <w:tc>
          <w:tcPr>
            <w:tcW w:w="1740" w:type="dxa"/>
            <w:vAlign w:val="bottom"/>
            <w:gridSpan w:val="2"/>
          </w:tcPr>
          <w:p>
            <w:pPr>
              <w:jc w:val="center"/>
              <w:ind w:left="8"/>
              <w:spacing w:after="0"/>
              <w:rPr>
                <w:sz w:val="20"/>
                <w:szCs w:val="20"/>
                <w:color w:val="auto"/>
              </w:rPr>
            </w:pPr>
            <w:r>
              <w:rPr>
                <w:rFonts w:ascii="Arial" w:cs="Arial" w:eastAsia="Arial" w:hAnsi="Arial"/>
                <w:sz w:val="14"/>
                <w:szCs w:val="14"/>
                <w:color w:val="auto"/>
              </w:rPr>
              <w:t>(0.05)</w:t>
            </w:r>
          </w:p>
        </w:tc>
      </w:tr>
      <w:tr>
        <w:trPr>
          <w:trHeight w:val="200"/>
        </w:trPr>
        <w:tc>
          <w:tcPr>
            <w:tcW w:w="6020" w:type="dxa"/>
            <w:vAlign w:val="bottom"/>
            <w:tcBorders>
              <w:top w:val="single" w:sz="8" w:color="F5F5F5"/>
            </w:tcBorders>
            <w:shd w:val="clear" w:color="auto" w:fill="F5F5F5"/>
          </w:tcPr>
          <w:p>
            <w:pPr>
              <w:ind w:left="200"/>
              <w:spacing w:after="0"/>
              <w:rPr>
                <w:sz w:val="20"/>
                <w:szCs w:val="20"/>
                <w:color w:val="auto"/>
              </w:rPr>
            </w:pPr>
            <w:r>
              <w:rPr>
                <w:rFonts w:ascii="Arial" w:cs="Arial" w:eastAsia="Arial" w:hAnsi="Arial"/>
                <w:sz w:val="14"/>
                <w:szCs w:val="14"/>
                <w:color w:val="auto"/>
              </w:rPr>
              <w:t>Adjusted non-GAAP on a constant currency basis</w:t>
            </w:r>
          </w:p>
        </w:tc>
        <w:tc>
          <w:tcPr>
            <w:tcW w:w="500" w:type="dxa"/>
            <w:vAlign w:val="bottom"/>
            <w:tcBorders>
              <w:top w:val="single" w:sz="8" w:color="auto"/>
            </w:tcBorders>
            <w:shd w:val="clear" w:color="auto" w:fill="F5F5F5"/>
          </w:tcPr>
          <w:p>
            <w:pPr>
              <w:jc w:val="right"/>
              <w:ind w:right="32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10.69</w:t>
            </w:r>
          </w:p>
        </w:tc>
        <w:tc>
          <w:tcPr>
            <w:tcW w:w="100" w:type="dxa"/>
            <w:vAlign w:val="bottom"/>
            <w:tcBorders>
              <w:top w:val="single" w:sz="8" w:color="F5F5F5"/>
            </w:tcBorders>
            <w:shd w:val="clear" w:color="auto" w:fill="F5F5F5"/>
          </w:tcPr>
          <w:p>
            <w:pPr>
              <w:spacing w:after="0"/>
              <w:rPr>
                <w:sz w:val="17"/>
                <w:szCs w:val="17"/>
                <w:color w:val="auto"/>
              </w:rPr>
            </w:pPr>
          </w:p>
        </w:tc>
        <w:tc>
          <w:tcPr>
            <w:tcW w:w="500" w:type="dxa"/>
            <w:vAlign w:val="bottom"/>
            <w:tcBorders>
              <w:top w:val="single" w:sz="8" w:color="auto"/>
            </w:tcBorders>
            <w:shd w:val="clear" w:color="auto" w:fill="F5F5F5"/>
          </w:tcPr>
          <w:p>
            <w:pPr>
              <w:jc w:val="right"/>
              <w:ind w:right="32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6.33</w:t>
            </w:r>
          </w:p>
        </w:tc>
        <w:tc>
          <w:tcPr>
            <w:tcW w:w="1740" w:type="dxa"/>
            <w:vAlign w:val="bottom"/>
            <w:tcBorders>
              <w:top w:val="single" w:sz="8" w:color="F5F5F5"/>
            </w:tcBorders>
            <w:gridSpan w:val="2"/>
            <w:shd w:val="clear" w:color="auto" w:fill="F5F5F5"/>
          </w:tcPr>
          <w:p>
            <w:pPr>
              <w:jc w:val="center"/>
              <w:ind w:left="28"/>
              <w:spacing w:after="0"/>
              <w:rPr>
                <w:sz w:val="20"/>
                <w:szCs w:val="20"/>
                <w:color w:val="auto"/>
              </w:rPr>
            </w:pPr>
            <w:r>
              <w:rPr>
                <w:rFonts w:ascii="Arial" w:cs="Arial" w:eastAsia="Arial" w:hAnsi="Arial"/>
                <w:sz w:val="14"/>
                <w:szCs w:val="14"/>
                <w:color w:val="auto"/>
              </w:rPr>
              <w:t>$4.36</w:t>
            </w:r>
          </w:p>
        </w:tc>
      </w:tr>
    </w:tbl>
    <w:p>
      <w:pPr>
        <w:spacing w:after="0" w:line="49" w:lineRule="exact"/>
        <w:rPr>
          <w:sz w:val="20"/>
          <w:szCs w:val="20"/>
          <w:color w:val="auto"/>
        </w:rPr>
      </w:pPr>
    </w:p>
    <w:p>
      <w:pPr>
        <w:ind w:left="220" w:hanging="212"/>
        <w:spacing w:after="0"/>
        <w:tabs>
          <w:tab w:leader="none" w:pos="220" w:val="left"/>
        </w:tabs>
        <w:numPr>
          <w:ilvl w:val="0"/>
          <w:numId w:val="46"/>
        </w:numPr>
        <w:rPr>
          <w:rFonts w:ascii="Arial" w:cs="Arial" w:eastAsia="Arial" w:hAnsi="Arial"/>
          <w:sz w:val="18"/>
          <w:szCs w:val="18"/>
          <w:color w:val="auto"/>
          <w:vertAlign w:val="superscript"/>
        </w:rPr>
      </w:pPr>
      <w:r>
        <w:rPr>
          <w:rFonts w:ascii="Arial" w:cs="Arial" w:eastAsia="Arial" w:hAnsi="Arial"/>
          <w:sz w:val="13"/>
          <w:szCs w:val="13"/>
          <w:color w:val="auto"/>
        </w:rPr>
        <w:t>The estimated basis point change has been rounded based on the percentage of net sales change.</w:t>
      </w:r>
    </w:p>
    <w:p>
      <w:pPr>
        <w:ind w:left="340" w:hanging="332"/>
        <w:spacing w:after="0" w:line="219" w:lineRule="auto"/>
        <w:tabs>
          <w:tab w:leader="none" w:pos="220" w:val="left"/>
        </w:tabs>
        <w:numPr>
          <w:ilvl w:val="0"/>
          <w:numId w:val="46"/>
        </w:numPr>
        <w:rPr>
          <w:rFonts w:ascii="Arial" w:cs="Arial" w:eastAsia="Arial" w:hAnsi="Arial"/>
          <w:sz w:val="18"/>
          <w:szCs w:val="18"/>
          <w:color w:val="auto"/>
          <w:vertAlign w:val="superscript"/>
        </w:rPr>
      </w:pPr>
      <w:r>
        <w:rPr>
          <w:rFonts w:ascii="Arial" w:cs="Arial" w:eastAsia="Arial" w:hAnsi="Arial"/>
          <w:sz w:val="13"/>
          <w:szCs w:val="13"/>
          <w:color w:val="auto"/>
        </w:rPr>
        <w:t>Refer to “</w:t>
      </w:r>
      <w:r>
        <w:rPr>
          <w:rFonts w:ascii="Arial" w:cs="Arial" w:eastAsia="Arial" w:hAnsi="Arial"/>
          <w:sz w:val="13"/>
          <w:szCs w:val="13"/>
          <w:i w:val="1"/>
          <w:iCs w:val="1"/>
          <w:u w:val="single" w:color="auto"/>
          <w:color w:val="0000FF"/>
        </w:rPr>
        <w:t>RESULTS OF OPERATIONS</w:t>
      </w:r>
      <w:r>
        <w:rPr>
          <w:rFonts w:ascii="Arial" w:cs="Arial" w:eastAsia="Arial" w:hAnsi="Arial"/>
          <w:sz w:val="13"/>
          <w:szCs w:val="13"/>
          <w:color w:val="auto"/>
        </w:rPr>
        <w:t>,” for details on excluded items. The tax effect of excluded items is calculated as the difference between the tax provision on a GAAP basis and an adjusted non-GAAP basis.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EBITDA and Adjusted EBITDA</w:t>
      </w:r>
    </w:p>
    <w:p>
      <w:pPr>
        <w:spacing w:after="0" w:line="24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Company provides EBITDA and Adjusted EBITDA as supplemental measures used by the Company's executive management to assess the Company's performance. We also believe that these supplemental performance measures are meaningful information for investors and other interested parties to use in computing the Company's core financial performance over multiple periods and with other companies by excluding the impact of differences in tax jurisdictions, debt service levels and capital investment.</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Reconciliations of non-GAAP EBITDA and Adjusted EBITDA to financial measures calculated and presented in accordance with GAAP for Fiscal 2024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Fiscal 2023 were as follows:</w:t>
      </w: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160" w:type="dxa"/>
            <w:vAlign w:val="bottom"/>
            <w:shd w:val="clear" w:color="auto" w:fill="F5F5F5"/>
          </w:tcPr>
          <w:p>
            <w:pPr>
              <w:spacing w:after="0"/>
              <w:rPr>
                <w:sz w:val="18"/>
                <w:szCs w:val="18"/>
                <w:color w:val="auto"/>
              </w:rPr>
            </w:pPr>
          </w:p>
        </w:tc>
        <w:tc>
          <w:tcPr>
            <w:tcW w:w="540" w:type="dxa"/>
            <w:vAlign w:val="bottom"/>
            <w:shd w:val="clear" w:color="auto" w:fill="F5F5F5"/>
          </w:tcPr>
          <w:p>
            <w:pPr>
              <w:spacing w:after="0"/>
              <w:rPr>
                <w:sz w:val="18"/>
                <w:szCs w:val="18"/>
                <w:color w:val="auto"/>
              </w:rPr>
            </w:pPr>
          </w:p>
        </w:tc>
        <w:tc>
          <w:tcPr>
            <w:tcW w:w="1060" w:type="dxa"/>
            <w:vAlign w:val="bottom"/>
            <w:shd w:val="clear" w:color="auto" w:fill="F5F5F5"/>
          </w:tcPr>
          <w:p>
            <w:pPr>
              <w:spacing w:after="0"/>
              <w:rPr>
                <w:sz w:val="18"/>
                <w:szCs w:val="18"/>
                <w:color w:val="auto"/>
              </w:rPr>
            </w:pPr>
          </w:p>
        </w:tc>
        <w:tc>
          <w:tcPr>
            <w:tcW w:w="100" w:type="dxa"/>
            <w:vAlign w:val="bottom"/>
            <w:shd w:val="clear" w:color="auto" w:fill="F5F5F5"/>
          </w:tcPr>
          <w:p>
            <w:pPr>
              <w:spacing w:after="0"/>
              <w:rPr>
                <w:sz w:val="18"/>
                <w:szCs w:val="18"/>
                <w:color w:val="auto"/>
              </w:rPr>
            </w:pPr>
          </w:p>
        </w:tc>
        <w:tc>
          <w:tcPr>
            <w:tcW w:w="160" w:type="dxa"/>
            <w:vAlign w:val="bottom"/>
            <w:shd w:val="clear" w:color="auto" w:fill="F5F5F5"/>
          </w:tcPr>
          <w:p>
            <w:pPr>
              <w:spacing w:after="0"/>
              <w:rPr>
                <w:sz w:val="18"/>
                <w:szCs w:val="18"/>
                <w:color w:val="auto"/>
              </w:rPr>
            </w:pPr>
          </w:p>
        </w:tc>
        <w:tc>
          <w:tcPr>
            <w:tcW w:w="1140" w:type="dxa"/>
            <w:vAlign w:val="bottom"/>
            <w:shd w:val="clear" w:color="auto" w:fill="F5F5F5"/>
          </w:tcPr>
          <w:p>
            <w:pPr>
              <w:spacing w:after="0"/>
              <w:rPr>
                <w:sz w:val="18"/>
                <w:szCs w:val="18"/>
                <w:color w:val="auto"/>
              </w:rPr>
            </w:pPr>
          </w:p>
        </w:tc>
        <w:tc>
          <w:tcPr>
            <w:tcW w:w="560" w:type="dxa"/>
            <w:vAlign w:val="bottom"/>
            <w:shd w:val="clear" w:color="auto" w:fill="F5F5F5"/>
          </w:tcPr>
          <w:p>
            <w:pPr>
              <w:spacing w:after="0"/>
              <w:rPr>
                <w:sz w:val="18"/>
                <w:szCs w:val="18"/>
                <w:color w:val="auto"/>
              </w:rPr>
            </w:pPr>
          </w:p>
        </w:tc>
        <w:tc>
          <w:tcPr>
            <w:tcW w:w="1060" w:type="dxa"/>
            <w:vAlign w:val="bottom"/>
            <w:shd w:val="clear" w:color="auto" w:fill="F5F5F5"/>
          </w:tcPr>
          <w:p>
            <w:pPr>
              <w:spacing w:after="0"/>
              <w:rPr>
                <w:sz w:val="18"/>
                <w:szCs w:val="18"/>
                <w:color w:val="auto"/>
              </w:rPr>
            </w:pPr>
          </w:p>
        </w:tc>
        <w:tc>
          <w:tcPr>
            <w:tcW w:w="100" w:type="dxa"/>
            <w:vAlign w:val="bottom"/>
            <w:shd w:val="clear" w:color="auto" w:fill="F5F5F5"/>
          </w:tcPr>
          <w:p>
            <w:pPr>
              <w:spacing w:after="0"/>
              <w:rPr>
                <w:sz w:val="18"/>
                <w:szCs w:val="18"/>
                <w:color w:val="auto"/>
              </w:rPr>
            </w:pPr>
          </w:p>
        </w:tc>
        <w:tc>
          <w:tcPr>
            <w:tcW w:w="160" w:type="dxa"/>
            <w:vAlign w:val="bottom"/>
            <w:shd w:val="clear" w:color="auto" w:fill="F5F5F5"/>
          </w:tcPr>
          <w:p>
            <w:pPr>
              <w:spacing w:after="0"/>
              <w:rPr>
                <w:sz w:val="18"/>
                <w:szCs w:val="18"/>
                <w:color w:val="auto"/>
              </w:rPr>
            </w:pPr>
          </w:p>
        </w:tc>
        <w:tc>
          <w:tcPr>
            <w:tcW w:w="1140" w:type="dxa"/>
            <w:vAlign w:val="bottom"/>
            <w:shd w:val="clear" w:color="auto" w:fill="F5F5F5"/>
          </w:tcPr>
          <w:p>
            <w:pPr>
              <w:spacing w:after="0"/>
              <w:rPr>
                <w:sz w:val="18"/>
                <w:szCs w:val="18"/>
                <w:color w:val="auto"/>
              </w:rPr>
            </w:pPr>
          </w:p>
        </w:tc>
      </w:tr>
      <w:tr>
        <w:trPr>
          <w:trHeight w:val="198"/>
        </w:trPr>
        <w:tc>
          <w:tcPr>
            <w:tcW w:w="5160" w:type="dxa"/>
            <w:vAlign w:val="bottom"/>
            <w:tcBorders>
              <w:bottom w:val="single" w:sz="8" w:color="F5F5F5"/>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color w:val="auto"/>
              </w:rPr>
              <w:t>Fiscal 2024</w:t>
            </w:r>
          </w:p>
        </w:tc>
        <w:tc>
          <w:tcPr>
            <w:tcW w:w="1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color w:val="auto"/>
              </w:rPr>
              <w:t>Fiscal 2023</w:t>
            </w:r>
          </w:p>
        </w:tc>
        <w:tc>
          <w:tcPr>
            <w:tcW w:w="1140" w:type="dxa"/>
            <w:vAlign w:val="bottom"/>
            <w:tcBorders>
              <w:bottom w:val="single" w:sz="8" w:color="auto"/>
            </w:tcBorders>
          </w:tcPr>
          <w:p>
            <w:pPr>
              <w:spacing w:after="0"/>
              <w:rPr>
                <w:sz w:val="17"/>
                <w:szCs w:val="17"/>
                <w:color w:val="auto"/>
              </w:rPr>
            </w:pPr>
          </w:p>
        </w:tc>
      </w:tr>
      <w:tr>
        <w:trPr>
          <w:trHeight w:val="200"/>
        </w:trPr>
        <w:tc>
          <w:tcPr>
            <w:tcW w:w="5160" w:type="dxa"/>
            <w:vAlign w:val="bottom"/>
            <w:shd w:val="clear" w:color="auto" w:fill="F5F5F5"/>
          </w:tcPr>
          <w:p>
            <w:pPr>
              <w:ind w:left="20"/>
              <w:spacing w:after="0"/>
              <w:rPr>
                <w:sz w:val="20"/>
                <w:szCs w:val="20"/>
                <w:color w:val="auto"/>
              </w:rPr>
            </w:pPr>
            <w:r>
              <w:rPr>
                <w:rFonts w:ascii="Arial" w:cs="Arial" w:eastAsia="Arial" w:hAnsi="Arial"/>
                <w:sz w:val="14"/>
                <w:szCs w:val="14"/>
                <w:i w:val="1"/>
                <w:iCs w:val="1"/>
                <w:color w:val="auto"/>
              </w:rPr>
              <w:t>(in thousands, except ratios)</w:t>
            </w:r>
          </w:p>
        </w:tc>
        <w:tc>
          <w:tcPr>
            <w:tcW w:w="540" w:type="dxa"/>
            <w:vAlign w:val="bottom"/>
            <w:shd w:val="clear" w:color="auto" w:fill="F5F5F5"/>
          </w:tcPr>
          <w:p>
            <w:pPr>
              <w:spacing w:after="0"/>
              <w:rPr>
                <w:sz w:val="17"/>
                <w:szCs w:val="17"/>
                <w:color w:val="auto"/>
              </w:rPr>
            </w:pPr>
          </w:p>
        </w:tc>
        <w:tc>
          <w:tcPr>
            <w:tcW w:w="1060" w:type="dxa"/>
            <w:vAlign w:val="bottom"/>
            <w:shd w:val="clear" w:color="auto" w:fill="F5F5F5"/>
          </w:tcPr>
          <w:p>
            <w:pPr>
              <w:spacing w:after="0"/>
              <w:rPr>
                <w:sz w:val="17"/>
                <w:szCs w:val="17"/>
                <w:color w:val="auto"/>
              </w:rPr>
            </w:pPr>
          </w:p>
        </w:tc>
        <w:tc>
          <w:tcPr>
            <w:tcW w:w="100" w:type="dxa"/>
            <w:vAlign w:val="bottom"/>
            <w:shd w:val="clear" w:color="auto" w:fill="F5F5F5"/>
          </w:tcPr>
          <w:p>
            <w:pPr>
              <w:spacing w:after="0"/>
              <w:rPr>
                <w:sz w:val="17"/>
                <w:szCs w:val="17"/>
                <w:color w:val="auto"/>
              </w:rPr>
            </w:pPr>
          </w:p>
        </w:tc>
        <w:tc>
          <w:tcPr>
            <w:tcW w:w="160" w:type="dxa"/>
            <w:vAlign w:val="bottom"/>
            <w:tcBorders>
              <w:bottom w:val="single" w:sz="8" w:color="auto"/>
            </w:tcBorders>
            <w:shd w:val="clear" w:color="auto" w:fill="F5F5F5"/>
          </w:tcPr>
          <w:p>
            <w:pPr>
              <w:spacing w:after="0"/>
              <w:rPr>
                <w:sz w:val="17"/>
                <w:szCs w:val="17"/>
                <w:color w:val="auto"/>
              </w:rPr>
            </w:pPr>
          </w:p>
        </w:tc>
        <w:tc>
          <w:tcPr>
            <w:tcW w:w="1140" w:type="dxa"/>
            <w:vAlign w:val="bottom"/>
            <w:tcBorders>
              <w:bottom w:val="single" w:sz="8" w:color="auto"/>
            </w:tcBorders>
            <w:shd w:val="clear" w:color="auto" w:fill="F5F5F5"/>
          </w:tcPr>
          <w:p>
            <w:pPr>
              <w:jc w:val="right"/>
              <w:ind w:right="108"/>
              <w:spacing w:after="0"/>
              <w:rPr>
                <w:sz w:val="20"/>
                <w:szCs w:val="20"/>
                <w:color w:val="auto"/>
              </w:rPr>
            </w:pPr>
            <w:r>
              <w:rPr>
                <w:rFonts w:ascii="Arial" w:cs="Arial" w:eastAsia="Arial" w:hAnsi="Arial"/>
                <w:sz w:val="14"/>
                <w:szCs w:val="14"/>
                <w:color w:val="auto"/>
              </w:rPr>
              <w:t>% of Net Sales</w:t>
            </w:r>
          </w:p>
        </w:tc>
        <w:tc>
          <w:tcPr>
            <w:tcW w:w="560" w:type="dxa"/>
            <w:vAlign w:val="bottom"/>
            <w:shd w:val="clear" w:color="auto" w:fill="F5F5F5"/>
          </w:tcPr>
          <w:p>
            <w:pPr>
              <w:spacing w:after="0"/>
              <w:rPr>
                <w:sz w:val="17"/>
                <w:szCs w:val="17"/>
                <w:color w:val="auto"/>
              </w:rPr>
            </w:pPr>
          </w:p>
        </w:tc>
        <w:tc>
          <w:tcPr>
            <w:tcW w:w="1060" w:type="dxa"/>
            <w:vAlign w:val="bottom"/>
            <w:shd w:val="clear" w:color="auto" w:fill="F5F5F5"/>
          </w:tcPr>
          <w:p>
            <w:pPr>
              <w:spacing w:after="0"/>
              <w:rPr>
                <w:sz w:val="17"/>
                <w:szCs w:val="17"/>
                <w:color w:val="auto"/>
              </w:rPr>
            </w:pPr>
          </w:p>
        </w:tc>
        <w:tc>
          <w:tcPr>
            <w:tcW w:w="100" w:type="dxa"/>
            <w:vAlign w:val="bottom"/>
            <w:shd w:val="clear" w:color="auto" w:fill="F5F5F5"/>
          </w:tcPr>
          <w:p>
            <w:pPr>
              <w:spacing w:after="0"/>
              <w:rPr>
                <w:sz w:val="17"/>
                <w:szCs w:val="17"/>
                <w:color w:val="auto"/>
              </w:rPr>
            </w:pPr>
          </w:p>
        </w:tc>
        <w:tc>
          <w:tcPr>
            <w:tcW w:w="160" w:type="dxa"/>
            <w:vAlign w:val="bottom"/>
            <w:tcBorders>
              <w:bottom w:val="single" w:sz="8" w:color="auto"/>
            </w:tcBorders>
            <w:shd w:val="clear" w:color="auto" w:fill="F5F5F5"/>
          </w:tcPr>
          <w:p>
            <w:pPr>
              <w:spacing w:after="0"/>
              <w:rPr>
                <w:sz w:val="17"/>
                <w:szCs w:val="17"/>
                <w:color w:val="auto"/>
              </w:rPr>
            </w:pPr>
          </w:p>
        </w:tc>
        <w:tc>
          <w:tcPr>
            <w:tcW w:w="1140" w:type="dxa"/>
            <w:vAlign w:val="bottom"/>
            <w:tcBorders>
              <w:bottom w:val="single" w:sz="8" w:color="auto"/>
            </w:tcBorders>
            <w:shd w:val="clear" w:color="auto" w:fill="F5F5F5"/>
          </w:tcPr>
          <w:p>
            <w:pPr>
              <w:jc w:val="right"/>
              <w:ind w:right="108"/>
              <w:spacing w:after="0"/>
              <w:rPr>
                <w:sz w:val="20"/>
                <w:szCs w:val="20"/>
                <w:color w:val="auto"/>
              </w:rPr>
            </w:pPr>
            <w:r>
              <w:rPr>
                <w:rFonts w:ascii="Arial" w:cs="Arial" w:eastAsia="Arial" w:hAnsi="Arial"/>
                <w:sz w:val="14"/>
                <w:szCs w:val="14"/>
                <w:color w:val="auto"/>
              </w:rPr>
              <w:t>% of Net Sales</w:t>
            </w:r>
          </w:p>
        </w:tc>
      </w:tr>
      <w:tr>
        <w:trPr>
          <w:trHeight w:val="192"/>
        </w:trPr>
        <w:tc>
          <w:tcPr>
            <w:tcW w:w="51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540" w:type="dxa"/>
            <w:vAlign w:val="bottom"/>
          </w:tcPr>
          <w:p>
            <w:pPr>
              <w:jc w:val="right"/>
              <w:ind w:right="38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574,016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tcPr>
          <w:p>
            <w:pPr>
              <w:jc w:val="right"/>
              <w:ind w:right="388"/>
              <w:spacing w:after="0"/>
              <w:rPr>
                <w:sz w:val="20"/>
                <w:szCs w:val="20"/>
                <w:color w:val="auto"/>
              </w:rPr>
            </w:pPr>
            <w:r>
              <w:rPr>
                <w:rFonts w:ascii="Arial" w:cs="Arial" w:eastAsia="Arial" w:hAnsi="Arial"/>
                <w:sz w:val="14"/>
                <w:szCs w:val="14"/>
                <w:color w:val="auto"/>
              </w:rPr>
              <w:t>11.6 % $</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335,413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7.8 %</w:t>
            </w:r>
          </w:p>
        </w:tc>
      </w:tr>
      <w:tr>
        <w:trPr>
          <w:trHeight w:val="207"/>
        </w:trPr>
        <w:tc>
          <w:tcPr>
            <w:tcW w:w="5160" w:type="dxa"/>
            <w:vAlign w:val="bottom"/>
            <w:shd w:val="clear" w:color="auto" w:fill="F5F5F5"/>
          </w:tcPr>
          <w:p>
            <w:pPr>
              <w:ind w:left="240"/>
              <w:spacing w:after="0"/>
              <w:rPr>
                <w:sz w:val="20"/>
                <w:szCs w:val="20"/>
                <w:color w:val="auto"/>
              </w:rPr>
            </w:pPr>
            <w:r>
              <w:rPr>
                <w:rFonts w:ascii="Arial" w:cs="Arial" w:eastAsia="Arial" w:hAnsi="Arial"/>
                <w:sz w:val="14"/>
                <w:szCs w:val="14"/>
                <w:color w:val="auto"/>
              </w:rPr>
              <w:t>Income tax expense</w:t>
            </w:r>
          </w:p>
        </w:tc>
        <w:tc>
          <w:tcPr>
            <w:tcW w:w="540" w:type="dxa"/>
            <w:vAlign w:val="bottom"/>
            <w:shd w:val="clear" w:color="auto" w:fill="F5F5F5"/>
          </w:tcPr>
          <w:p>
            <w:pPr>
              <w:spacing w:after="0"/>
              <w:rPr>
                <w:sz w:val="17"/>
                <w:szCs w:val="17"/>
                <w:color w:val="auto"/>
              </w:rPr>
            </w:pPr>
          </w:p>
        </w:tc>
        <w:tc>
          <w:tcPr>
            <w:tcW w:w="106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194,661</w:t>
            </w:r>
          </w:p>
        </w:tc>
        <w:tc>
          <w:tcPr>
            <w:tcW w:w="100" w:type="dxa"/>
            <w:vAlign w:val="bottom"/>
            <w:shd w:val="clear" w:color="auto" w:fill="F5F5F5"/>
          </w:tcPr>
          <w:p>
            <w:pPr>
              <w:spacing w:after="0"/>
              <w:rPr>
                <w:sz w:val="17"/>
                <w:szCs w:val="17"/>
                <w:color w:val="auto"/>
              </w:rPr>
            </w:pPr>
          </w:p>
        </w:tc>
        <w:tc>
          <w:tcPr>
            <w:tcW w:w="160" w:type="dxa"/>
            <w:vAlign w:val="bottom"/>
            <w:shd w:val="clear" w:color="auto" w:fill="F5F5F5"/>
          </w:tcPr>
          <w:p>
            <w:pPr>
              <w:spacing w:after="0"/>
              <w:rPr>
                <w:sz w:val="17"/>
                <w:szCs w:val="17"/>
                <w:color w:val="auto"/>
              </w:rPr>
            </w:pPr>
          </w:p>
        </w:tc>
        <w:tc>
          <w:tcPr>
            <w:tcW w:w="1140" w:type="dxa"/>
            <w:vAlign w:val="bottom"/>
            <w:shd w:val="clear" w:color="auto" w:fill="F5F5F5"/>
          </w:tcPr>
          <w:p>
            <w:pPr>
              <w:jc w:val="right"/>
              <w:ind w:right="128"/>
              <w:spacing w:after="0"/>
              <w:rPr>
                <w:sz w:val="20"/>
                <w:szCs w:val="20"/>
                <w:color w:val="auto"/>
              </w:rPr>
            </w:pPr>
            <w:r>
              <w:rPr>
                <w:rFonts w:ascii="Arial" w:cs="Arial" w:eastAsia="Arial" w:hAnsi="Arial"/>
                <w:sz w:val="14"/>
                <w:szCs w:val="14"/>
                <w:color w:val="auto"/>
              </w:rPr>
              <w:t>3.9</w:t>
            </w:r>
          </w:p>
        </w:tc>
        <w:tc>
          <w:tcPr>
            <w:tcW w:w="560" w:type="dxa"/>
            <w:vAlign w:val="bottom"/>
            <w:shd w:val="clear" w:color="auto" w:fill="F5F5F5"/>
          </w:tcPr>
          <w:p>
            <w:pPr>
              <w:spacing w:after="0"/>
              <w:rPr>
                <w:sz w:val="17"/>
                <w:szCs w:val="17"/>
                <w:color w:val="auto"/>
              </w:rPr>
            </w:pPr>
          </w:p>
        </w:tc>
        <w:tc>
          <w:tcPr>
            <w:tcW w:w="106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148,886</w:t>
            </w:r>
          </w:p>
        </w:tc>
        <w:tc>
          <w:tcPr>
            <w:tcW w:w="100" w:type="dxa"/>
            <w:vAlign w:val="bottom"/>
            <w:shd w:val="clear" w:color="auto" w:fill="F5F5F5"/>
          </w:tcPr>
          <w:p>
            <w:pPr>
              <w:spacing w:after="0"/>
              <w:rPr>
                <w:sz w:val="17"/>
                <w:szCs w:val="17"/>
                <w:color w:val="auto"/>
              </w:rPr>
            </w:pPr>
          </w:p>
        </w:tc>
        <w:tc>
          <w:tcPr>
            <w:tcW w:w="160" w:type="dxa"/>
            <w:vAlign w:val="bottom"/>
            <w:shd w:val="clear" w:color="auto" w:fill="F5F5F5"/>
          </w:tcPr>
          <w:p>
            <w:pPr>
              <w:spacing w:after="0"/>
              <w:rPr>
                <w:sz w:val="17"/>
                <w:szCs w:val="17"/>
                <w:color w:val="auto"/>
              </w:rPr>
            </w:pPr>
          </w:p>
        </w:tc>
        <w:tc>
          <w:tcPr>
            <w:tcW w:w="1140" w:type="dxa"/>
            <w:vAlign w:val="bottom"/>
            <w:shd w:val="clear" w:color="auto" w:fill="F5F5F5"/>
          </w:tcPr>
          <w:p>
            <w:pPr>
              <w:jc w:val="right"/>
              <w:ind w:right="128"/>
              <w:spacing w:after="0"/>
              <w:rPr>
                <w:sz w:val="20"/>
                <w:szCs w:val="20"/>
                <w:color w:val="auto"/>
              </w:rPr>
            </w:pPr>
            <w:r>
              <w:rPr>
                <w:rFonts w:ascii="Arial" w:cs="Arial" w:eastAsia="Arial" w:hAnsi="Arial"/>
                <w:sz w:val="14"/>
                <w:szCs w:val="14"/>
                <w:color w:val="auto"/>
              </w:rPr>
              <w:t>3.5</w:t>
            </w:r>
          </w:p>
        </w:tc>
      </w:tr>
      <w:tr>
        <w:trPr>
          <w:trHeight w:val="198"/>
        </w:trPr>
        <w:tc>
          <w:tcPr>
            <w:tcW w:w="5160" w:type="dxa"/>
            <w:vAlign w:val="bottom"/>
          </w:tcPr>
          <w:p>
            <w:pPr>
              <w:ind w:left="220"/>
              <w:spacing w:after="0"/>
              <w:rPr>
                <w:sz w:val="20"/>
                <w:szCs w:val="20"/>
                <w:color w:val="auto"/>
              </w:rPr>
            </w:pPr>
            <w:r>
              <w:rPr>
                <w:rFonts w:ascii="Arial" w:cs="Arial" w:eastAsia="Arial" w:hAnsi="Arial"/>
                <w:sz w:val="14"/>
                <w:szCs w:val="14"/>
                <w:color w:val="auto"/>
              </w:rPr>
              <w:t>Interest (income) expense, net</w:t>
            </w:r>
          </w:p>
        </w:tc>
        <w:tc>
          <w:tcPr>
            <w:tcW w:w="5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(27,857)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(0.6)</w:t>
            </w:r>
          </w:p>
        </w:tc>
        <w:tc>
          <w:tcPr>
            <w:tcW w:w="56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372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w:t>
            </w:r>
          </w:p>
        </w:tc>
      </w:tr>
      <w:tr>
        <w:trPr>
          <w:trHeight w:val="207"/>
        </w:trPr>
        <w:tc>
          <w:tcPr>
            <w:tcW w:w="5160" w:type="dxa"/>
            <w:vAlign w:val="bottom"/>
            <w:shd w:val="clear" w:color="auto" w:fill="F5F5F5"/>
          </w:tcPr>
          <w:p>
            <w:pPr>
              <w:ind w:left="220"/>
              <w:spacing w:after="0"/>
              <w:rPr>
                <w:sz w:val="20"/>
                <w:szCs w:val="20"/>
                <w:color w:val="auto"/>
              </w:rPr>
            </w:pPr>
            <w:r>
              <w:rPr>
                <w:rFonts w:ascii="Arial" w:cs="Arial" w:eastAsia="Arial" w:hAnsi="Arial"/>
                <w:sz w:val="14"/>
                <w:szCs w:val="14"/>
                <w:color w:val="auto"/>
              </w:rPr>
              <w:t>Depreciation and amortization</w:t>
            </w:r>
          </w:p>
        </w:tc>
        <w:tc>
          <w:tcPr>
            <w:tcW w:w="540" w:type="dxa"/>
            <w:vAlign w:val="bottom"/>
            <w:tcBorders>
              <w:bottom w:val="single" w:sz="8" w:color="auto"/>
            </w:tcBorders>
            <w:shd w:val="clear" w:color="auto" w:fill="F5F5F5"/>
          </w:tcPr>
          <w:p>
            <w:pPr>
              <w:spacing w:after="0"/>
              <w:rPr>
                <w:sz w:val="17"/>
                <w:szCs w:val="17"/>
                <w:color w:val="auto"/>
              </w:rPr>
            </w:pPr>
          </w:p>
        </w:tc>
        <w:tc>
          <w:tcPr>
            <w:tcW w:w="1060" w:type="dxa"/>
            <w:vAlign w:val="bottom"/>
            <w:tcBorders>
              <w:bottom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153,773</w:t>
            </w:r>
          </w:p>
        </w:tc>
        <w:tc>
          <w:tcPr>
            <w:tcW w:w="100" w:type="dxa"/>
            <w:vAlign w:val="bottom"/>
            <w:shd w:val="clear" w:color="auto" w:fill="F5F5F5"/>
          </w:tcPr>
          <w:p>
            <w:pPr>
              <w:spacing w:after="0"/>
              <w:rPr>
                <w:sz w:val="17"/>
                <w:szCs w:val="17"/>
                <w:color w:val="auto"/>
              </w:rPr>
            </w:pPr>
          </w:p>
        </w:tc>
        <w:tc>
          <w:tcPr>
            <w:tcW w:w="160" w:type="dxa"/>
            <w:vAlign w:val="bottom"/>
            <w:shd w:val="clear" w:color="auto" w:fill="F5F5F5"/>
          </w:tcPr>
          <w:p>
            <w:pPr>
              <w:spacing w:after="0"/>
              <w:rPr>
                <w:sz w:val="17"/>
                <w:szCs w:val="17"/>
                <w:color w:val="auto"/>
              </w:rPr>
            </w:pPr>
          </w:p>
        </w:tc>
        <w:tc>
          <w:tcPr>
            <w:tcW w:w="1140" w:type="dxa"/>
            <w:vAlign w:val="bottom"/>
            <w:shd w:val="clear" w:color="auto" w:fill="F5F5F5"/>
          </w:tcPr>
          <w:p>
            <w:pPr>
              <w:jc w:val="right"/>
              <w:ind w:right="128"/>
              <w:spacing w:after="0"/>
              <w:rPr>
                <w:sz w:val="20"/>
                <w:szCs w:val="20"/>
                <w:color w:val="auto"/>
              </w:rPr>
            </w:pPr>
            <w:r>
              <w:rPr>
                <w:rFonts w:ascii="Arial" w:cs="Arial" w:eastAsia="Arial" w:hAnsi="Arial"/>
                <w:sz w:val="14"/>
                <w:szCs w:val="14"/>
                <w:color w:val="auto"/>
              </w:rPr>
              <w:t>3.2</w:t>
            </w:r>
          </w:p>
        </w:tc>
        <w:tc>
          <w:tcPr>
            <w:tcW w:w="560" w:type="dxa"/>
            <w:vAlign w:val="bottom"/>
            <w:tcBorders>
              <w:bottom w:val="single" w:sz="8" w:color="auto"/>
            </w:tcBorders>
            <w:shd w:val="clear" w:color="auto" w:fill="F5F5F5"/>
          </w:tcPr>
          <w:p>
            <w:pPr>
              <w:spacing w:after="0"/>
              <w:rPr>
                <w:sz w:val="17"/>
                <w:szCs w:val="17"/>
                <w:color w:val="auto"/>
              </w:rPr>
            </w:pPr>
          </w:p>
        </w:tc>
        <w:tc>
          <w:tcPr>
            <w:tcW w:w="1060" w:type="dxa"/>
            <w:vAlign w:val="bottom"/>
            <w:tcBorders>
              <w:bottom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141,104</w:t>
            </w:r>
          </w:p>
        </w:tc>
        <w:tc>
          <w:tcPr>
            <w:tcW w:w="100" w:type="dxa"/>
            <w:vAlign w:val="bottom"/>
            <w:shd w:val="clear" w:color="auto" w:fill="F5F5F5"/>
          </w:tcPr>
          <w:p>
            <w:pPr>
              <w:spacing w:after="0"/>
              <w:rPr>
                <w:sz w:val="17"/>
                <w:szCs w:val="17"/>
                <w:color w:val="auto"/>
              </w:rPr>
            </w:pPr>
          </w:p>
        </w:tc>
        <w:tc>
          <w:tcPr>
            <w:tcW w:w="160" w:type="dxa"/>
            <w:vAlign w:val="bottom"/>
            <w:shd w:val="clear" w:color="auto" w:fill="F5F5F5"/>
          </w:tcPr>
          <w:p>
            <w:pPr>
              <w:spacing w:after="0"/>
              <w:rPr>
                <w:sz w:val="17"/>
                <w:szCs w:val="17"/>
                <w:color w:val="auto"/>
              </w:rPr>
            </w:pPr>
          </w:p>
        </w:tc>
        <w:tc>
          <w:tcPr>
            <w:tcW w:w="1140" w:type="dxa"/>
            <w:vAlign w:val="bottom"/>
            <w:shd w:val="clear" w:color="auto" w:fill="F5F5F5"/>
          </w:tcPr>
          <w:p>
            <w:pPr>
              <w:jc w:val="right"/>
              <w:ind w:right="128"/>
              <w:spacing w:after="0"/>
              <w:rPr>
                <w:sz w:val="20"/>
                <w:szCs w:val="20"/>
                <w:color w:val="auto"/>
              </w:rPr>
            </w:pPr>
            <w:r>
              <w:rPr>
                <w:rFonts w:ascii="Arial" w:cs="Arial" w:eastAsia="Arial" w:hAnsi="Arial"/>
                <w:sz w:val="14"/>
                <w:szCs w:val="14"/>
                <w:color w:val="auto"/>
              </w:rPr>
              <w:t>3.3</w:t>
            </w:r>
          </w:p>
        </w:tc>
      </w:tr>
      <w:tr>
        <w:trPr>
          <w:trHeight w:val="192"/>
        </w:trPr>
        <w:tc>
          <w:tcPr>
            <w:tcW w:w="5160" w:type="dxa"/>
            <w:vAlign w:val="bottom"/>
            <w:tcBorders>
              <w:bottom w:val="single" w:sz="8" w:color="F5F5F5"/>
            </w:tcBorders>
          </w:tcPr>
          <w:p>
            <w:pPr>
              <w:ind w:left="20"/>
              <w:spacing w:after="0"/>
              <w:rPr>
                <w:sz w:val="20"/>
                <w:szCs w:val="20"/>
                <w:color w:val="auto"/>
              </w:rPr>
            </w:pPr>
            <w:r>
              <w:rPr>
                <w:rFonts w:ascii="Arial" w:cs="Arial" w:eastAsia="Arial" w:hAnsi="Arial"/>
                <w:sz w:val="14"/>
                <w:szCs w:val="14"/>
                <w:color w:val="auto"/>
              </w:rPr>
              <w:t xml:space="preserve">EBITDA </w:t>
            </w:r>
            <w:r>
              <w:rPr>
                <w:rFonts w:ascii="Arial" w:cs="Arial" w:eastAsia="Arial" w:hAnsi="Arial"/>
                <w:sz w:val="9"/>
                <w:szCs w:val="9"/>
                <w:color w:val="auto"/>
              </w:rPr>
              <w:t>(1)</w:t>
            </w:r>
          </w:p>
        </w:tc>
        <w:tc>
          <w:tcPr>
            <w:tcW w:w="5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894,593</w:t>
            </w:r>
          </w:p>
        </w:tc>
        <w:tc>
          <w:tcPr>
            <w:tcW w:w="100" w:type="dxa"/>
            <w:vAlign w:val="bottom"/>
            <w:tcBorders>
              <w:bottom w:val="single" w:sz="8" w:color="F5F5F5"/>
            </w:tcBorders>
          </w:tcPr>
          <w:p>
            <w:pPr>
              <w:spacing w:after="0"/>
              <w:rPr>
                <w:sz w:val="16"/>
                <w:szCs w:val="16"/>
                <w:color w:val="auto"/>
              </w:rPr>
            </w:pPr>
          </w:p>
        </w:tc>
        <w:tc>
          <w:tcPr>
            <w:tcW w:w="160" w:type="dxa"/>
            <w:vAlign w:val="bottom"/>
            <w:tcBorders>
              <w:bottom w:val="single" w:sz="8" w:color="F5F5F5"/>
            </w:tcBorders>
          </w:tcPr>
          <w:p>
            <w:pPr>
              <w:spacing w:after="0"/>
              <w:rPr>
                <w:sz w:val="16"/>
                <w:szCs w:val="16"/>
                <w:color w:val="auto"/>
              </w:rPr>
            </w:pPr>
          </w:p>
        </w:tc>
        <w:tc>
          <w:tcPr>
            <w:tcW w:w="1140" w:type="dxa"/>
            <w:vAlign w:val="bottom"/>
            <w:tcBorders>
              <w:bottom w:val="single" w:sz="8" w:color="F5F5F5"/>
            </w:tcBorders>
          </w:tcPr>
          <w:p>
            <w:pPr>
              <w:jc w:val="right"/>
              <w:ind w:right="128"/>
              <w:spacing w:after="0"/>
              <w:rPr>
                <w:sz w:val="20"/>
                <w:szCs w:val="20"/>
                <w:color w:val="auto"/>
              </w:rPr>
            </w:pPr>
            <w:r>
              <w:rPr>
                <w:rFonts w:ascii="Arial" w:cs="Arial" w:eastAsia="Arial" w:hAnsi="Arial"/>
                <w:sz w:val="14"/>
                <w:szCs w:val="14"/>
                <w:color w:val="auto"/>
              </w:rPr>
              <w:t>18.1</w:t>
            </w: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625,775</w:t>
            </w:r>
          </w:p>
        </w:tc>
        <w:tc>
          <w:tcPr>
            <w:tcW w:w="100" w:type="dxa"/>
            <w:vAlign w:val="bottom"/>
            <w:tcBorders>
              <w:bottom w:val="single" w:sz="8" w:color="F5F5F5"/>
            </w:tcBorders>
          </w:tcPr>
          <w:p>
            <w:pPr>
              <w:spacing w:after="0"/>
              <w:rPr>
                <w:sz w:val="16"/>
                <w:szCs w:val="16"/>
                <w:color w:val="auto"/>
              </w:rPr>
            </w:pPr>
          </w:p>
        </w:tc>
        <w:tc>
          <w:tcPr>
            <w:tcW w:w="160" w:type="dxa"/>
            <w:vAlign w:val="bottom"/>
            <w:tcBorders>
              <w:bottom w:val="single" w:sz="8" w:color="F5F5F5"/>
            </w:tcBorders>
          </w:tcPr>
          <w:p>
            <w:pPr>
              <w:spacing w:after="0"/>
              <w:rPr>
                <w:sz w:val="16"/>
                <w:szCs w:val="16"/>
                <w:color w:val="auto"/>
              </w:rPr>
            </w:pPr>
          </w:p>
        </w:tc>
        <w:tc>
          <w:tcPr>
            <w:tcW w:w="1140" w:type="dxa"/>
            <w:vAlign w:val="bottom"/>
            <w:tcBorders>
              <w:bottom w:val="single" w:sz="8" w:color="F5F5F5"/>
            </w:tcBorders>
          </w:tcPr>
          <w:p>
            <w:pPr>
              <w:jc w:val="right"/>
              <w:ind w:right="128"/>
              <w:spacing w:after="0"/>
              <w:rPr>
                <w:sz w:val="20"/>
                <w:szCs w:val="20"/>
                <w:color w:val="auto"/>
              </w:rPr>
            </w:pPr>
            <w:r>
              <w:rPr>
                <w:rFonts w:ascii="Arial" w:cs="Arial" w:eastAsia="Arial" w:hAnsi="Arial"/>
                <w:sz w:val="14"/>
                <w:szCs w:val="14"/>
                <w:color w:val="auto"/>
              </w:rPr>
              <w:t>14.6</w:t>
            </w:r>
          </w:p>
        </w:tc>
      </w:tr>
      <w:tr>
        <w:trPr>
          <w:trHeight w:val="200"/>
        </w:trPr>
        <w:tc>
          <w:tcPr>
            <w:tcW w:w="5160" w:type="dxa"/>
            <w:vAlign w:val="bottom"/>
            <w:shd w:val="clear" w:color="auto" w:fill="F5F5F5"/>
          </w:tcPr>
          <w:p>
            <w:pPr>
              <w:spacing w:after="0"/>
              <w:rPr>
                <w:sz w:val="17"/>
                <w:szCs w:val="17"/>
                <w:color w:val="auto"/>
              </w:rPr>
            </w:pPr>
          </w:p>
        </w:tc>
        <w:tc>
          <w:tcPr>
            <w:tcW w:w="540" w:type="dxa"/>
            <w:vAlign w:val="bottom"/>
            <w:shd w:val="clear" w:color="auto" w:fill="F5F5F5"/>
          </w:tcPr>
          <w:p>
            <w:pPr>
              <w:spacing w:after="0"/>
              <w:rPr>
                <w:sz w:val="17"/>
                <w:szCs w:val="17"/>
                <w:color w:val="auto"/>
              </w:rPr>
            </w:pPr>
          </w:p>
        </w:tc>
        <w:tc>
          <w:tcPr>
            <w:tcW w:w="1060" w:type="dxa"/>
            <w:vAlign w:val="bottom"/>
            <w:shd w:val="clear" w:color="auto" w:fill="F5F5F5"/>
          </w:tcPr>
          <w:p>
            <w:pPr>
              <w:spacing w:after="0"/>
              <w:rPr>
                <w:sz w:val="17"/>
                <w:szCs w:val="17"/>
                <w:color w:val="auto"/>
              </w:rPr>
            </w:pPr>
          </w:p>
        </w:tc>
        <w:tc>
          <w:tcPr>
            <w:tcW w:w="100" w:type="dxa"/>
            <w:vAlign w:val="bottom"/>
            <w:shd w:val="clear" w:color="auto" w:fill="F5F5F5"/>
          </w:tcPr>
          <w:p>
            <w:pPr>
              <w:spacing w:after="0"/>
              <w:rPr>
                <w:sz w:val="17"/>
                <w:szCs w:val="17"/>
                <w:color w:val="auto"/>
              </w:rPr>
            </w:pPr>
          </w:p>
        </w:tc>
        <w:tc>
          <w:tcPr>
            <w:tcW w:w="160" w:type="dxa"/>
            <w:vAlign w:val="bottom"/>
            <w:shd w:val="clear" w:color="auto" w:fill="F5F5F5"/>
          </w:tcPr>
          <w:p>
            <w:pPr>
              <w:spacing w:after="0"/>
              <w:rPr>
                <w:sz w:val="17"/>
                <w:szCs w:val="17"/>
                <w:color w:val="auto"/>
              </w:rPr>
            </w:pPr>
          </w:p>
        </w:tc>
        <w:tc>
          <w:tcPr>
            <w:tcW w:w="1140" w:type="dxa"/>
            <w:vAlign w:val="bottom"/>
            <w:shd w:val="clear" w:color="auto" w:fill="F5F5F5"/>
          </w:tcPr>
          <w:p>
            <w:pPr>
              <w:spacing w:after="0"/>
              <w:rPr>
                <w:sz w:val="17"/>
                <w:szCs w:val="17"/>
                <w:color w:val="auto"/>
              </w:rPr>
            </w:pPr>
          </w:p>
        </w:tc>
        <w:tc>
          <w:tcPr>
            <w:tcW w:w="560" w:type="dxa"/>
            <w:vAlign w:val="bottom"/>
            <w:shd w:val="clear" w:color="auto" w:fill="F5F5F5"/>
          </w:tcPr>
          <w:p>
            <w:pPr>
              <w:spacing w:after="0"/>
              <w:rPr>
                <w:sz w:val="17"/>
                <w:szCs w:val="17"/>
                <w:color w:val="auto"/>
              </w:rPr>
            </w:pPr>
          </w:p>
        </w:tc>
        <w:tc>
          <w:tcPr>
            <w:tcW w:w="1060" w:type="dxa"/>
            <w:vAlign w:val="bottom"/>
            <w:shd w:val="clear" w:color="auto" w:fill="F5F5F5"/>
          </w:tcPr>
          <w:p>
            <w:pPr>
              <w:spacing w:after="0"/>
              <w:rPr>
                <w:sz w:val="17"/>
                <w:szCs w:val="17"/>
                <w:color w:val="auto"/>
              </w:rPr>
            </w:pPr>
          </w:p>
        </w:tc>
        <w:tc>
          <w:tcPr>
            <w:tcW w:w="100" w:type="dxa"/>
            <w:vAlign w:val="bottom"/>
            <w:shd w:val="clear" w:color="auto" w:fill="F5F5F5"/>
          </w:tcPr>
          <w:p>
            <w:pPr>
              <w:spacing w:after="0"/>
              <w:rPr>
                <w:sz w:val="17"/>
                <w:szCs w:val="17"/>
                <w:color w:val="auto"/>
              </w:rPr>
            </w:pPr>
          </w:p>
        </w:tc>
        <w:tc>
          <w:tcPr>
            <w:tcW w:w="160" w:type="dxa"/>
            <w:vAlign w:val="bottom"/>
            <w:shd w:val="clear" w:color="auto" w:fill="F5F5F5"/>
          </w:tcPr>
          <w:p>
            <w:pPr>
              <w:spacing w:after="0"/>
              <w:rPr>
                <w:sz w:val="17"/>
                <w:szCs w:val="17"/>
                <w:color w:val="auto"/>
              </w:rPr>
            </w:pPr>
          </w:p>
        </w:tc>
        <w:tc>
          <w:tcPr>
            <w:tcW w:w="1140" w:type="dxa"/>
            <w:vAlign w:val="bottom"/>
            <w:shd w:val="clear" w:color="auto" w:fill="F5F5F5"/>
          </w:tcPr>
          <w:p>
            <w:pPr>
              <w:spacing w:after="0"/>
              <w:rPr>
                <w:sz w:val="17"/>
                <w:szCs w:val="17"/>
                <w:color w:val="auto"/>
              </w:rPr>
            </w:pPr>
          </w:p>
        </w:tc>
      </w:tr>
      <w:tr>
        <w:trPr>
          <w:trHeight w:val="198"/>
        </w:trPr>
        <w:tc>
          <w:tcPr>
            <w:tcW w:w="5160" w:type="dxa"/>
            <w:vAlign w:val="bottom"/>
          </w:tcPr>
          <w:p>
            <w:pPr>
              <w:ind w:left="20"/>
              <w:spacing w:after="0"/>
              <w:rPr>
                <w:sz w:val="20"/>
                <w:szCs w:val="20"/>
                <w:color w:val="auto"/>
              </w:rPr>
            </w:pPr>
            <w:r>
              <w:rPr>
                <w:rFonts w:ascii="Arial" w:cs="Arial" w:eastAsia="Arial" w:hAnsi="Arial"/>
                <w:sz w:val="14"/>
                <w:szCs w:val="14"/>
                <w:color w:val="auto"/>
              </w:rPr>
              <w:t>Adjustments to EBITDA</w:t>
            </w: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160" w:type="dxa"/>
            <w:vAlign w:val="bottom"/>
            <w:shd w:val="clear" w:color="auto" w:fill="F5F5F5"/>
          </w:tcPr>
          <w:p>
            <w:pPr>
              <w:ind w:left="240"/>
              <w:spacing w:after="0"/>
              <w:rPr>
                <w:sz w:val="20"/>
                <w:szCs w:val="20"/>
                <w:color w:val="auto"/>
              </w:rPr>
            </w:pPr>
            <w:r>
              <w:rPr>
                <w:rFonts w:ascii="Arial" w:cs="Arial" w:eastAsia="Arial" w:hAnsi="Arial"/>
                <w:sz w:val="14"/>
                <w:szCs w:val="14"/>
                <w:color w:val="auto"/>
              </w:rPr>
              <w:t xml:space="preserve">Asset impairment </w:t>
            </w:r>
            <w:r>
              <w:rPr>
                <w:rFonts w:ascii="Arial" w:cs="Arial" w:eastAsia="Arial" w:hAnsi="Arial"/>
                <w:sz w:val="9"/>
                <w:szCs w:val="9"/>
                <w:color w:val="auto"/>
              </w:rPr>
              <w:t>(1)</w:t>
            </w:r>
          </w:p>
        </w:tc>
        <w:tc>
          <w:tcPr>
            <w:tcW w:w="540" w:type="dxa"/>
            <w:vAlign w:val="bottom"/>
            <w:shd w:val="clear" w:color="auto" w:fill="F5F5F5"/>
          </w:tcPr>
          <w:p>
            <w:pPr>
              <w:spacing w:after="0"/>
              <w:rPr>
                <w:sz w:val="17"/>
                <w:szCs w:val="17"/>
                <w:color w:val="auto"/>
              </w:rPr>
            </w:pPr>
          </w:p>
        </w:tc>
        <w:tc>
          <w:tcPr>
            <w:tcW w:w="1320" w:type="dxa"/>
            <w:vAlign w:val="bottom"/>
            <w:gridSpan w:val="3"/>
            <w:shd w:val="clear" w:color="auto" w:fill="F5F5F5"/>
          </w:tcPr>
          <w:p>
            <w:pPr>
              <w:jc w:val="right"/>
              <w:ind w:right="3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F5F5F5"/>
          </w:tcPr>
          <w:p>
            <w:pPr>
              <w:jc w:val="right"/>
              <w:ind w:right="128"/>
              <w:spacing w:after="0"/>
              <w:rPr>
                <w:sz w:val="20"/>
                <w:szCs w:val="20"/>
                <w:color w:val="auto"/>
              </w:rPr>
            </w:pPr>
            <w:r>
              <w:rPr>
                <w:rFonts w:ascii="Arial" w:cs="Arial" w:eastAsia="Arial" w:hAnsi="Arial"/>
                <w:sz w:val="14"/>
                <w:szCs w:val="14"/>
                <w:color w:val="auto"/>
              </w:rPr>
              <w:t>—</w:t>
            </w:r>
          </w:p>
        </w:tc>
        <w:tc>
          <w:tcPr>
            <w:tcW w:w="560" w:type="dxa"/>
            <w:vAlign w:val="bottom"/>
            <w:shd w:val="clear" w:color="auto" w:fill="F5F5F5"/>
          </w:tcPr>
          <w:p>
            <w:pPr>
              <w:spacing w:after="0"/>
              <w:rPr>
                <w:sz w:val="17"/>
                <w:szCs w:val="17"/>
                <w:color w:val="auto"/>
              </w:rPr>
            </w:pPr>
          </w:p>
        </w:tc>
        <w:tc>
          <w:tcPr>
            <w:tcW w:w="106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4,436</w:t>
            </w:r>
          </w:p>
        </w:tc>
        <w:tc>
          <w:tcPr>
            <w:tcW w:w="100" w:type="dxa"/>
            <w:vAlign w:val="bottom"/>
            <w:shd w:val="clear" w:color="auto" w:fill="F5F5F5"/>
          </w:tcPr>
          <w:p>
            <w:pPr>
              <w:spacing w:after="0"/>
              <w:rPr>
                <w:sz w:val="17"/>
                <w:szCs w:val="17"/>
                <w:color w:val="auto"/>
              </w:rPr>
            </w:pPr>
          </w:p>
        </w:tc>
        <w:tc>
          <w:tcPr>
            <w:tcW w:w="160" w:type="dxa"/>
            <w:vAlign w:val="bottom"/>
            <w:shd w:val="clear" w:color="auto" w:fill="F5F5F5"/>
          </w:tcPr>
          <w:p>
            <w:pPr>
              <w:spacing w:after="0"/>
              <w:rPr>
                <w:sz w:val="17"/>
                <w:szCs w:val="17"/>
                <w:color w:val="auto"/>
              </w:rPr>
            </w:pPr>
          </w:p>
        </w:tc>
        <w:tc>
          <w:tcPr>
            <w:tcW w:w="1140" w:type="dxa"/>
            <w:vAlign w:val="bottom"/>
            <w:shd w:val="clear" w:color="auto" w:fill="F5F5F5"/>
          </w:tcPr>
          <w:p>
            <w:pPr>
              <w:jc w:val="right"/>
              <w:ind w:right="128"/>
              <w:spacing w:after="0"/>
              <w:rPr>
                <w:sz w:val="20"/>
                <w:szCs w:val="20"/>
                <w:color w:val="auto"/>
              </w:rPr>
            </w:pPr>
            <w:r>
              <w:rPr>
                <w:rFonts w:ascii="Arial" w:cs="Arial" w:eastAsia="Arial" w:hAnsi="Arial"/>
                <w:sz w:val="14"/>
                <w:szCs w:val="14"/>
                <w:color w:val="auto"/>
              </w:rPr>
              <w:t>0.1</w:t>
            </w:r>
          </w:p>
        </w:tc>
      </w:tr>
      <w:tr>
        <w:trPr>
          <w:trHeight w:val="200"/>
        </w:trPr>
        <w:tc>
          <w:tcPr>
            <w:tcW w:w="5160" w:type="dxa"/>
            <w:vAlign w:val="bottom"/>
          </w:tcPr>
          <w:p>
            <w:pPr>
              <w:ind w:left="20"/>
              <w:spacing w:after="0"/>
              <w:rPr>
                <w:sz w:val="20"/>
                <w:szCs w:val="20"/>
                <w:color w:val="auto"/>
              </w:rPr>
            </w:pPr>
            <w:r>
              <w:rPr>
                <w:rFonts w:ascii="Arial" w:cs="Arial" w:eastAsia="Arial" w:hAnsi="Arial"/>
                <w:sz w:val="14"/>
                <w:szCs w:val="14"/>
                <w:color w:val="auto"/>
              </w:rPr>
              <w:t xml:space="preserve">Adjusted EBITDA </w:t>
            </w:r>
            <w:r>
              <w:rPr>
                <w:rFonts w:ascii="Arial" w:cs="Arial" w:eastAsia="Arial" w:hAnsi="Arial"/>
                <w:sz w:val="9"/>
                <w:szCs w:val="9"/>
                <w:color w:val="auto"/>
              </w:rPr>
              <w:t>(1)</w:t>
            </w:r>
          </w:p>
        </w:tc>
        <w:tc>
          <w:tcPr>
            <w:tcW w:w="54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894,593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18.1</w:t>
            </w:r>
          </w:p>
        </w:tc>
        <w:tc>
          <w:tcPr>
            <w:tcW w:w="56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630,211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14.7</w:t>
            </w:r>
          </w:p>
        </w:tc>
      </w:tr>
      <w:tr>
        <w:trPr>
          <w:trHeight w:val="21"/>
        </w:trPr>
        <w:tc>
          <w:tcPr>
            <w:tcW w:w="5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82" w:lineRule="exact"/>
        <w:rPr>
          <w:sz w:val="20"/>
          <w:szCs w:val="20"/>
          <w:color w:val="auto"/>
        </w:rPr>
      </w:pPr>
    </w:p>
    <w:p>
      <w:pPr>
        <w:ind w:left="340" w:hanging="332"/>
        <w:spacing w:after="0" w:line="227" w:lineRule="auto"/>
        <w:tabs>
          <w:tab w:leader="none" w:pos="339" w:val="left"/>
        </w:tabs>
        <w:numPr>
          <w:ilvl w:val="0"/>
          <w:numId w:val="47"/>
        </w:numPr>
        <w:rPr>
          <w:rFonts w:ascii="Arial" w:cs="Arial" w:eastAsia="Arial" w:hAnsi="Arial"/>
          <w:sz w:val="18"/>
          <w:szCs w:val="18"/>
          <w:b w:val="1"/>
          <w:bCs w:val="1"/>
          <w:color w:val="auto"/>
          <w:vertAlign w:val="superscript"/>
        </w:rPr>
      </w:pPr>
      <w:r>
        <w:rPr>
          <w:rFonts w:ascii="Arial" w:cs="Arial" w:eastAsia="Arial" w:hAnsi="Arial"/>
          <w:sz w:val="13"/>
          <w:szCs w:val="13"/>
          <w:color w:val="auto"/>
        </w:rPr>
        <w:t>EBITDA and Adjusted EBITDA are supplemental financial measures that are not defined or prepared in accordance with GAAP. EBITDA is defined as net income before interest, income taxes and depreciation and amortization. Adjusted EBITDA is EBITDA adjusted for asset impairment.</w:t>
      </w:r>
    </w:p>
    <w:p>
      <w:pPr>
        <w:spacing w:after="0" w:line="200" w:lineRule="exact"/>
        <w:rPr>
          <w:sz w:val="20"/>
          <w:szCs w:val="20"/>
          <w:color w:val="auto"/>
        </w:rPr>
      </w:pPr>
    </w:p>
    <w:p>
      <w:pPr>
        <w:spacing w:after="0" w:line="263"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43</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9"/>
          <w:szCs w:val="29"/>
          <w:u w:val="single" w:color="auto"/>
          <w:color w:val="AC7E65"/>
        </w:rPr>
        <w:t>Item 7A. Quantitative and Qualitative Disclosures About Market Risk</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b w:val="1"/>
          <w:bCs w:val="1"/>
          <w:color w:val="AC7E65"/>
        </w:rPr>
        <w:t>INVESTMENT SECURITIES</w:t>
      </w:r>
    </w:p>
    <w:p>
      <w:pPr>
        <w:spacing w:after="0" w:line="24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maintains its cash equivalents in financial instruments, primarily time deposits and money market funds, with original maturities of three months or less. Recently, the Company invested in short-term marketable securities with maturities less than twelve months. Due to the short-term nature of these instruments, changes in interest rates are not expected to materially affect the fair value of these financial instruments.</w:t>
      </w:r>
    </w:p>
    <w:p>
      <w:pPr>
        <w:spacing w:after="0" w:line="19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Refer to Note 5, “</w:t>
      </w:r>
      <w:r>
        <w:rPr>
          <w:rFonts w:ascii="Arial" w:cs="Arial" w:eastAsia="Arial" w:hAnsi="Arial"/>
          <w:sz w:val="16"/>
          <w:szCs w:val="16"/>
          <w:i w:val="1"/>
          <w:iCs w:val="1"/>
          <w:u w:val="single" w:color="auto"/>
          <w:color w:val="0000FF"/>
        </w:rPr>
        <w:t>INVESTMENTS</w:t>
      </w:r>
      <w:r>
        <w:rPr>
          <w:rFonts w:ascii="Arial" w:cs="Arial" w:eastAsia="Arial" w:hAnsi="Arial"/>
          <w:sz w:val="16"/>
          <w:szCs w:val="16"/>
          <w:color w:val="auto"/>
        </w:rPr>
        <w:t>,” of the Notes to Consolidated Financial Statements included in “</w:t>
      </w:r>
      <w:r>
        <w:rPr>
          <w:rFonts w:ascii="Arial" w:cs="Arial" w:eastAsia="Arial" w:hAnsi="Arial"/>
          <w:sz w:val="16"/>
          <w:szCs w:val="16"/>
          <w:i w:val="1"/>
          <w:iCs w:val="1"/>
          <w:u w:val="single" w:color="auto"/>
          <w:color w:val="0000FF"/>
        </w:rPr>
        <w:t>ITEM 8. FINANCIAL STATEMENTS AND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0000FF"/>
        </w:rPr>
        <w:t>SUPPLEMENTARY DATA</w:t>
      </w:r>
      <w:r>
        <w:rPr>
          <w:rFonts w:ascii="Arial" w:cs="Arial" w:eastAsia="Arial" w:hAnsi="Arial"/>
          <w:sz w:val="16"/>
          <w:szCs w:val="16"/>
          <w:color w:val="000000"/>
        </w:rPr>
        <w:t>” of this Annual Report on Form 10-K for a discussion of the Company’s Rabbi Trust assets.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C7E65"/>
        </w:rPr>
        <w:t>INTEREST RATE RISK</w:t>
      </w:r>
    </w:p>
    <w:p>
      <w:pPr>
        <w:spacing w:after="0" w:line="24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Prior to July 2, 2020, the Company’s exposure to market risk due to changes in interest rates related primarily to the increase or decrease in the amount of interest expense from fluctuations in the LIBO rate, or an alternate base rate associated with the Company’s former term loan facility (the “Term Loan Facility”) and the ABL Facility. On July 2, 2020, the Company issued the Senior Secured Notes and repaid all outstanding borrowings under the Term Loan Facility and the ABL Facility, thereby eliminating any then-existing cash flow market risk due to changes in interest rates. On July 15, 2024, the Company redeemed all of its outstanding Senior Secured Notes, thereby eliminating that interest rate risk. This analysis for Fiscal 2025 may differ from actual results due to potential changes in gross borrowings outstanding under the ABL Facility and potential changes in interest rate terms and limitations described within the ABL Credit Agreement.</w:t>
      </w:r>
    </w:p>
    <w:p>
      <w:pPr>
        <w:spacing w:after="0" w:line="21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July 2017, the Financial Conduct Authority (the authority that regulates LIBO rate) announced it intended to stop compelling banks to submit rates for the calculation of LIBO rate after 2021. Certain publications of the LIBO rate were phased out at the end of 2021 and all LIBO rate publications ceased after June 30, 2023. On March 15, 2023, the Company entered into the First Amendment to the Amended and Restated Credit Agreement to eliminate LIBO rate-based loans and to use the current market definitions with respect to the Secured Overnight Financing Rate, as well as to make other conforming changes.</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C7E65"/>
        </w:rPr>
        <w:t>FOREIGN CURRENCY EXCHANGE RATE RISK</w:t>
      </w:r>
    </w:p>
    <w:p>
      <w:pPr>
        <w:spacing w:after="0" w:line="24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A&amp;F’s international subsidiaries generally operate with functional currencies other than the U.S. Dollar. Since the Company’s Consolidated Financial Statements are presented in U.S. dollars, the Company must translate all components of these financial statements from functional currencies into U.S. dollars at exchange rates in effect during or at the end of the reporting period. The fluctuation in the value of the U.S. dollar against other currencies affects the reported amounts of revenues, expenses, assets and liabilities. The potential impact of foreign currency exchange rate fluctuations increases as international operations relative to domestic operations increase.</w:t>
      </w:r>
    </w:p>
    <w:p>
      <w:pPr>
        <w:spacing w:after="0" w:line="19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A&amp;F and its subsidiaries have exposure to changes in foreign currency exchange rates associated with foreign currency transactions and forecasted foreign currency transactions, including the purchase of inventory between subsidiaries and foreign-currency-denominated assets and liabilities. The Company has established a program that primarily utilizes foreign currency exchange forward contracts to partially offset the risks associated with the effects of certain foreign currency transactions and forecasted transactions. Under this program, increases or decreases in foreign currency exchange rate exposures are partially offset by gains or losses on foreign currency exchange forward contracts, to mitigate the impact of foreign currency exchange gains or losses. The Company does not use forward contracts to engage in currency speculation. Outstanding foreign currency exchange forward contracts are recorded at fair value at the end of each fiscal period.</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Foreign currency exchange forward contracts are sensitive to changes in foreign currency exchange rates. The Company assessed the risk of loss in fair values from the effect of a hypothetical 10% devaluation of the U.S. dollar against the exchange rates for foreign currencies under forward contracts. Such a hypothetical devaluation would decrease derivative instrument fair values by approximately $17.2 million. As the Company’s foreign currency exchange forward contracts are primarily designated as cash flow hedges of forecasted transactions, the hypothetical change in fair values would be expected to be largely offset by the net change in fair values of the underlying hedged items. Refer to Note 14, “</w:t>
      </w:r>
      <w:r>
        <w:rPr>
          <w:rFonts w:ascii="Arial" w:cs="Arial" w:eastAsia="Arial" w:hAnsi="Arial"/>
          <w:sz w:val="16"/>
          <w:szCs w:val="16"/>
          <w:i w:val="1"/>
          <w:iCs w:val="1"/>
          <w:u w:val="single" w:color="auto"/>
          <w:color w:val="0000FF"/>
        </w:rPr>
        <w:t>DERIVATIVE INSTRUMENTS</w:t>
      </w:r>
      <w:r>
        <w:rPr>
          <w:rFonts w:ascii="Arial" w:cs="Arial" w:eastAsia="Arial" w:hAnsi="Arial"/>
          <w:sz w:val="16"/>
          <w:szCs w:val="16"/>
          <w:color w:val="auto"/>
        </w:rPr>
        <w:t>,” included in “</w:t>
      </w:r>
      <w:r>
        <w:rPr>
          <w:rFonts w:ascii="Arial" w:cs="Arial" w:eastAsia="Arial" w:hAnsi="Arial"/>
          <w:sz w:val="16"/>
          <w:szCs w:val="16"/>
          <w:u w:val="single" w:color="auto"/>
          <w:color w:val="0000FF"/>
        </w:rPr>
        <w:t>ITEM 8.</w:t>
      </w:r>
      <w:r>
        <w:rPr>
          <w:rFonts w:ascii="Arial" w:cs="Arial" w:eastAsia="Arial" w:hAnsi="Arial"/>
          <w:sz w:val="16"/>
          <w:szCs w:val="16"/>
          <w:color w:val="auto"/>
        </w:rPr>
        <w:t xml:space="preserve"> </w:t>
      </w:r>
      <w:r>
        <w:rPr>
          <w:rFonts w:ascii="Arial" w:cs="Arial" w:eastAsia="Arial" w:hAnsi="Arial"/>
          <w:sz w:val="16"/>
          <w:szCs w:val="16"/>
          <w:u w:val="single" w:color="auto"/>
          <w:color w:val="0000FF"/>
        </w:rPr>
        <w:t>FINANCIAL STATEMENTS AND SUPPLEMENTARY DATA</w:t>
      </w:r>
      <w:r>
        <w:rPr>
          <w:rFonts w:ascii="Arial" w:cs="Arial" w:eastAsia="Arial" w:hAnsi="Arial"/>
          <w:sz w:val="16"/>
          <w:szCs w:val="16"/>
          <w:color w:val="000000"/>
        </w:rPr>
        <w:t>” of this Annual Report on Form 10-K for the fair value of outstanding foreign currency exchange</w:t>
      </w:r>
      <w:r>
        <w:rPr>
          <w:rFonts w:ascii="Arial" w:cs="Arial" w:eastAsia="Arial" w:hAnsi="Arial"/>
          <w:sz w:val="16"/>
          <w:szCs w:val="16"/>
          <w:color w:val="0000FF"/>
        </w:rPr>
        <w:t xml:space="preserve"> </w:t>
      </w:r>
      <w:r>
        <w:rPr>
          <w:rFonts w:ascii="Arial" w:cs="Arial" w:eastAsia="Arial" w:hAnsi="Arial"/>
          <w:sz w:val="16"/>
          <w:szCs w:val="16"/>
          <w:color w:val="000000"/>
        </w:rPr>
        <w:t>forward contracts included in other current assets and accrued expenses as of February 1, 2025 and February 3, 2024.</w:t>
      </w:r>
    </w:p>
    <w:p>
      <w:pPr>
        <w:spacing w:after="0" w:line="217"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For a detailed discussion of material risk factors that have the potential to cause our actual results to differ materially from our expectations, refer to “</w:t>
      </w:r>
      <w:r>
        <w:rPr>
          <w:rFonts w:ascii="Arial" w:cs="Arial" w:eastAsia="Arial" w:hAnsi="Arial"/>
          <w:sz w:val="16"/>
          <w:szCs w:val="16"/>
          <w:u w:val="single" w:color="auto"/>
          <w:color w:val="0000FF"/>
        </w:rPr>
        <w:t>ITEM</w:t>
      </w:r>
      <w:r>
        <w:rPr>
          <w:rFonts w:ascii="Arial" w:cs="Arial" w:eastAsia="Arial" w:hAnsi="Arial"/>
          <w:sz w:val="16"/>
          <w:szCs w:val="16"/>
          <w:color w:val="auto"/>
        </w:rPr>
        <w:t xml:space="preserve"> </w:t>
      </w:r>
      <w:r>
        <w:rPr>
          <w:rFonts w:ascii="Arial" w:cs="Arial" w:eastAsia="Arial" w:hAnsi="Arial"/>
          <w:sz w:val="16"/>
          <w:szCs w:val="16"/>
          <w:u w:val="single" w:color="auto"/>
          <w:color w:val="0000FF"/>
        </w:rPr>
        <w:t>1A. RISK FACTORS</w:t>
      </w:r>
      <w:r>
        <w:rPr>
          <w:rFonts w:ascii="Arial" w:cs="Arial" w:eastAsia="Arial" w:hAnsi="Arial"/>
          <w:sz w:val="16"/>
          <w:szCs w:val="16"/>
          <w:color w:val="000000"/>
        </w:rPr>
        <w:t>,” included in this Annual Report on Form 10-K.</w:t>
      </w:r>
    </w:p>
    <w:p>
      <w:pPr>
        <w:spacing w:after="0" w:line="200" w:lineRule="exact"/>
        <w:rPr>
          <w:sz w:val="20"/>
          <w:szCs w:val="20"/>
          <w:color w:val="auto"/>
        </w:rPr>
      </w:pPr>
    </w:p>
    <w:p>
      <w:pPr>
        <w:spacing w:after="0" w:line="230"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44</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9"/>
          <w:szCs w:val="29"/>
          <w:u w:val="single" w:color="auto"/>
          <w:color w:val="AC7E65"/>
        </w:rPr>
        <w:t>Item 8. Financial Statements and Supplementary Data</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Abercrombie &amp; Fitch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except per share amounts)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gridSpan w:val="2"/>
          </w:tcPr>
          <w:p>
            <w:pPr>
              <w:ind w:left="340"/>
              <w:spacing w:after="0"/>
              <w:rPr>
                <w:sz w:val="20"/>
                <w:szCs w:val="20"/>
                <w:color w:val="auto"/>
              </w:rPr>
            </w:pPr>
            <w:r>
              <w:rPr>
                <w:rFonts w:ascii="Arial" w:cs="Arial" w:eastAsia="Arial" w:hAnsi="Arial"/>
                <w:sz w:val="14"/>
                <w:szCs w:val="14"/>
                <w:color w:val="auto"/>
              </w:rPr>
              <w:t>Fiscal 2024</w:t>
            </w:r>
          </w:p>
        </w:tc>
        <w:tc>
          <w:tcPr>
            <w:tcW w:w="440" w:type="dxa"/>
            <w:vAlign w:val="bottom"/>
          </w:tcPr>
          <w:p>
            <w:pPr>
              <w:spacing w:after="0"/>
              <w:rPr>
                <w:sz w:val="16"/>
                <w:szCs w:val="16"/>
                <w:color w:val="auto"/>
              </w:rPr>
            </w:pPr>
          </w:p>
        </w:tc>
        <w:tc>
          <w:tcPr>
            <w:tcW w:w="1200" w:type="dxa"/>
            <w:vAlign w:val="bottom"/>
            <w:gridSpan w:val="2"/>
          </w:tcPr>
          <w:p>
            <w:pPr>
              <w:ind w:left="340"/>
              <w:spacing w:after="0"/>
              <w:rPr>
                <w:sz w:val="20"/>
                <w:szCs w:val="20"/>
                <w:color w:val="auto"/>
              </w:rPr>
            </w:pPr>
            <w:r>
              <w:rPr>
                <w:rFonts w:ascii="Arial" w:cs="Arial" w:eastAsia="Arial" w:hAnsi="Arial"/>
                <w:sz w:val="14"/>
                <w:szCs w:val="14"/>
                <w:color w:val="auto"/>
              </w:rPr>
              <w:t>Fiscal 2023</w:t>
            </w:r>
          </w:p>
        </w:tc>
        <w:tc>
          <w:tcPr>
            <w:tcW w:w="4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Fiscal 2022</w:t>
            </w:r>
          </w:p>
        </w:tc>
        <w:tc>
          <w:tcPr>
            <w:tcW w:w="0" w:type="dxa"/>
            <w:vAlign w:val="bottom"/>
          </w:tcPr>
          <w:p>
            <w:pPr>
              <w:spacing w:after="0"/>
              <w:rPr>
                <w:sz w:val="1"/>
                <w:szCs w:val="1"/>
                <w:color w:val="auto"/>
              </w:rPr>
            </w:pPr>
          </w:p>
        </w:tc>
      </w:tr>
      <w:tr>
        <w:trPr>
          <w:trHeight w:val="200"/>
        </w:trPr>
        <w:tc>
          <w:tcPr>
            <w:tcW w:w="6440" w:type="dxa"/>
            <w:vAlign w:val="bottom"/>
            <w:tcBorders>
              <w:top w:val="single" w:sz="8" w:color="F5F5F5"/>
            </w:tcBorders>
            <w:shd w:val="clear" w:color="auto" w:fill="F5F5F5"/>
          </w:tcPr>
          <w:p>
            <w:pPr>
              <w:ind w:left="20"/>
              <w:spacing w:after="0"/>
              <w:rPr>
                <w:sz w:val="20"/>
                <w:szCs w:val="20"/>
                <w:color w:val="auto"/>
              </w:rPr>
            </w:pPr>
            <w:r>
              <w:rPr>
                <w:rFonts w:ascii="Arial" w:cs="Arial" w:eastAsia="Arial" w:hAnsi="Arial"/>
                <w:sz w:val="14"/>
                <w:szCs w:val="14"/>
                <w:color w:val="auto"/>
              </w:rPr>
              <w:t>Net sales</w:t>
            </w:r>
          </w:p>
        </w:tc>
        <w:tc>
          <w:tcPr>
            <w:tcW w:w="420" w:type="dxa"/>
            <w:vAlign w:val="bottom"/>
            <w:tcBorders>
              <w:top w:val="single" w:sz="8" w:color="auto"/>
            </w:tcBorders>
            <w:shd w:val="clear" w:color="auto" w:fill="F5F5F5"/>
          </w:tcPr>
          <w:p>
            <w:pPr>
              <w:jc w:val="right"/>
              <w:ind w:right="2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4,948,587</w:t>
            </w:r>
          </w:p>
        </w:tc>
        <w:tc>
          <w:tcPr>
            <w:tcW w:w="100" w:type="dxa"/>
            <w:vAlign w:val="bottom"/>
            <w:tcBorders>
              <w:top w:val="single" w:sz="8" w:color="F5F5F5"/>
            </w:tcBorders>
            <w:shd w:val="clear" w:color="auto" w:fill="F5F5F5"/>
          </w:tcPr>
          <w:p>
            <w:pPr>
              <w:spacing w:after="0"/>
              <w:rPr>
                <w:sz w:val="17"/>
                <w:szCs w:val="17"/>
                <w:color w:val="auto"/>
              </w:rPr>
            </w:pPr>
          </w:p>
        </w:tc>
        <w:tc>
          <w:tcPr>
            <w:tcW w:w="440" w:type="dxa"/>
            <w:vAlign w:val="bottom"/>
            <w:tcBorders>
              <w:top w:val="single" w:sz="8" w:color="auto"/>
            </w:tcBorders>
            <w:shd w:val="clear" w:color="auto" w:fill="F5F5F5"/>
          </w:tcPr>
          <w:p>
            <w:pPr>
              <w:jc w:val="right"/>
              <w:ind w:right="2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4,280,677</w:t>
            </w:r>
          </w:p>
        </w:tc>
        <w:tc>
          <w:tcPr>
            <w:tcW w:w="100" w:type="dxa"/>
            <w:vAlign w:val="bottom"/>
            <w:tcBorders>
              <w:top w:val="single" w:sz="8" w:color="F5F5F5"/>
            </w:tcBorders>
            <w:shd w:val="clear" w:color="auto" w:fill="F5F5F5"/>
          </w:tcPr>
          <w:p>
            <w:pPr>
              <w:spacing w:after="0"/>
              <w:rPr>
                <w:sz w:val="17"/>
                <w:szCs w:val="17"/>
                <w:color w:val="auto"/>
              </w:rPr>
            </w:pPr>
          </w:p>
        </w:tc>
        <w:tc>
          <w:tcPr>
            <w:tcW w:w="440" w:type="dxa"/>
            <w:vAlign w:val="bottom"/>
            <w:tcBorders>
              <w:top w:val="single" w:sz="8" w:color="auto"/>
            </w:tcBorders>
            <w:shd w:val="clear" w:color="auto" w:fill="F5F5F5"/>
          </w:tcPr>
          <w:p>
            <w:pPr>
              <w:jc w:val="right"/>
              <w:ind w:right="2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3,697,751</w:t>
            </w:r>
          </w:p>
        </w:tc>
        <w:tc>
          <w:tcPr>
            <w:tcW w:w="0" w:type="dxa"/>
            <w:vAlign w:val="bottom"/>
          </w:tcPr>
          <w:p>
            <w:pPr>
              <w:spacing w:after="0"/>
              <w:rPr>
                <w:sz w:val="1"/>
                <w:szCs w:val="1"/>
                <w:color w:val="auto"/>
              </w:rPr>
            </w:pPr>
          </w:p>
        </w:tc>
      </w:tr>
      <w:tr>
        <w:trPr>
          <w:trHeight w:val="198"/>
        </w:trPr>
        <w:tc>
          <w:tcPr>
            <w:tcW w:w="6440" w:type="dxa"/>
            <w:vAlign w:val="bottom"/>
          </w:tcPr>
          <w:p>
            <w:pPr>
              <w:ind w:left="20"/>
              <w:spacing w:after="0"/>
              <w:rPr>
                <w:sz w:val="20"/>
                <w:szCs w:val="20"/>
                <w:color w:val="auto"/>
              </w:rPr>
            </w:pPr>
            <w:r>
              <w:rPr>
                <w:rFonts w:ascii="Arial" w:cs="Arial" w:eastAsia="Arial" w:hAnsi="Arial"/>
                <w:sz w:val="14"/>
                <w:szCs w:val="14"/>
                <w:color w:val="auto"/>
              </w:rPr>
              <w:t>Cost of sales, exclusive of depreciation and amortization</w:t>
            </w:r>
          </w:p>
        </w:tc>
        <w:tc>
          <w:tcPr>
            <w:tcW w:w="4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1,773,926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1,587,265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1,593,213</w:t>
            </w:r>
          </w:p>
        </w:tc>
        <w:tc>
          <w:tcPr>
            <w:tcW w:w="0" w:type="dxa"/>
            <w:vAlign w:val="bottom"/>
          </w:tcPr>
          <w:p>
            <w:pPr>
              <w:spacing w:after="0"/>
              <w:rPr>
                <w:sz w:val="1"/>
                <w:szCs w:val="1"/>
                <w:color w:val="auto"/>
              </w:rPr>
            </w:pPr>
          </w:p>
        </w:tc>
      </w:tr>
      <w:tr>
        <w:trPr>
          <w:trHeight w:val="207"/>
        </w:trPr>
        <w:tc>
          <w:tcPr>
            <w:tcW w:w="6440" w:type="dxa"/>
            <w:vAlign w:val="bottom"/>
            <w:shd w:val="clear" w:color="auto" w:fill="F5F5F5"/>
          </w:tcPr>
          <w:p>
            <w:pPr>
              <w:ind w:left="20"/>
              <w:spacing w:after="0"/>
              <w:rPr>
                <w:sz w:val="20"/>
                <w:szCs w:val="20"/>
                <w:color w:val="auto"/>
              </w:rPr>
            </w:pPr>
            <w:r>
              <w:rPr>
                <w:rFonts w:ascii="Arial" w:cs="Arial" w:eastAsia="Arial" w:hAnsi="Arial"/>
                <w:sz w:val="14"/>
                <w:szCs w:val="14"/>
                <w:color w:val="auto"/>
              </w:rPr>
              <w:t>Selling expense</w:t>
            </w:r>
          </w:p>
        </w:tc>
        <w:tc>
          <w:tcPr>
            <w:tcW w:w="420" w:type="dxa"/>
            <w:vAlign w:val="bottom"/>
            <w:shd w:val="clear" w:color="auto" w:fill="F5F5F5"/>
          </w:tcPr>
          <w:p>
            <w:pPr>
              <w:spacing w:after="0"/>
              <w:rPr>
                <w:sz w:val="17"/>
                <w:szCs w:val="17"/>
                <w:color w:val="auto"/>
              </w:rPr>
            </w:pPr>
          </w:p>
        </w:tc>
        <w:tc>
          <w:tcPr>
            <w:tcW w:w="11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1,689,988</w:t>
            </w:r>
          </w:p>
        </w:tc>
        <w:tc>
          <w:tcPr>
            <w:tcW w:w="100" w:type="dxa"/>
            <w:vAlign w:val="bottom"/>
            <w:shd w:val="clear" w:color="auto" w:fill="F5F5F5"/>
          </w:tcPr>
          <w:p>
            <w:pPr>
              <w:spacing w:after="0"/>
              <w:rPr>
                <w:sz w:val="17"/>
                <w:szCs w:val="17"/>
                <w:color w:val="auto"/>
              </w:rPr>
            </w:pPr>
          </w:p>
        </w:tc>
        <w:tc>
          <w:tcPr>
            <w:tcW w:w="440" w:type="dxa"/>
            <w:vAlign w:val="bottom"/>
            <w:shd w:val="clear" w:color="auto" w:fill="F5F5F5"/>
          </w:tcPr>
          <w:p>
            <w:pPr>
              <w:spacing w:after="0"/>
              <w:rPr>
                <w:sz w:val="17"/>
                <w:szCs w:val="17"/>
                <w:color w:val="auto"/>
              </w:rPr>
            </w:pPr>
          </w:p>
        </w:tc>
        <w:tc>
          <w:tcPr>
            <w:tcW w:w="110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1,533,438</w:t>
            </w:r>
          </w:p>
        </w:tc>
        <w:tc>
          <w:tcPr>
            <w:tcW w:w="100" w:type="dxa"/>
            <w:vAlign w:val="bottom"/>
            <w:shd w:val="clear" w:color="auto" w:fill="F5F5F5"/>
          </w:tcPr>
          <w:p>
            <w:pPr>
              <w:spacing w:after="0"/>
              <w:rPr>
                <w:sz w:val="17"/>
                <w:szCs w:val="17"/>
                <w:color w:val="auto"/>
              </w:rPr>
            </w:pPr>
          </w:p>
        </w:tc>
        <w:tc>
          <w:tcPr>
            <w:tcW w:w="440" w:type="dxa"/>
            <w:vAlign w:val="bottom"/>
            <w:shd w:val="clear" w:color="auto" w:fill="F5F5F5"/>
          </w:tcPr>
          <w:p>
            <w:pPr>
              <w:spacing w:after="0"/>
              <w:rPr>
                <w:sz w:val="17"/>
                <w:szCs w:val="17"/>
                <w:color w:val="auto"/>
              </w:rPr>
            </w:pPr>
          </w:p>
        </w:tc>
        <w:tc>
          <w:tcPr>
            <w:tcW w:w="11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1,462,011</w:t>
            </w:r>
          </w:p>
        </w:tc>
        <w:tc>
          <w:tcPr>
            <w:tcW w:w="0" w:type="dxa"/>
            <w:vAlign w:val="bottom"/>
          </w:tcPr>
          <w:p>
            <w:pPr>
              <w:spacing w:after="0"/>
              <w:rPr>
                <w:sz w:val="1"/>
                <w:szCs w:val="1"/>
                <w:color w:val="auto"/>
              </w:rPr>
            </w:pPr>
          </w:p>
        </w:tc>
      </w:tr>
      <w:tr>
        <w:trPr>
          <w:trHeight w:val="198"/>
        </w:trPr>
        <w:tc>
          <w:tcPr>
            <w:tcW w:w="6440" w:type="dxa"/>
            <w:vAlign w:val="bottom"/>
          </w:tcPr>
          <w:p>
            <w:pPr>
              <w:ind w:left="20"/>
              <w:spacing w:after="0"/>
              <w:rPr>
                <w:sz w:val="20"/>
                <w:szCs w:val="20"/>
                <w:color w:val="auto"/>
              </w:rPr>
            </w:pPr>
            <w:r>
              <w:rPr>
                <w:rFonts w:ascii="Arial" w:cs="Arial" w:eastAsia="Arial" w:hAnsi="Arial"/>
                <w:sz w:val="14"/>
                <w:szCs w:val="14"/>
                <w:color w:val="auto"/>
              </w:rPr>
              <w:t>General and administrative expense</w:t>
            </w:r>
          </w:p>
        </w:tc>
        <w:tc>
          <w:tcPr>
            <w:tcW w:w="4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750,485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681,176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552,553</w:t>
            </w:r>
          </w:p>
        </w:tc>
        <w:tc>
          <w:tcPr>
            <w:tcW w:w="0" w:type="dxa"/>
            <w:vAlign w:val="bottom"/>
          </w:tcPr>
          <w:p>
            <w:pPr>
              <w:spacing w:after="0"/>
              <w:rPr>
                <w:sz w:val="1"/>
                <w:szCs w:val="1"/>
                <w:color w:val="auto"/>
              </w:rPr>
            </w:pPr>
          </w:p>
        </w:tc>
      </w:tr>
      <w:tr>
        <w:trPr>
          <w:trHeight w:val="207"/>
        </w:trPr>
        <w:tc>
          <w:tcPr>
            <w:tcW w:w="6440" w:type="dxa"/>
            <w:vAlign w:val="bottom"/>
            <w:shd w:val="clear" w:color="auto" w:fill="F5F5F5"/>
          </w:tcPr>
          <w:p>
            <w:pPr>
              <w:ind w:left="20"/>
              <w:spacing w:after="0"/>
              <w:rPr>
                <w:sz w:val="20"/>
                <w:szCs w:val="20"/>
                <w:color w:val="auto"/>
              </w:rPr>
            </w:pPr>
            <w:r>
              <w:rPr>
                <w:rFonts w:ascii="Arial" w:cs="Arial" w:eastAsia="Arial" w:hAnsi="Arial"/>
                <w:sz w:val="14"/>
                <w:szCs w:val="14"/>
                <w:color w:val="auto"/>
              </w:rPr>
              <w:t>Other operating income, net</w:t>
            </w:r>
          </w:p>
        </w:tc>
        <w:tc>
          <w:tcPr>
            <w:tcW w:w="420" w:type="dxa"/>
            <w:vAlign w:val="bottom"/>
            <w:tcBorders>
              <w:bottom w:val="single" w:sz="8" w:color="auto"/>
            </w:tcBorders>
            <w:shd w:val="clear" w:color="auto" w:fill="F5F5F5"/>
          </w:tcPr>
          <w:p>
            <w:pPr>
              <w:spacing w:after="0"/>
              <w:rPr>
                <w:sz w:val="17"/>
                <w:szCs w:val="17"/>
                <w:color w:val="auto"/>
              </w:rPr>
            </w:pPr>
          </w:p>
        </w:tc>
        <w:tc>
          <w:tcPr>
            <w:tcW w:w="110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(6,632)</w:t>
            </w:r>
          </w:p>
        </w:tc>
        <w:tc>
          <w:tcPr>
            <w:tcW w:w="100" w:type="dxa"/>
            <w:vAlign w:val="bottom"/>
            <w:shd w:val="clear" w:color="auto" w:fill="F5F5F5"/>
          </w:tcPr>
          <w:p>
            <w:pPr>
              <w:spacing w:after="0"/>
              <w:rPr>
                <w:sz w:val="17"/>
                <w:szCs w:val="17"/>
                <w:color w:val="auto"/>
              </w:rPr>
            </w:pPr>
          </w:p>
        </w:tc>
        <w:tc>
          <w:tcPr>
            <w:tcW w:w="440" w:type="dxa"/>
            <w:vAlign w:val="bottom"/>
            <w:tcBorders>
              <w:bottom w:val="single" w:sz="8" w:color="auto"/>
            </w:tcBorders>
            <w:shd w:val="clear" w:color="auto" w:fill="F5F5F5"/>
          </w:tcPr>
          <w:p>
            <w:pPr>
              <w:spacing w:after="0"/>
              <w:rPr>
                <w:sz w:val="17"/>
                <w:szCs w:val="17"/>
                <w:color w:val="auto"/>
              </w:rPr>
            </w:pPr>
          </w:p>
        </w:tc>
        <w:tc>
          <w:tcPr>
            <w:tcW w:w="110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(5,873)</w:t>
            </w:r>
          </w:p>
        </w:tc>
        <w:tc>
          <w:tcPr>
            <w:tcW w:w="100" w:type="dxa"/>
            <w:vAlign w:val="bottom"/>
            <w:shd w:val="clear" w:color="auto" w:fill="F5F5F5"/>
          </w:tcPr>
          <w:p>
            <w:pPr>
              <w:spacing w:after="0"/>
              <w:rPr>
                <w:sz w:val="17"/>
                <w:szCs w:val="17"/>
                <w:color w:val="auto"/>
              </w:rPr>
            </w:pPr>
          </w:p>
        </w:tc>
        <w:tc>
          <w:tcPr>
            <w:tcW w:w="440" w:type="dxa"/>
            <w:vAlign w:val="bottom"/>
            <w:tcBorders>
              <w:bottom w:val="single" w:sz="8" w:color="auto"/>
            </w:tcBorders>
            <w:shd w:val="clear" w:color="auto" w:fill="F5F5F5"/>
          </w:tcPr>
          <w:p>
            <w:pPr>
              <w:spacing w:after="0"/>
              <w:rPr>
                <w:sz w:val="17"/>
                <w:szCs w:val="17"/>
                <w:color w:val="auto"/>
              </w:rPr>
            </w:pPr>
          </w:p>
        </w:tc>
        <w:tc>
          <w:tcPr>
            <w:tcW w:w="110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(2,674)</w:t>
            </w:r>
          </w:p>
        </w:tc>
        <w:tc>
          <w:tcPr>
            <w:tcW w:w="0" w:type="dxa"/>
            <w:vAlign w:val="bottom"/>
          </w:tcPr>
          <w:p>
            <w:pPr>
              <w:spacing w:after="0"/>
              <w:rPr>
                <w:sz w:val="1"/>
                <w:szCs w:val="1"/>
                <w:color w:val="auto"/>
              </w:rPr>
            </w:pPr>
          </w:p>
        </w:tc>
      </w:tr>
      <w:tr>
        <w:trPr>
          <w:trHeight w:val="192"/>
        </w:trPr>
        <w:tc>
          <w:tcPr>
            <w:tcW w:w="644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4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740,820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484,671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92,648</w:t>
            </w:r>
          </w:p>
        </w:tc>
        <w:tc>
          <w:tcPr>
            <w:tcW w:w="0" w:type="dxa"/>
            <w:vAlign w:val="bottom"/>
          </w:tcPr>
          <w:p>
            <w:pPr>
              <w:spacing w:after="0"/>
              <w:rPr>
                <w:sz w:val="1"/>
                <w:szCs w:val="1"/>
                <w:color w:val="auto"/>
              </w:rPr>
            </w:pPr>
          </w:p>
        </w:tc>
      </w:tr>
      <w:tr>
        <w:trPr>
          <w:trHeight w:val="207"/>
        </w:trPr>
        <w:tc>
          <w:tcPr>
            <w:tcW w:w="6440" w:type="dxa"/>
            <w:vAlign w:val="bottom"/>
            <w:shd w:val="clear" w:color="auto" w:fill="F5F5F5"/>
          </w:tcPr>
          <w:p>
            <w:pPr>
              <w:ind w:left="20"/>
              <w:spacing w:after="0"/>
              <w:rPr>
                <w:sz w:val="20"/>
                <w:szCs w:val="20"/>
                <w:color w:val="auto"/>
              </w:rPr>
            </w:pPr>
            <w:r>
              <w:rPr>
                <w:rFonts w:ascii="Arial" w:cs="Arial" w:eastAsia="Arial" w:hAnsi="Arial"/>
                <w:sz w:val="14"/>
                <w:szCs w:val="14"/>
                <w:color w:val="auto"/>
              </w:rPr>
              <w:t>Interest expense</w:t>
            </w:r>
          </w:p>
        </w:tc>
        <w:tc>
          <w:tcPr>
            <w:tcW w:w="420" w:type="dxa"/>
            <w:vAlign w:val="bottom"/>
            <w:shd w:val="clear" w:color="auto" w:fill="F5F5F5"/>
          </w:tcPr>
          <w:p>
            <w:pPr>
              <w:spacing w:after="0"/>
              <w:rPr>
                <w:sz w:val="17"/>
                <w:szCs w:val="17"/>
                <w:color w:val="auto"/>
              </w:rPr>
            </w:pPr>
          </w:p>
        </w:tc>
        <w:tc>
          <w:tcPr>
            <w:tcW w:w="11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12,077</w:t>
            </w:r>
          </w:p>
        </w:tc>
        <w:tc>
          <w:tcPr>
            <w:tcW w:w="100" w:type="dxa"/>
            <w:vAlign w:val="bottom"/>
            <w:shd w:val="clear" w:color="auto" w:fill="F5F5F5"/>
          </w:tcPr>
          <w:p>
            <w:pPr>
              <w:spacing w:after="0"/>
              <w:rPr>
                <w:sz w:val="17"/>
                <w:szCs w:val="17"/>
                <w:color w:val="auto"/>
              </w:rPr>
            </w:pPr>
          </w:p>
        </w:tc>
        <w:tc>
          <w:tcPr>
            <w:tcW w:w="440" w:type="dxa"/>
            <w:vAlign w:val="bottom"/>
            <w:shd w:val="clear" w:color="auto" w:fill="F5F5F5"/>
          </w:tcPr>
          <w:p>
            <w:pPr>
              <w:spacing w:after="0"/>
              <w:rPr>
                <w:sz w:val="17"/>
                <w:szCs w:val="17"/>
                <w:color w:val="auto"/>
              </w:rPr>
            </w:pPr>
          </w:p>
        </w:tc>
        <w:tc>
          <w:tcPr>
            <w:tcW w:w="110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30,352</w:t>
            </w:r>
          </w:p>
        </w:tc>
        <w:tc>
          <w:tcPr>
            <w:tcW w:w="100" w:type="dxa"/>
            <w:vAlign w:val="bottom"/>
            <w:shd w:val="clear" w:color="auto" w:fill="F5F5F5"/>
          </w:tcPr>
          <w:p>
            <w:pPr>
              <w:spacing w:after="0"/>
              <w:rPr>
                <w:sz w:val="17"/>
                <w:szCs w:val="17"/>
                <w:color w:val="auto"/>
              </w:rPr>
            </w:pPr>
          </w:p>
        </w:tc>
        <w:tc>
          <w:tcPr>
            <w:tcW w:w="440" w:type="dxa"/>
            <w:vAlign w:val="bottom"/>
            <w:shd w:val="clear" w:color="auto" w:fill="F5F5F5"/>
          </w:tcPr>
          <w:p>
            <w:pPr>
              <w:spacing w:after="0"/>
              <w:rPr>
                <w:sz w:val="17"/>
                <w:szCs w:val="17"/>
                <w:color w:val="auto"/>
              </w:rPr>
            </w:pPr>
          </w:p>
        </w:tc>
        <w:tc>
          <w:tcPr>
            <w:tcW w:w="11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30,236</w:t>
            </w:r>
          </w:p>
        </w:tc>
        <w:tc>
          <w:tcPr>
            <w:tcW w:w="0" w:type="dxa"/>
            <w:vAlign w:val="bottom"/>
          </w:tcPr>
          <w:p>
            <w:pPr>
              <w:spacing w:after="0"/>
              <w:rPr>
                <w:sz w:val="1"/>
                <w:szCs w:val="1"/>
                <w:color w:val="auto"/>
              </w:rPr>
            </w:pPr>
          </w:p>
        </w:tc>
      </w:tr>
      <w:tr>
        <w:trPr>
          <w:trHeight w:val="198"/>
        </w:trPr>
        <w:tc>
          <w:tcPr>
            <w:tcW w:w="6440" w:type="dxa"/>
            <w:vAlign w:val="bottom"/>
            <w:tcBorders>
              <w:bottom w:val="single" w:sz="8" w:color="F5F5F5"/>
            </w:tcBorders>
          </w:tcPr>
          <w:p>
            <w:pPr>
              <w:ind w:left="20"/>
              <w:spacing w:after="0"/>
              <w:rPr>
                <w:sz w:val="20"/>
                <w:szCs w:val="20"/>
                <w:color w:val="auto"/>
              </w:rPr>
            </w:pPr>
            <w:r>
              <w:rPr>
                <w:rFonts w:ascii="Arial" w:cs="Arial" w:eastAsia="Arial" w:hAnsi="Arial"/>
                <w:sz w:val="14"/>
                <w:szCs w:val="14"/>
                <w:color w:val="auto"/>
              </w:rPr>
              <w:t>Interest income</w:t>
            </w: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(39,934)</w:t>
            </w:r>
          </w:p>
        </w:tc>
        <w:tc>
          <w:tcPr>
            <w:tcW w:w="100" w:type="dxa"/>
            <w:vAlign w:val="bottom"/>
            <w:tcBorders>
              <w:bottom w:val="single" w:sz="8" w:color="F5F5F5"/>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(29,980)</w:t>
            </w:r>
          </w:p>
        </w:tc>
        <w:tc>
          <w:tcPr>
            <w:tcW w:w="100" w:type="dxa"/>
            <w:vAlign w:val="bottom"/>
            <w:tcBorders>
              <w:bottom w:val="single" w:sz="8" w:color="F5F5F5"/>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(4,604)</w:t>
            </w:r>
          </w:p>
        </w:tc>
        <w:tc>
          <w:tcPr>
            <w:tcW w:w="0" w:type="dxa"/>
            <w:vAlign w:val="bottom"/>
          </w:tcPr>
          <w:p>
            <w:pPr>
              <w:spacing w:after="0"/>
              <w:rPr>
                <w:sz w:val="1"/>
                <w:szCs w:val="1"/>
                <w:color w:val="auto"/>
              </w:rPr>
            </w:pPr>
          </w:p>
        </w:tc>
      </w:tr>
      <w:tr>
        <w:trPr>
          <w:trHeight w:val="200"/>
        </w:trPr>
        <w:tc>
          <w:tcPr>
            <w:tcW w:w="6440" w:type="dxa"/>
            <w:vAlign w:val="bottom"/>
            <w:shd w:val="clear" w:color="auto" w:fill="F5F5F5"/>
          </w:tcPr>
          <w:p>
            <w:pPr>
              <w:ind w:left="20"/>
              <w:spacing w:after="0"/>
              <w:rPr>
                <w:sz w:val="20"/>
                <w:szCs w:val="20"/>
                <w:color w:val="auto"/>
              </w:rPr>
            </w:pPr>
            <w:r>
              <w:rPr>
                <w:rFonts w:ascii="Arial" w:cs="Arial" w:eastAsia="Arial" w:hAnsi="Arial"/>
                <w:sz w:val="14"/>
                <w:szCs w:val="14"/>
                <w:color w:val="auto"/>
              </w:rPr>
              <w:t>Interest (income) expense, net</w:t>
            </w:r>
          </w:p>
        </w:tc>
        <w:tc>
          <w:tcPr>
            <w:tcW w:w="420" w:type="dxa"/>
            <w:vAlign w:val="bottom"/>
            <w:tcBorders>
              <w:bottom w:val="single" w:sz="8" w:color="auto"/>
            </w:tcBorders>
            <w:shd w:val="clear" w:color="auto" w:fill="F5F5F5"/>
          </w:tcPr>
          <w:p>
            <w:pPr>
              <w:spacing w:after="0"/>
              <w:rPr>
                <w:sz w:val="17"/>
                <w:szCs w:val="17"/>
                <w:color w:val="auto"/>
              </w:rPr>
            </w:pPr>
          </w:p>
        </w:tc>
        <w:tc>
          <w:tcPr>
            <w:tcW w:w="110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(27,857)</w:t>
            </w:r>
          </w:p>
        </w:tc>
        <w:tc>
          <w:tcPr>
            <w:tcW w:w="100" w:type="dxa"/>
            <w:vAlign w:val="bottom"/>
            <w:shd w:val="clear" w:color="auto" w:fill="F5F5F5"/>
          </w:tcPr>
          <w:p>
            <w:pPr>
              <w:spacing w:after="0"/>
              <w:rPr>
                <w:sz w:val="17"/>
                <w:szCs w:val="17"/>
                <w:color w:val="auto"/>
              </w:rPr>
            </w:pPr>
          </w:p>
        </w:tc>
        <w:tc>
          <w:tcPr>
            <w:tcW w:w="440" w:type="dxa"/>
            <w:vAlign w:val="bottom"/>
            <w:tcBorders>
              <w:bottom w:val="single" w:sz="8" w:color="auto"/>
            </w:tcBorders>
            <w:shd w:val="clear" w:color="auto" w:fill="F5F5F5"/>
          </w:tcPr>
          <w:p>
            <w:pPr>
              <w:spacing w:after="0"/>
              <w:rPr>
                <w:sz w:val="17"/>
                <w:szCs w:val="17"/>
                <w:color w:val="auto"/>
              </w:rPr>
            </w:pPr>
          </w:p>
        </w:tc>
        <w:tc>
          <w:tcPr>
            <w:tcW w:w="1100" w:type="dxa"/>
            <w:vAlign w:val="bottom"/>
            <w:tcBorders>
              <w:bottom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372</w:t>
            </w:r>
          </w:p>
        </w:tc>
        <w:tc>
          <w:tcPr>
            <w:tcW w:w="100" w:type="dxa"/>
            <w:vAlign w:val="bottom"/>
            <w:shd w:val="clear" w:color="auto" w:fill="F5F5F5"/>
          </w:tcPr>
          <w:p>
            <w:pPr>
              <w:spacing w:after="0"/>
              <w:rPr>
                <w:sz w:val="17"/>
                <w:szCs w:val="17"/>
                <w:color w:val="auto"/>
              </w:rPr>
            </w:pPr>
          </w:p>
        </w:tc>
        <w:tc>
          <w:tcPr>
            <w:tcW w:w="440" w:type="dxa"/>
            <w:vAlign w:val="bottom"/>
            <w:tcBorders>
              <w:bottom w:val="single" w:sz="8" w:color="auto"/>
            </w:tcBorders>
            <w:shd w:val="clear" w:color="auto" w:fill="F5F5F5"/>
          </w:tcPr>
          <w:p>
            <w:pPr>
              <w:spacing w:after="0"/>
              <w:rPr>
                <w:sz w:val="17"/>
                <w:szCs w:val="17"/>
                <w:color w:val="auto"/>
              </w:rPr>
            </w:pPr>
          </w:p>
        </w:tc>
        <w:tc>
          <w:tcPr>
            <w:tcW w:w="110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25,632</w:t>
            </w:r>
          </w:p>
        </w:tc>
        <w:tc>
          <w:tcPr>
            <w:tcW w:w="0" w:type="dxa"/>
            <w:vAlign w:val="bottom"/>
          </w:tcPr>
          <w:p>
            <w:pPr>
              <w:spacing w:after="0"/>
              <w:rPr>
                <w:sz w:val="1"/>
                <w:szCs w:val="1"/>
                <w:color w:val="auto"/>
              </w:rPr>
            </w:pPr>
          </w:p>
        </w:tc>
      </w:tr>
      <w:tr>
        <w:trPr>
          <w:trHeight w:val="192"/>
        </w:trPr>
        <w:tc>
          <w:tcPr>
            <w:tcW w:w="644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4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768,677</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484,299</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67,016</w:t>
            </w:r>
          </w:p>
        </w:tc>
        <w:tc>
          <w:tcPr>
            <w:tcW w:w="0" w:type="dxa"/>
            <w:vAlign w:val="bottom"/>
          </w:tcPr>
          <w:p>
            <w:pPr>
              <w:spacing w:after="0"/>
              <w:rPr>
                <w:sz w:val="1"/>
                <w:szCs w:val="1"/>
                <w:color w:val="auto"/>
              </w:rPr>
            </w:pPr>
          </w:p>
        </w:tc>
      </w:tr>
      <w:tr>
        <w:trPr>
          <w:trHeight w:val="207"/>
        </w:trPr>
        <w:tc>
          <w:tcPr>
            <w:tcW w:w="6440" w:type="dxa"/>
            <w:vAlign w:val="bottom"/>
            <w:shd w:val="clear" w:color="auto" w:fill="F5F5F5"/>
          </w:tcPr>
          <w:p>
            <w:pPr>
              <w:ind w:left="20"/>
              <w:spacing w:after="0"/>
              <w:rPr>
                <w:sz w:val="20"/>
                <w:szCs w:val="20"/>
                <w:color w:val="auto"/>
              </w:rPr>
            </w:pPr>
            <w:r>
              <w:rPr>
                <w:rFonts w:ascii="Arial" w:cs="Arial" w:eastAsia="Arial" w:hAnsi="Arial"/>
                <w:sz w:val="14"/>
                <w:szCs w:val="14"/>
                <w:color w:val="auto"/>
              </w:rPr>
              <w:t>Income tax expense</w:t>
            </w:r>
          </w:p>
        </w:tc>
        <w:tc>
          <w:tcPr>
            <w:tcW w:w="420" w:type="dxa"/>
            <w:vAlign w:val="bottom"/>
            <w:tcBorders>
              <w:bottom w:val="single" w:sz="8" w:color="auto"/>
            </w:tcBorders>
            <w:shd w:val="clear" w:color="auto" w:fill="F5F5F5"/>
          </w:tcPr>
          <w:p>
            <w:pPr>
              <w:spacing w:after="0"/>
              <w:rPr>
                <w:sz w:val="17"/>
                <w:szCs w:val="17"/>
                <w:color w:val="auto"/>
              </w:rPr>
            </w:pPr>
          </w:p>
        </w:tc>
        <w:tc>
          <w:tcPr>
            <w:tcW w:w="110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194,661</w:t>
            </w:r>
          </w:p>
        </w:tc>
        <w:tc>
          <w:tcPr>
            <w:tcW w:w="100" w:type="dxa"/>
            <w:vAlign w:val="bottom"/>
            <w:shd w:val="clear" w:color="auto" w:fill="F5F5F5"/>
          </w:tcPr>
          <w:p>
            <w:pPr>
              <w:spacing w:after="0"/>
              <w:rPr>
                <w:sz w:val="17"/>
                <w:szCs w:val="17"/>
                <w:color w:val="auto"/>
              </w:rPr>
            </w:pPr>
          </w:p>
        </w:tc>
        <w:tc>
          <w:tcPr>
            <w:tcW w:w="440" w:type="dxa"/>
            <w:vAlign w:val="bottom"/>
            <w:tcBorders>
              <w:bottom w:val="single" w:sz="8" w:color="auto"/>
            </w:tcBorders>
            <w:shd w:val="clear" w:color="auto" w:fill="F5F5F5"/>
          </w:tcPr>
          <w:p>
            <w:pPr>
              <w:spacing w:after="0"/>
              <w:rPr>
                <w:sz w:val="17"/>
                <w:szCs w:val="17"/>
                <w:color w:val="auto"/>
              </w:rPr>
            </w:pPr>
          </w:p>
        </w:tc>
        <w:tc>
          <w:tcPr>
            <w:tcW w:w="1100" w:type="dxa"/>
            <w:vAlign w:val="bottom"/>
            <w:tcBorders>
              <w:bottom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148,886</w:t>
            </w:r>
          </w:p>
        </w:tc>
        <w:tc>
          <w:tcPr>
            <w:tcW w:w="100" w:type="dxa"/>
            <w:vAlign w:val="bottom"/>
            <w:shd w:val="clear" w:color="auto" w:fill="F5F5F5"/>
          </w:tcPr>
          <w:p>
            <w:pPr>
              <w:spacing w:after="0"/>
              <w:rPr>
                <w:sz w:val="17"/>
                <w:szCs w:val="17"/>
                <w:color w:val="auto"/>
              </w:rPr>
            </w:pPr>
          </w:p>
        </w:tc>
        <w:tc>
          <w:tcPr>
            <w:tcW w:w="440" w:type="dxa"/>
            <w:vAlign w:val="bottom"/>
            <w:tcBorders>
              <w:bottom w:val="single" w:sz="8" w:color="auto"/>
            </w:tcBorders>
            <w:shd w:val="clear" w:color="auto" w:fill="F5F5F5"/>
          </w:tcPr>
          <w:p>
            <w:pPr>
              <w:spacing w:after="0"/>
              <w:rPr>
                <w:sz w:val="17"/>
                <w:szCs w:val="17"/>
                <w:color w:val="auto"/>
              </w:rPr>
            </w:pPr>
          </w:p>
        </w:tc>
        <w:tc>
          <w:tcPr>
            <w:tcW w:w="110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56,631</w:t>
            </w:r>
          </w:p>
        </w:tc>
        <w:tc>
          <w:tcPr>
            <w:tcW w:w="0" w:type="dxa"/>
            <w:vAlign w:val="bottom"/>
          </w:tcPr>
          <w:p>
            <w:pPr>
              <w:spacing w:after="0"/>
              <w:rPr>
                <w:sz w:val="1"/>
                <w:szCs w:val="1"/>
                <w:color w:val="auto"/>
              </w:rPr>
            </w:pPr>
          </w:p>
        </w:tc>
      </w:tr>
      <w:tr>
        <w:trPr>
          <w:trHeight w:val="192"/>
        </w:trPr>
        <w:tc>
          <w:tcPr>
            <w:tcW w:w="64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4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574,016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335,413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10,385</w:t>
            </w:r>
          </w:p>
        </w:tc>
        <w:tc>
          <w:tcPr>
            <w:tcW w:w="0" w:type="dxa"/>
            <w:vAlign w:val="bottom"/>
          </w:tcPr>
          <w:p>
            <w:pPr>
              <w:spacing w:after="0"/>
              <w:rPr>
                <w:sz w:val="1"/>
                <w:szCs w:val="1"/>
                <w:color w:val="auto"/>
              </w:rPr>
            </w:pPr>
          </w:p>
        </w:tc>
      </w:tr>
      <w:tr>
        <w:trPr>
          <w:trHeight w:val="207"/>
        </w:trPr>
        <w:tc>
          <w:tcPr>
            <w:tcW w:w="6440" w:type="dxa"/>
            <w:vAlign w:val="bottom"/>
            <w:shd w:val="clear" w:color="auto" w:fill="F5F5F5"/>
          </w:tcPr>
          <w:p>
            <w:pPr>
              <w:ind w:left="20"/>
              <w:spacing w:after="0"/>
              <w:rPr>
                <w:sz w:val="20"/>
                <w:szCs w:val="20"/>
                <w:color w:val="auto"/>
              </w:rPr>
            </w:pPr>
            <w:r>
              <w:rPr>
                <w:rFonts w:ascii="Arial" w:cs="Arial" w:eastAsia="Arial" w:hAnsi="Arial"/>
                <w:sz w:val="14"/>
                <w:szCs w:val="14"/>
                <w:color w:val="auto"/>
              </w:rPr>
              <w:t>Less: Net income attributable to noncontrolling interests</w:t>
            </w:r>
          </w:p>
        </w:tc>
        <w:tc>
          <w:tcPr>
            <w:tcW w:w="420" w:type="dxa"/>
            <w:vAlign w:val="bottom"/>
            <w:tcBorders>
              <w:bottom w:val="single" w:sz="8" w:color="auto"/>
            </w:tcBorders>
            <w:shd w:val="clear" w:color="auto" w:fill="F5F5F5"/>
          </w:tcPr>
          <w:p>
            <w:pPr>
              <w:spacing w:after="0"/>
              <w:rPr>
                <w:sz w:val="17"/>
                <w:szCs w:val="17"/>
                <w:color w:val="auto"/>
              </w:rPr>
            </w:pPr>
          </w:p>
        </w:tc>
        <w:tc>
          <w:tcPr>
            <w:tcW w:w="110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7,793</w:t>
            </w:r>
          </w:p>
        </w:tc>
        <w:tc>
          <w:tcPr>
            <w:tcW w:w="100" w:type="dxa"/>
            <w:vAlign w:val="bottom"/>
            <w:shd w:val="clear" w:color="auto" w:fill="F5F5F5"/>
          </w:tcPr>
          <w:p>
            <w:pPr>
              <w:spacing w:after="0"/>
              <w:rPr>
                <w:sz w:val="17"/>
                <w:szCs w:val="17"/>
                <w:color w:val="auto"/>
              </w:rPr>
            </w:pPr>
          </w:p>
        </w:tc>
        <w:tc>
          <w:tcPr>
            <w:tcW w:w="440" w:type="dxa"/>
            <w:vAlign w:val="bottom"/>
            <w:tcBorders>
              <w:bottom w:val="single" w:sz="8" w:color="auto"/>
            </w:tcBorders>
            <w:shd w:val="clear" w:color="auto" w:fill="F5F5F5"/>
          </w:tcPr>
          <w:p>
            <w:pPr>
              <w:spacing w:after="0"/>
              <w:rPr>
                <w:sz w:val="17"/>
                <w:szCs w:val="17"/>
                <w:color w:val="auto"/>
              </w:rPr>
            </w:pPr>
          </w:p>
        </w:tc>
        <w:tc>
          <w:tcPr>
            <w:tcW w:w="1100" w:type="dxa"/>
            <w:vAlign w:val="bottom"/>
            <w:tcBorders>
              <w:bottom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7,290</w:t>
            </w:r>
          </w:p>
        </w:tc>
        <w:tc>
          <w:tcPr>
            <w:tcW w:w="100" w:type="dxa"/>
            <w:vAlign w:val="bottom"/>
            <w:shd w:val="clear" w:color="auto" w:fill="F5F5F5"/>
          </w:tcPr>
          <w:p>
            <w:pPr>
              <w:spacing w:after="0"/>
              <w:rPr>
                <w:sz w:val="17"/>
                <w:szCs w:val="17"/>
                <w:color w:val="auto"/>
              </w:rPr>
            </w:pPr>
          </w:p>
        </w:tc>
        <w:tc>
          <w:tcPr>
            <w:tcW w:w="440" w:type="dxa"/>
            <w:vAlign w:val="bottom"/>
            <w:tcBorders>
              <w:bottom w:val="single" w:sz="8" w:color="auto"/>
            </w:tcBorders>
            <w:shd w:val="clear" w:color="auto" w:fill="F5F5F5"/>
          </w:tcPr>
          <w:p>
            <w:pPr>
              <w:spacing w:after="0"/>
              <w:rPr>
                <w:sz w:val="17"/>
                <w:szCs w:val="17"/>
                <w:color w:val="auto"/>
              </w:rPr>
            </w:pPr>
          </w:p>
        </w:tc>
        <w:tc>
          <w:tcPr>
            <w:tcW w:w="110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7,569</w:t>
            </w:r>
          </w:p>
        </w:tc>
        <w:tc>
          <w:tcPr>
            <w:tcW w:w="0" w:type="dxa"/>
            <w:vAlign w:val="bottom"/>
          </w:tcPr>
          <w:p>
            <w:pPr>
              <w:spacing w:after="0"/>
              <w:rPr>
                <w:sz w:val="1"/>
                <w:szCs w:val="1"/>
                <w:color w:val="auto"/>
              </w:rPr>
            </w:pPr>
          </w:p>
        </w:tc>
      </w:tr>
      <w:tr>
        <w:trPr>
          <w:trHeight w:val="192"/>
        </w:trPr>
        <w:tc>
          <w:tcPr>
            <w:tcW w:w="6440" w:type="dxa"/>
            <w:vAlign w:val="bottom"/>
          </w:tcPr>
          <w:p>
            <w:pPr>
              <w:ind w:left="20"/>
              <w:spacing w:after="0"/>
              <w:rPr>
                <w:sz w:val="20"/>
                <w:szCs w:val="20"/>
                <w:color w:val="auto"/>
              </w:rPr>
            </w:pPr>
            <w:r>
              <w:rPr>
                <w:rFonts w:ascii="Arial" w:cs="Arial" w:eastAsia="Arial" w:hAnsi="Arial"/>
                <w:sz w:val="14"/>
                <w:szCs w:val="14"/>
                <w:color w:val="auto"/>
              </w:rPr>
              <w:t>Net income attributable to A&amp;F</w:t>
            </w: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566,223</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328,123</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2,816</w:t>
            </w:r>
          </w:p>
        </w:tc>
        <w:tc>
          <w:tcPr>
            <w:tcW w:w="0" w:type="dxa"/>
            <w:vAlign w:val="bottom"/>
          </w:tcPr>
          <w:p>
            <w:pPr>
              <w:spacing w:after="0"/>
              <w:rPr>
                <w:sz w:val="1"/>
                <w:szCs w:val="1"/>
                <w:color w:val="auto"/>
              </w:rPr>
            </w:pPr>
          </w:p>
        </w:tc>
      </w:tr>
      <w:tr>
        <w:trPr>
          <w:trHeight w:val="20"/>
        </w:trPr>
        <w:tc>
          <w:tcPr>
            <w:tcW w:w="6440" w:type="dxa"/>
            <w:vAlign w:val="bottom"/>
            <w:tcBorders>
              <w:bottom w:val="single" w:sz="8" w:color="F5F5F5"/>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5F5F5"/>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5F5F5"/>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440" w:type="dxa"/>
            <w:vAlign w:val="bottom"/>
            <w:shd w:val="clear" w:color="auto" w:fill="F5F5F5"/>
          </w:tcPr>
          <w:p>
            <w:pPr>
              <w:spacing w:after="0"/>
              <w:rPr>
                <w:sz w:val="16"/>
                <w:szCs w:val="16"/>
                <w:color w:val="auto"/>
              </w:rPr>
            </w:pPr>
          </w:p>
        </w:tc>
        <w:tc>
          <w:tcPr>
            <w:tcW w:w="420" w:type="dxa"/>
            <w:vAlign w:val="bottom"/>
            <w:shd w:val="clear" w:color="auto" w:fill="F5F5F5"/>
          </w:tcPr>
          <w:p>
            <w:pPr>
              <w:spacing w:after="0"/>
              <w:rPr>
                <w:sz w:val="16"/>
                <w:szCs w:val="16"/>
                <w:color w:val="auto"/>
              </w:rPr>
            </w:pPr>
          </w:p>
        </w:tc>
        <w:tc>
          <w:tcPr>
            <w:tcW w:w="1100" w:type="dxa"/>
            <w:vAlign w:val="bottom"/>
            <w:shd w:val="clear" w:color="auto" w:fill="F5F5F5"/>
          </w:tcPr>
          <w:p>
            <w:pPr>
              <w:spacing w:after="0"/>
              <w:rPr>
                <w:sz w:val="16"/>
                <w:szCs w:val="16"/>
                <w:color w:val="auto"/>
              </w:rPr>
            </w:pPr>
          </w:p>
        </w:tc>
        <w:tc>
          <w:tcPr>
            <w:tcW w:w="100" w:type="dxa"/>
            <w:vAlign w:val="bottom"/>
            <w:shd w:val="clear" w:color="auto" w:fill="F5F5F5"/>
          </w:tcPr>
          <w:p>
            <w:pPr>
              <w:spacing w:after="0"/>
              <w:rPr>
                <w:sz w:val="16"/>
                <w:szCs w:val="16"/>
                <w:color w:val="auto"/>
              </w:rPr>
            </w:pPr>
          </w:p>
        </w:tc>
        <w:tc>
          <w:tcPr>
            <w:tcW w:w="440" w:type="dxa"/>
            <w:vAlign w:val="bottom"/>
            <w:shd w:val="clear" w:color="auto" w:fill="F5F5F5"/>
          </w:tcPr>
          <w:p>
            <w:pPr>
              <w:spacing w:after="0"/>
              <w:rPr>
                <w:sz w:val="16"/>
                <w:szCs w:val="16"/>
                <w:color w:val="auto"/>
              </w:rPr>
            </w:pPr>
          </w:p>
        </w:tc>
        <w:tc>
          <w:tcPr>
            <w:tcW w:w="1100" w:type="dxa"/>
            <w:vAlign w:val="bottom"/>
            <w:shd w:val="clear" w:color="auto" w:fill="F5F5F5"/>
          </w:tcPr>
          <w:p>
            <w:pPr>
              <w:spacing w:after="0"/>
              <w:rPr>
                <w:sz w:val="16"/>
                <w:szCs w:val="16"/>
                <w:color w:val="auto"/>
              </w:rPr>
            </w:pPr>
          </w:p>
        </w:tc>
        <w:tc>
          <w:tcPr>
            <w:tcW w:w="100" w:type="dxa"/>
            <w:vAlign w:val="bottom"/>
            <w:shd w:val="clear" w:color="auto" w:fill="F5F5F5"/>
          </w:tcPr>
          <w:p>
            <w:pPr>
              <w:spacing w:after="0"/>
              <w:rPr>
                <w:sz w:val="16"/>
                <w:szCs w:val="16"/>
                <w:color w:val="auto"/>
              </w:rPr>
            </w:pPr>
          </w:p>
        </w:tc>
        <w:tc>
          <w:tcPr>
            <w:tcW w:w="440" w:type="dxa"/>
            <w:vAlign w:val="bottom"/>
            <w:shd w:val="clear" w:color="auto" w:fill="F5F5F5"/>
          </w:tcPr>
          <w:p>
            <w:pPr>
              <w:spacing w:after="0"/>
              <w:rPr>
                <w:sz w:val="16"/>
                <w:szCs w:val="16"/>
                <w:color w:val="auto"/>
              </w:rPr>
            </w:pPr>
          </w:p>
        </w:tc>
        <w:tc>
          <w:tcPr>
            <w:tcW w:w="1100" w:type="dxa"/>
            <w:vAlign w:val="bottom"/>
            <w:shd w:val="clear" w:color="auto" w:fill="F5F5F5"/>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440" w:type="dxa"/>
            <w:vAlign w:val="bottom"/>
          </w:tcPr>
          <w:p>
            <w:pPr>
              <w:ind w:left="20"/>
              <w:spacing w:after="0"/>
              <w:rPr>
                <w:sz w:val="20"/>
                <w:szCs w:val="20"/>
                <w:color w:val="auto"/>
              </w:rPr>
            </w:pPr>
            <w:r>
              <w:rPr>
                <w:rFonts w:ascii="Arial" w:cs="Arial" w:eastAsia="Arial" w:hAnsi="Arial"/>
                <w:sz w:val="14"/>
                <w:szCs w:val="14"/>
                <w:color w:val="auto"/>
              </w:rPr>
              <w:t>Net income per share attributable to A&amp;F</w:t>
            </w: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440" w:type="dxa"/>
            <w:vAlign w:val="bottom"/>
            <w:tcBorders>
              <w:bottom w:val="single" w:sz="8" w:color="F5F5F5"/>
            </w:tcBorders>
            <w:shd w:val="clear" w:color="auto" w:fill="F5F5F5"/>
          </w:tcPr>
          <w:p>
            <w:pPr>
              <w:ind w:left="220"/>
              <w:spacing w:after="0"/>
              <w:rPr>
                <w:sz w:val="20"/>
                <w:szCs w:val="20"/>
                <w:color w:val="auto"/>
              </w:rPr>
            </w:pPr>
            <w:r>
              <w:rPr>
                <w:rFonts w:ascii="Arial" w:cs="Arial" w:eastAsia="Arial" w:hAnsi="Arial"/>
                <w:sz w:val="14"/>
                <w:szCs w:val="14"/>
                <w:color w:val="auto"/>
              </w:rPr>
              <w:t>Basic</w:t>
            </w:r>
          </w:p>
        </w:tc>
        <w:tc>
          <w:tcPr>
            <w:tcW w:w="420" w:type="dxa"/>
            <w:vAlign w:val="bottom"/>
            <w:tcBorders>
              <w:bottom w:val="single" w:sz="8" w:color="auto"/>
            </w:tcBorders>
            <w:shd w:val="clear" w:color="auto" w:fill="F5F5F5"/>
          </w:tcPr>
          <w:p>
            <w:pPr>
              <w:jc w:val="right"/>
              <w:ind w:right="2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11.14</w:t>
            </w:r>
          </w:p>
        </w:tc>
        <w:tc>
          <w:tcPr>
            <w:tcW w:w="100" w:type="dxa"/>
            <w:vAlign w:val="bottom"/>
            <w:tcBorders>
              <w:bottom w:val="single" w:sz="8" w:color="F5F5F5"/>
            </w:tcBorders>
            <w:shd w:val="clear" w:color="auto" w:fill="F5F5F5"/>
          </w:tcPr>
          <w:p>
            <w:pPr>
              <w:spacing w:after="0"/>
              <w:rPr>
                <w:sz w:val="19"/>
                <w:szCs w:val="19"/>
                <w:color w:val="auto"/>
              </w:rPr>
            </w:pPr>
          </w:p>
        </w:tc>
        <w:tc>
          <w:tcPr>
            <w:tcW w:w="440" w:type="dxa"/>
            <w:vAlign w:val="bottom"/>
            <w:tcBorders>
              <w:bottom w:val="single" w:sz="8" w:color="auto"/>
            </w:tcBorders>
            <w:shd w:val="clear" w:color="auto" w:fill="F5F5F5"/>
          </w:tcPr>
          <w:p>
            <w:pPr>
              <w:jc w:val="right"/>
              <w:ind w:right="2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6.53</w:t>
            </w:r>
          </w:p>
        </w:tc>
        <w:tc>
          <w:tcPr>
            <w:tcW w:w="100" w:type="dxa"/>
            <w:vAlign w:val="bottom"/>
            <w:tcBorders>
              <w:bottom w:val="single" w:sz="8" w:color="F5F5F5"/>
            </w:tcBorders>
            <w:shd w:val="clear" w:color="auto" w:fill="F5F5F5"/>
          </w:tcPr>
          <w:p>
            <w:pPr>
              <w:spacing w:after="0"/>
              <w:rPr>
                <w:sz w:val="19"/>
                <w:szCs w:val="19"/>
                <w:color w:val="auto"/>
              </w:rPr>
            </w:pPr>
          </w:p>
        </w:tc>
        <w:tc>
          <w:tcPr>
            <w:tcW w:w="440" w:type="dxa"/>
            <w:vAlign w:val="bottom"/>
            <w:tcBorders>
              <w:bottom w:val="single" w:sz="8" w:color="auto"/>
            </w:tcBorders>
            <w:shd w:val="clear" w:color="auto" w:fill="F5F5F5"/>
          </w:tcPr>
          <w:p>
            <w:pPr>
              <w:jc w:val="right"/>
              <w:ind w:right="2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20"/>
        </w:trPr>
        <w:tc>
          <w:tcPr>
            <w:tcW w:w="6440" w:type="dxa"/>
            <w:vAlign w:val="bottom"/>
            <w:tcBorders>
              <w:top w:val="single" w:sz="8" w:color="F5F5F5"/>
              <w:bottom w:val="single" w:sz="8" w:color="F5F5F5"/>
            </w:tcBorders>
            <w:vMerge w:val="restart"/>
          </w:tcPr>
          <w:p>
            <w:pPr>
              <w:ind w:left="220"/>
              <w:spacing w:after="0"/>
              <w:rPr>
                <w:sz w:val="20"/>
                <w:szCs w:val="20"/>
                <w:color w:val="auto"/>
              </w:rPr>
            </w:pPr>
            <w:r>
              <w:rPr>
                <w:rFonts w:ascii="Arial" w:cs="Arial" w:eastAsia="Arial" w:hAnsi="Arial"/>
                <w:sz w:val="14"/>
                <w:szCs w:val="14"/>
                <w:color w:val="auto"/>
              </w:rPr>
              <w:t>Diluted</w:t>
            </w:r>
          </w:p>
        </w:tc>
        <w:tc>
          <w:tcPr>
            <w:tcW w:w="420" w:type="dxa"/>
            <w:vAlign w:val="bottom"/>
            <w:tcBorders>
              <w:top w:val="single" w:sz="8" w:color="F5F5F5"/>
              <w:bottom w:val="single" w:sz="8" w:color="auto"/>
            </w:tcBorders>
          </w:tcPr>
          <w:p>
            <w:pPr>
              <w:spacing w:after="0" w:line="20" w:lineRule="exact"/>
              <w:rPr>
                <w:sz w:val="1"/>
                <w:szCs w:val="1"/>
                <w:color w:val="auto"/>
              </w:rPr>
            </w:pPr>
          </w:p>
        </w:tc>
        <w:tc>
          <w:tcPr>
            <w:tcW w:w="1100" w:type="dxa"/>
            <w:vAlign w:val="bottom"/>
            <w:tcBorders>
              <w:top w:val="single" w:sz="8" w:color="F5F5F5"/>
              <w:bottom w:val="single" w:sz="8" w:color="auto"/>
            </w:tcBorders>
          </w:tcPr>
          <w:p>
            <w:pPr>
              <w:spacing w:after="0" w:line="20" w:lineRule="exact"/>
              <w:rPr>
                <w:sz w:val="1"/>
                <w:szCs w:val="1"/>
                <w:color w:val="auto"/>
              </w:rPr>
            </w:pPr>
          </w:p>
        </w:tc>
        <w:tc>
          <w:tcPr>
            <w:tcW w:w="100" w:type="dxa"/>
            <w:vAlign w:val="bottom"/>
            <w:tcBorders>
              <w:top w:val="single" w:sz="8" w:color="F5F5F5"/>
            </w:tcBorders>
          </w:tcPr>
          <w:p>
            <w:pPr>
              <w:spacing w:after="0" w:line="20" w:lineRule="exact"/>
              <w:rPr>
                <w:sz w:val="1"/>
                <w:szCs w:val="1"/>
                <w:color w:val="auto"/>
              </w:rPr>
            </w:pPr>
          </w:p>
        </w:tc>
        <w:tc>
          <w:tcPr>
            <w:tcW w:w="440" w:type="dxa"/>
            <w:vAlign w:val="bottom"/>
            <w:tcBorders>
              <w:top w:val="single" w:sz="8" w:color="F5F5F5"/>
              <w:bottom w:val="single" w:sz="8" w:color="auto"/>
            </w:tcBorders>
          </w:tcPr>
          <w:p>
            <w:pPr>
              <w:spacing w:after="0" w:line="20" w:lineRule="exact"/>
              <w:rPr>
                <w:sz w:val="1"/>
                <w:szCs w:val="1"/>
                <w:color w:val="auto"/>
              </w:rPr>
            </w:pPr>
          </w:p>
        </w:tc>
        <w:tc>
          <w:tcPr>
            <w:tcW w:w="1100" w:type="dxa"/>
            <w:vAlign w:val="bottom"/>
            <w:tcBorders>
              <w:top w:val="single" w:sz="8" w:color="F5F5F5"/>
              <w:bottom w:val="single" w:sz="8" w:color="auto"/>
            </w:tcBorders>
          </w:tcPr>
          <w:p>
            <w:pPr>
              <w:spacing w:after="0" w:line="20" w:lineRule="exact"/>
              <w:rPr>
                <w:sz w:val="1"/>
                <w:szCs w:val="1"/>
                <w:color w:val="auto"/>
              </w:rPr>
            </w:pPr>
          </w:p>
        </w:tc>
        <w:tc>
          <w:tcPr>
            <w:tcW w:w="100" w:type="dxa"/>
            <w:vAlign w:val="bottom"/>
            <w:tcBorders>
              <w:top w:val="single" w:sz="8" w:color="F5F5F5"/>
            </w:tcBorders>
          </w:tcPr>
          <w:p>
            <w:pPr>
              <w:spacing w:after="0" w:line="20" w:lineRule="exact"/>
              <w:rPr>
                <w:sz w:val="1"/>
                <w:szCs w:val="1"/>
                <w:color w:val="auto"/>
              </w:rPr>
            </w:pPr>
          </w:p>
        </w:tc>
        <w:tc>
          <w:tcPr>
            <w:tcW w:w="440" w:type="dxa"/>
            <w:vAlign w:val="bottom"/>
            <w:tcBorders>
              <w:top w:val="single" w:sz="8" w:color="F5F5F5"/>
              <w:bottom w:val="single" w:sz="8" w:color="auto"/>
            </w:tcBorders>
          </w:tcPr>
          <w:p>
            <w:pPr>
              <w:spacing w:after="0" w:line="20" w:lineRule="exact"/>
              <w:rPr>
                <w:sz w:val="1"/>
                <w:szCs w:val="1"/>
                <w:color w:val="auto"/>
              </w:rPr>
            </w:pPr>
          </w:p>
        </w:tc>
        <w:tc>
          <w:tcPr>
            <w:tcW w:w="1100" w:type="dxa"/>
            <w:vAlign w:val="bottom"/>
            <w:tcBorders>
              <w:top w:val="single" w:sz="8" w:color="F5F5F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440" w:type="dxa"/>
            <w:vAlign w:val="bottom"/>
            <w:vMerge w:val="continue"/>
          </w:tcPr>
          <w:p>
            <w:pPr>
              <w:spacing w:after="0"/>
              <w:rPr>
                <w:sz w:val="15"/>
                <w:szCs w:val="15"/>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10.69</w:t>
            </w:r>
          </w:p>
        </w:tc>
        <w:tc>
          <w:tcPr>
            <w:tcW w:w="100" w:type="dxa"/>
            <w:vAlign w:val="bottom"/>
          </w:tcPr>
          <w:p>
            <w:pPr>
              <w:spacing w:after="0"/>
              <w:rPr>
                <w:sz w:val="15"/>
                <w:szCs w:val="15"/>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6.22</w:t>
            </w:r>
          </w:p>
        </w:tc>
        <w:tc>
          <w:tcPr>
            <w:tcW w:w="100" w:type="dxa"/>
            <w:vAlign w:val="bottom"/>
          </w:tcPr>
          <w:p>
            <w:pPr>
              <w:spacing w:after="0"/>
              <w:rPr>
                <w:sz w:val="15"/>
                <w:szCs w:val="15"/>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20"/>
        </w:trPr>
        <w:tc>
          <w:tcPr>
            <w:tcW w:w="6440" w:type="dxa"/>
            <w:vAlign w:val="bottom"/>
            <w:tcBorders>
              <w:bottom w:val="single" w:sz="8" w:color="F5F5F5"/>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5F5F5"/>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5F5F5"/>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440" w:type="dxa"/>
            <w:vAlign w:val="bottom"/>
            <w:shd w:val="clear" w:color="auto" w:fill="F5F5F5"/>
          </w:tcPr>
          <w:p>
            <w:pPr>
              <w:spacing w:after="0"/>
              <w:rPr>
                <w:sz w:val="16"/>
                <w:szCs w:val="16"/>
                <w:color w:val="auto"/>
              </w:rPr>
            </w:pPr>
          </w:p>
        </w:tc>
        <w:tc>
          <w:tcPr>
            <w:tcW w:w="420" w:type="dxa"/>
            <w:vAlign w:val="bottom"/>
            <w:shd w:val="clear" w:color="auto" w:fill="F5F5F5"/>
          </w:tcPr>
          <w:p>
            <w:pPr>
              <w:spacing w:after="0"/>
              <w:rPr>
                <w:sz w:val="16"/>
                <w:szCs w:val="16"/>
                <w:color w:val="auto"/>
              </w:rPr>
            </w:pPr>
          </w:p>
        </w:tc>
        <w:tc>
          <w:tcPr>
            <w:tcW w:w="1100" w:type="dxa"/>
            <w:vAlign w:val="bottom"/>
            <w:shd w:val="clear" w:color="auto" w:fill="F5F5F5"/>
          </w:tcPr>
          <w:p>
            <w:pPr>
              <w:spacing w:after="0"/>
              <w:rPr>
                <w:sz w:val="16"/>
                <w:szCs w:val="16"/>
                <w:color w:val="auto"/>
              </w:rPr>
            </w:pPr>
          </w:p>
        </w:tc>
        <w:tc>
          <w:tcPr>
            <w:tcW w:w="100" w:type="dxa"/>
            <w:vAlign w:val="bottom"/>
            <w:shd w:val="clear" w:color="auto" w:fill="F5F5F5"/>
          </w:tcPr>
          <w:p>
            <w:pPr>
              <w:spacing w:after="0"/>
              <w:rPr>
                <w:sz w:val="16"/>
                <w:szCs w:val="16"/>
                <w:color w:val="auto"/>
              </w:rPr>
            </w:pPr>
          </w:p>
        </w:tc>
        <w:tc>
          <w:tcPr>
            <w:tcW w:w="440" w:type="dxa"/>
            <w:vAlign w:val="bottom"/>
            <w:shd w:val="clear" w:color="auto" w:fill="F5F5F5"/>
          </w:tcPr>
          <w:p>
            <w:pPr>
              <w:spacing w:after="0"/>
              <w:rPr>
                <w:sz w:val="16"/>
                <w:szCs w:val="16"/>
                <w:color w:val="auto"/>
              </w:rPr>
            </w:pPr>
          </w:p>
        </w:tc>
        <w:tc>
          <w:tcPr>
            <w:tcW w:w="1100" w:type="dxa"/>
            <w:vAlign w:val="bottom"/>
            <w:shd w:val="clear" w:color="auto" w:fill="F5F5F5"/>
          </w:tcPr>
          <w:p>
            <w:pPr>
              <w:spacing w:after="0"/>
              <w:rPr>
                <w:sz w:val="16"/>
                <w:szCs w:val="16"/>
                <w:color w:val="auto"/>
              </w:rPr>
            </w:pPr>
          </w:p>
        </w:tc>
        <w:tc>
          <w:tcPr>
            <w:tcW w:w="100" w:type="dxa"/>
            <w:vAlign w:val="bottom"/>
            <w:shd w:val="clear" w:color="auto" w:fill="F5F5F5"/>
          </w:tcPr>
          <w:p>
            <w:pPr>
              <w:spacing w:after="0"/>
              <w:rPr>
                <w:sz w:val="16"/>
                <w:szCs w:val="16"/>
                <w:color w:val="auto"/>
              </w:rPr>
            </w:pPr>
          </w:p>
        </w:tc>
        <w:tc>
          <w:tcPr>
            <w:tcW w:w="440" w:type="dxa"/>
            <w:vAlign w:val="bottom"/>
            <w:shd w:val="clear" w:color="auto" w:fill="F5F5F5"/>
          </w:tcPr>
          <w:p>
            <w:pPr>
              <w:spacing w:after="0"/>
              <w:rPr>
                <w:sz w:val="16"/>
                <w:szCs w:val="16"/>
                <w:color w:val="auto"/>
              </w:rPr>
            </w:pPr>
          </w:p>
        </w:tc>
        <w:tc>
          <w:tcPr>
            <w:tcW w:w="1100" w:type="dxa"/>
            <w:vAlign w:val="bottom"/>
            <w:shd w:val="clear" w:color="auto" w:fill="F5F5F5"/>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440" w:type="dxa"/>
            <w:vAlign w:val="bottom"/>
          </w:tcPr>
          <w:p>
            <w:pPr>
              <w:ind w:left="20"/>
              <w:spacing w:after="0"/>
              <w:rPr>
                <w:sz w:val="20"/>
                <w:szCs w:val="20"/>
                <w:color w:val="auto"/>
              </w:rPr>
            </w:pPr>
            <w:r>
              <w:rPr>
                <w:rFonts w:ascii="Arial" w:cs="Arial" w:eastAsia="Arial" w:hAnsi="Arial"/>
                <w:sz w:val="14"/>
                <w:szCs w:val="14"/>
                <w:color w:val="auto"/>
              </w:rPr>
              <w:t>Weighted-average shares outstanding</w:t>
            </w: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440" w:type="dxa"/>
            <w:vAlign w:val="bottom"/>
            <w:shd w:val="clear" w:color="auto" w:fill="F5F5F5"/>
          </w:tcPr>
          <w:p>
            <w:pPr>
              <w:ind w:left="220"/>
              <w:spacing w:after="0"/>
              <w:rPr>
                <w:sz w:val="20"/>
                <w:szCs w:val="20"/>
                <w:color w:val="auto"/>
              </w:rPr>
            </w:pPr>
            <w:r>
              <w:rPr>
                <w:rFonts w:ascii="Arial" w:cs="Arial" w:eastAsia="Arial" w:hAnsi="Arial"/>
                <w:sz w:val="14"/>
                <w:szCs w:val="14"/>
                <w:color w:val="auto"/>
              </w:rPr>
              <w:t>Basic</w:t>
            </w:r>
          </w:p>
        </w:tc>
        <w:tc>
          <w:tcPr>
            <w:tcW w:w="420" w:type="dxa"/>
            <w:vAlign w:val="bottom"/>
            <w:shd w:val="clear" w:color="auto" w:fill="F5F5F5"/>
          </w:tcPr>
          <w:p>
            <w:pPr>
              <w:spacing w:after="0"/>
              <w:rPr>
                <w:sz w:val="17"/>
                <w:szCs w:val="17"/>
                <w:color w:val="auto"/>
              </w:rPr>
            </w:pPr>
          </w:p>
        </w:tc>
        <w:tc>
          <w:tcPr>
            <w:tcW w:w="11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50,839</w:t>
            </w:r>
          </w:p>
        </w:tc>
        <w:tc>
          <w:tcPr>
            <w:tcW w:w="100" w:type="dxa"/>
            <w:vAlign w:val="bottom"/>
            <w:shd w:val="clear" w:color="auto" w:fill="F5F5F5"/>
          </w:tcPr>
          <w:p>
            <w:pPr>
              <w:spacing w:after="0"/>
              <w:rPr>
                <w:sz w:val="17"/>
                <w:szCs w:val="17"/>
                <w:color w:val="auto"/>
              </w:rPr>
            </w:pPr>
          </w:p>
        </w:tc>
        <w:tc>
          <w:tcPr>
            <w:tcW w:w="440" w:type="dxa"/>
            <w:vAlign w:val="bottom"/>
            <w:shd w:val="clear" w:color="auto" w:fill="F5F5F5"/>
          </w:tcPr>
          <w:p>
            <w:pPr>
              <w:spacing w:after="0"/>
              <w:rPr>
                <w:sz w:val="17"/>
                <w:szCs w:val="17"/>
                <w:color w:val="auto"/>
              </w:rPr>
            </w:pPr>
          </w:p>
        </w:tc>
        <w:tc>
          <w:tcPr>
            <w:tcW w:w="110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50,250</w:t>
            </w:r>
          </w:p>
        </w:tc>
        <w:tc>
          <w:tcPr>
            <w:tcW w:w="100" w:type="dxa"/>
            <w:vAlign w:val="bottom"/>
            <w:shd w:val="clear" w:color="auto" w:fill="F5F5F5"/>
          </w:tcPr>
          <w:p>
            <w:pPr>
              <w:spacing w:after="0"/>
              <w:rPr>
                <w:sz w:val="17"/>
                <w:szCs w:val="17"/>
                <w:color w:val="auto"/>
              </w:rPr>
            </w:pPr>
          </w:p>
        </w:tc>
        <w:tc>
          <w:tcPr>
            <w:tcW w:w="440" w:type="dxa"/>
            <w:vAlign w:val="bottom"/>
            <w:shd w:val="clear" w:color="auto" w:fill="F5F5F5"/>
          </w:tcPr>
          <w:p>
            <w:pPr>
              <w:spacing w:after="0"/>
              <w:rPr>
                <w:sz w:val="17"/>
                <w:szCs w:val="17"/>
                <w:color w:val="auto"/>
              </w:rPr>
            </w:pPr>
          </w:p>
        </w:tc>
        <w:tc>
          <w:tcPr>
            <w:tcW w:w="11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50,307</w:t>
            </w:r>
          </w:p>
        </w:tc>
        <w:tc>
          <w:tcPr>
            <w:tcW w:w="0" w:type="dxa"/>
            <w:vAlign w:val="bottom"/>
          </w:tcPr>
          <w:p>
            <w:pPr>
              <w:spacing w:after="0"/>
              <w:rPr>
                <w:sz w:val="1"/>
                <w:szCs w:val="1"/>
                <w:color w:val="auto"/>
              </w:rPr>
            </w:pPr>
          </w:p>
        </w:tc>
      </w:tr>
      <w:tr>
        <w:trPr>
          <w:trHeight w:val="198"/>
        </w:trPr>
        <w:tc>
          <w:tcPr>
            <w:tcW w:w="6440" w:type="dxa"/>
            <w:vAlign w:val="bottom"/>
          </w:tcPr>
          <w:p>
            <w:pPr>
              <w:ind w:left="220"/>
              <w:spacing w:after="0"/>
              <w:rPr>
                <w:sz w:val="20"/>
                <w:szCs w:val="20"/>
                <w:color w:val="auto"/>
              </w:rPr>
            </w:pPr>
            <w:r>
              <w:rPr>
                <w:rFonts w:ascii="Arial" w:cs="Arial" w:eastAsia="Arial" w:hAnsi="Arial"/>
                <w:sz w:val="14"/>
                <w:szCs w:val="14"/>
                <w:color w:val="auto"/>
              </w:rPr>
              <w:t>Diluted</w:t>
            </w:r>
          </w:p>
        </w:tc>
        <w:tc>
          <w:tcPr>
            <w:tcW w:w="4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52,971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52,726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52,327</w:t>
            </w:r>
          </w:p>
        </w:tc>
        <w:tc>
          <w:tcPr>
            <w:tcW w:w="0" w:type="dxa"/>
            <w:vAlign w:val="bottom"/>
          </w:tcPr>
          <w:p>
            <w:pPr>
              <w:spacing w:after="0"/>
              <w:rPr>
                <w:sz w:val="1"/>
                <w:szCs w:val="1"/>
                <w:color w:val="auto"/>
              </w:rPr>
            </w:pPr>
          </w:p>
        </w:tc>
      </w:tr>
      <w:tr>
        <w:trPr>
          <w:trHeight w:val="220"/>
        </w:trPr>
        <w:tc>
          <w:tcPr>
            <w:tcW w:w="6440" w:type="dxa"/>
            <w:vAlign w:val="bottom"/>
            <w:shd w:val="clear" w:color="auto" w:fill="F5F5F5"/>
          </w:tcPr>
          <w:p>
            <w:pPr>
              <w:spacing w:after="0"/>
              <w:rPr>
                <w:sz w:val="19"/>
                <w:szCs w:val="19"/>
                <w:color w:val="auto"/>
              </w:rPr>
            </w:pPr>
          </w:p>
        </w:tc>
        <w:tc>
          <w:tcPr>
            <w:tcW w:w="420" w:type="dxa"/>
            <w:vAlign w:val="bottom"/>
            <w:shd w:val="clear" w:color="auto" w:fill="F5F5F5"/>
          </w:tcPr>
          <w:p>
            <w:pPr>
              <w:spacing w:after="0"/>
              <w:rPr>
                <w:sz w:val="19"/>
                <w:szCs w:val="19"/>
                <w:color w:val="auto"/>
              </w:rPr>
            </w:pPr>
          </w:p>
        </w:tc>
        <w:tc>
          <w:tcPr>
            <w:tcW w:w="1100" w:type="dxa"/>
            <w:vAlign w:val="bottom"/>
            <w:shd w:val="clear" w:color="auto" w:fill="F5F5F5"/>
          </w:tcPr>
          <w:p>
            <w:pPr>
              <w:spacing w:after="0"/>
              <w:rPr>
                <w:sz w:val="19"/>
                <w:szCs w:val="19"/>
                <w:color w:val="auto"/>
              </w:rPr>
            </w:pPr>
          </w:p>
        </w:tc>
        <w:tc>
          <w:tcPr>
            <w:tcW w:w="100" w:type="dxa"/>
            <w:vAlign w:val="bottom"/>
            <w:shd w:val="clear" w:color="auto" w:fill="F5F5F5"/>
          </w:tcPr>
          <w:p>
            <w:pPr>
              <w:spacing w:after="0"/>
              <w:rPr>
                <w:sz w:val="19"/>
                <w:szCs w:val="19"/>
                <w:color w:val="auto"/>
              </w:rPr>
            </w:pPr>
          </w:p>
        </w:tc>
        <w:tc>
          <w:tcPr>
            <w:tcW w:w="440" w:type="dxa"/>
            <w:vAlign w:val="bottom"/>
            <w:shd w:val="clear" w:color="auto" w:fill="F5F5F5"/>
          </w:tcPr>
          <w:p>
            <w:pPr>
              <w:spacing w:after="0"/>
              <w:rPr>
                <w:sz w:val="19"/>
                <w:szCs w:val="19"/>
                <w:color w:val="auto"/>
              </w:rPr>
            </w:pPr>
          </w:p>
        </w:tc>
        <w:tc>
          <w:tcPr>
            <w:tcW w:w="1100" w:type="dxa"/>
            <w:vAlign w:val="bottom"/>
            <w:shd w:val="clear" w:color="auto" w:fill="F5F5F5"/>
          </w:tcPr>
          <w:p>
            <w:pPr>
              <w:spacing w:after="0"/>
              <w:rPr>
                <w:sz w:val="19"/>
                <w:szCs w:val="19"/>
                <w:color w:val="auto"/>
              </w:rPr>
            </w:pPr>
          </w:p>
        </w:tc>
        <w:tc>
          <w:tcPr>
            <w:tcW w:w="100" w:type="dxa"/>
            <w:vAlign w:val="bottom"/>
            <w:shd w:val="clear" w:color="auto" w:fill="F5F5F5"/>
          </w:tcPr>
          <w:p>
            <w:pPr>
              <w:spacing w:after="0"/>
              <w:rPr>
                <w:sz w:val="19"/>
                <w:szCs w:val="19"/>
                <w:color w:val="auto"/>
              </w:rPr>
            </w:pPr>
          </w:p>
        </w:tc>
        <w:tc>
          <w:tcPr>
            <w:tcW w:w="440" w:type="dxa"/>
            <w:vAlign w:val="bottom"/>
            <w:shd w:val="clear" w:color="auto" w:fill="F5F5F5"/>
          </w:tcPr>
          <w:p>
            <w:pPr>
              <w:spacing w:after="0"/>
              <w:rPr>
                <w:sz w:val="19"/>
                <w:szCs w:val="19"/>
                <w:color w:val="auto"/>
              </w:rPr>
            </w:pPr>
          </w:p>
        </w:tc>
        <w:tc>
          <w:tcPr>
            <w:tcW w:w="1100" w:type="dxa"/>
            <w:vAlign w:val="bottom"/>
            <w:shd w:val="clear" w:color="auto" w:fill="F5F5F5"/>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440" w:type="dxa"/>
            <w:vAlign w:val="bottom"/>
          </w:tcPr>
          <w:p>
            <w:pPr>
              <w:ind w:left="20"/>
              <w:spacing w:after="0"/>
              <w:rPr>
                <w:sz w:val="20"/>
                <w:szCs w:val="20"/>
                <w:color w:val="auto"/>
              </w:rPr>
            </w:pPr>
            <w:r>
              <w:rPr>
                <w:rFonts w:ascii="Arial" w:cs="Arial" w:eastAsia="Arial" w:hAnsi="Arial"/>
                <w:sz w:val="14"/>
                <w:szCs w:val="14"/>
                <w:color w:val="auto"/>
              </w:rPr>
              <w:t>Other comprehensive (loss) income</w:t>
            </w: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440" w:type="dxa"/>
            <w:vAlign w:val="bottom"/>
            <w:shd w:val="clear" w:color="auto" w:fill="F5F5F5"/>
          </w:tcPr>
          <w:p>
            <w:pPr>
              <w:ind w:left="220"/>
              <w:spacing w:after="0"/>
              <w:rPr>
                <w:sz w:val="20"/>
                <w:szCs w:val="20"/>
                <w:color w:val="auto"/>
              </w:rPr>
            </w:pPr>
            <w:r>
              <w:rPr>
                <w:rFonts w:ascii="Arial" w:cs="Arial" w:eastAsia="Arial" w:hAnsi="Arial"/>
                <w:sz w:val="14"/>
                <w:szCs w:val="14"/>
                <w:color w:val="auto"/>
              </w:rPr>
              <w:t>Foreign currency translation, net of tax</w:t>
            </w:r>
          </w:p>
        </w:tc>
        <w:tc>
          <w:tcPr>
            <w:tcW w:w="420" w:type="dxa"/>
            <w:vAlign w:val="bottom"/>
            <w:shd w:val="clear" w:color="auto" w:fill="F5F5F5"/>
          </w:tcPr>
          <w:p>
            <w:pPr>
              <w:jc w:val="right"/>
              <w:ind w:right="2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(7,351)</w:t>
            </w:r>
          </w:p>
        </w:tc>
        <w:tc>
          <w:tcPr>
            <w:tcW w:w="100" w:type="dxa"/>
            <w:vAlign w:val="bottom"/>
            <w:shd w:val="clear" w:color="auto" w:fill="F5F5F5"/>
          </w:tcPr>
          <w:p>
            <w:pPr>
              <w:spacing w:after="0"/>
              <w:rPr>
                <w:sz w:val="17"/>
                <w:szCs w:val="17"/>
                <w:color w:val="auto"/>
              </w:rPr>
            </w:pPr>
          </w:p>
        </w:tc>
        <w:tc>
          <w:tcPr>
            <w:tcW w:w="440" w:type="dxa"/>
            <w:vAlign w:val="bottom"/>
            <w:shd w:val="clear" w:color="auto" w:fill="F5F5F5"/>
          </w:tcPr>
          <w:p>
            <w:pPr>
              <w:jc w:val="right"/>
              <w:ind w:right="2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(3,879)</w:t>
            </w:r>
          </w:p>
        </w:tc>
        <w:tc>
          <w:tcPr>
            <w:tcW w:w="100" w:type="dxa"/>
            <w:vAlign w:val="bottom"/>
            <w:shd w:val="clear" w:color="auto" w:fill="F5F5F5"/>
          </w:tcPr>
          <w:p>
            <w:pPr>
              <w:spacing w:after="0"/>
              <w:rPr>
                <w:sz w:val="17"/>
                <w:szCs w:val="17"/>
                <w:color w:val="auto"/>
              </w:rPr>
            </w:pPr>
          </w:p>
        </w:tc>
        <w:tc>
          <w:tcPr>
            <w:tcW w:w="440" w:type="dxa"/>
            <w:vAlign w:val="bottom"/>
            <w:shd w:val="clear" w:color="auto" w:fill="F5F5F5"/>
          </w:tcPr>
          <w:p>
            <w:pPr>
              <w:jc w:val="right"/>
              <w:ind w:right="2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(11,964)</w:t>
            </w:r>
          </w:p>
        </w:tc>
        <w:tc>
          <w:tcPr>
            <w:tcW w:w="0" w:type="dxa"/>
            <w:vAlign w:val="bottom"/>
          </w:tcPr>
          <w:p>
            <w:pPr>
              <w:spacing w:after="0"/>
              <w:rPr>
                <w:sz w:val="1"/>
                <w:szCs w:val="1"/>
                <w:color w:val="auto"/>
              </w:rPr>
            </w:pPr>
          </w:p>
        </w:tc>
      </w:tr>
      <w:tr>
        <w:trPr>
          <w:trHeight w:val="198"/>
        </w:trPr>
        <w:tc>
          <w:tcPr>
            <w:tcW w:w="6440" w:type="dxa"/>
            <w:vAlign w:val="bottom"/>
            <w:tcBorders>
              <w:bottom w:val="single" w:sz="8" w:color="F5F5F5"/>
            </w:tcBorders>
          </w:tcPr>
          <w:p>
            <w:pPr>
              <w:ind w:left="220"/>
              <w:spacing w:after="0"/>
              <w:rPr>
                <w:sz w:val="20"/>
                <w:szCs w:val="20"/>
                <w:color w:val="auto"/>
              </w:rPr>
            </w:pPr>
            <w:r>
              <w:rPr>
                <w:rFonts w:ascii="Arial" w:cs="Arial" w:eastAsia="Arial" w:hAnsi="Arial"/>
                <w:sz w:val="14"/>
                <w:szCs w:val="14"/>
                <w:color w:val="auto"/>
              </w:rPr>
              <w:t>Derivative financial instruments, net of tax</w:t>
            </w: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4,168</w:t>
            </w:r>
          </w:p>
        </w:tc>
        <w:tc>
          <w:tcPr>
            <w:tcW w:w="100" w:type="dxa"/>
            <w:vAlign w:val="bottom"/>
            <w:tcBorders>
              <w:bottom w:val="single" w:sz="8" w:color="F5F5F5"/>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5,438</w:t>
            </w:r>
          </w:p>
        </w:tc>
        <w:tc>
          <w:tcPr>
            <w:tcW w:w="100" w:type="dxa"/>
            <w:vAlign w:val="bottom"/>
            <w:tcBorders>
              <w:bottom w:val="single" w:sz="8" w:color="F5F5F5"/>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(10,857)</w:t>
            </w:r>
          </w:p>
        </w:tc>
        <w:tc>
          <w:tcPr>
            <w:tcW w:w="0" w:type="dxa"/>
            <w:vAlign w:val="bottom"/>
          </w:tcPr>
          <w:p>
            <w:pPr>
              <w:spacing w:after="0"/>
              <w:rPr>
                <w:sz w:val="1"/>
                <w:szCs w:val="1"/>
                <w:color w:val="auto"/>
              </w:rPr>
            </w:pPr>
          </w:p>
        </w:tc>
      </w:tr>
      <w:tr>
        <w:trPr>
          <w:trHeight w:val="200"/>
        </w:trPr>
        <w:tc>
          <w:tcPr>
            <w:tcW w:w="6440" w:type="dxa"/>
            <w:vAlign w:val="bottom"/>
            <w:shd w:val="clear" w:color="auto" w:fill="F5F5F5"/>
          </w:tcPr>
          <w:p>
            <w:pPr>
              <w:ind w:left="20"/>
              <w:spacing w:after="0"/>
              <w:rPr>
                <w:sz w:val="20"/>
                <w:szCs w:val="20"/>
                <w:color w:val="auto"/>
              </w:rPr>
            </w:pPr>
            <w:r>
              <w:rPr>
                <w:rFonts w:ascii="Arial" w:cs="Arial" w:eastAsia="Arial" w:hAnsi="Arial"/>
                <w:sz w:val="14"/>
                <w:szCs w:val="14"/>
                <w:color w:val="auto"/>
              </w:rPr>
              <w:t>Other comprehensive (loss) income</w:t>
            </w:r>
          </w:p>
        </w:tc>
        <w:tc>
          <w:tcPr>
            <w:tcW w:w="420" w:type="dxa"/>
            <w:vAlign w:val="bottom"/>
            <w:tcBorders>
              <w:bottom w:val="single" w:sz="8" w:color="auto"/>
            </w:tcBorders>
            <w:shd w:val="clear" w:color="auto" w:fill="F5F5F5"/>
          </w:tcPr>
          <w:p>
            <w:pPr>
              <w:spacing w:after="0"/>
              <w:rPr>
                <w:sz w:val="17"/>
                <w:szCs w:val="17"/>
                <w:color w:val="auto"/>
              </w:rPr>
            </w:pPr>
          </w:p>
        </w:tc>
        <w:tc>
          <w:tcPr>
            <w:tcW w:w="110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(3,183)</w:t>
            </w:r>
          </w:p>
        </w:tc>
        <w:tc>
          <w:tcPr>
            <w:tcW w:w="100" w:type="dxa"/>
            <w:vAlign w:val="bottom"/>
            <w:shd w:val="clear" w:color="auto" w:fill="F5F5F5"/>
          </w:tcPr>
          <w:p>
            <w:pPr>
              <w:spacing w:after="0"/>
              <w:rPr>
                <w:sz w:val="17"/>
                <w:szCs w:val="17"/>
                <w:color w:val="auto"/>
              </w:rPr>
            </w:pPr>
          </w:p>
        </w:tc>
        <w:tc>
          <w:tcPr>
            <w:tcW w:w="440" w:type="dxa"/>
            <w:vAlign w:val="bottom"/>
            <w:tcBorders>
              <w:bottom w:val="single" w:sz="8" w:color="auto"/>
            </w:tcBorders>
            <w:shd w:val="clear" w:color="auto" w:fill="F5F5F5"/>
          </w:tcPr>
          <w:p>
            <w:pPr>
              <w:spacing w:after="0"/>
              <w:rPr>
                <w:sz w:val="17"/>
                <w:szCs w:val="17"/>
                <w:color w:val="auto"/>
              </w:rPr>
            </w:pPr>
          </w:p>
        </w:tc>
        <w:tc>
          <w:tcPr>
            <w:tcW w:w="1100" w:type="dxa"/>
            <w:vAlign w:val="bottom"/>
            <w:tcBorders>
              <w:bottom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1,559</w:t>
            </w:r>
          </w:p>
        </w:tc>
        <w:tc>
          <w:tcPr>
            <w:tcW w:w="100" w:type="dxa"/>
            <w:vAlign w:val="bottom"/>
            <w:shd w:val="clear" w:color="auto" w:fill="F5F5F5"/>
          </w:tcPr>
          <w:p>
            <w:pPr>
              <w:spacing w:after="0"/>
              <w:rPr>
                <w:sz w:val="17"/>
                <w:szCs w:val="17"/>
                <w:color w:val="auto"/>
              </w:rPr>
            </w:pPr>
          </w:p>
        </w:tc>
        <w:tc>
          <w:tcPr>
            <w:tcW w:w="440" w:type="dxa"/>
            <w:vAlign w:val="bottom"/>
            <w:tcBorders>
              <w:bottom w:val="single" w:sz="8" w:color="auto"/>
            </w:tcBorders>
            <w:shd w:val="clear" w:color="auto" w:fill="F5F5F5"/>
          </w:tcPr>
          <w:p>
            <w:pPr>
              <w:spacing w:after="0"/>
              <w:rPr>
                <w:sz w:val="17"/>
                <w:szCs w:val="17"/>
                <w:color w:val="auto"/>
              </w:rPr>
            </w:pPr>
          </w:p>
        </w:tc>
        <w:tc>
          <w:tcPr>
            <w:tcW w:w="110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(22,821)</w:t>
            </w:r>
          </w:p>
        </w:tc>
        <w:tc>
          <w:tcPr>
            <w:tcW w:w="0" w:type="dxa"/>
            <w:vAlign w:val="bottom"/>
          </w:tcPr>
          <w:p>
            <w:pPr>
              <w:spacing w:after="0"/>
              <w:rPr>
                <w:sz w:val="1"/>
                <w:szCs w:val="1"/>
                <w:color w:val="auto"/>
              </w:rPr>
            </w:pPr>
          </w:p>
        </w:tc>
      </w:tr>
      <w:tr>
        <w:trPr>
          <w:trHeight w:val="192"/>
        </w:trPr>
        <w:tc>
          <w:tcPr>
            <w:tcW w:w="6440" w:type="dxa"/>
            <w:vAlign w:val="bottom"/>
          </w:tcPr>
          <w:p>
            <w:pPr>
              <w:ind w:left="20"/>
              <w:spacing w:after="0"/>
              <w:rPr>
                <w:sz w:val="20"/>
                <w:szCs w:val="20"/>
                <w:color w:val="auto"/>
              </w:rPr>
            </w:pPr>
            <w:r>
              <w:rPr>
                <w:rFonts w:ascii="Arial" w:cs="Arial" w:eastAsia="Arial" w:hAnsi="Arial"/>
                <w:sz w:val="14"/>
                <w:szCs w:val="14"/>
                <w:color w:val="auto"/>
              </w:rPr>
              <w:t>Comprehensive income (loss)</w:t>
            </w:r>
          </w:p>
        </w:tc>
        <w:tc>
          <w:tcPr>
            <w:tcW w:w="4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570,833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336,972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(12,436)</w:t>
            </w:r>
          </w:p>
        </w:tc>
        <w:tc>
          <w:tcPr>
            <w:tcW w:w="0" w:type="dxa"/>
            <w:vAlign w:val="bottom"/>
          </w:tcPr>
          <w:p>
            <w:pPr>
              <w:spacing w:after="0"/>
              <w:rPr>
                <w:sz w:val="1"/>
                <w:szCs w:val="1"/>
                <w:color w:val="auto"/>
              </w:rPr>
            </w:pPr>
          </w:p>
        </w:tc>
      </w:tr>
      <w:tr>
        <w:trPr>
          <w:trHeight w:val="207"/>
        </w:trPr>
        <w:tc>
          <w:tcPr>
            <w:tcW w:w="6440" w:type="dxa"/>
            <w:vAlign w:val="bottom"/>
            <w:shd w:val="clear" w:color="auto" w:fill="F5F5F5"/>
          </w:tcPr>
          <w:p>
            <w:pPr>
              <w:ind w:left="20"/>
              <w:spacing w:after="0"/>
              <w:rPr>
                <w:sz w:val="20"/>
                <w:szCs w:val="20"/>
                <w:color w:val="auto"/>
              </w:rPr>
            </w:pPr>
            <w:r>
              <w:rPr>
                <w:rFonts w:ascii="Arial" w:cs="Arial" w:eastAsia="Arial" w:hAnsi="Arial"/>
                <w:sz w:val="14"/>
                <w:szCs w:val="14"/>
                <w:color w:val="auto"/>
              </w:rPr>
              <w:t>Less: Comprehensive income attributable to noncontrolling interests</w:t>
            </w:r>
          </w:p>
        </w:tc>
        <w:tc>
          <w:tcPr>
            <w:tcW w:w="420" w:type="dxa"/>
            <w:vAlign w:val="bottom"/>
            <w:tcBorders>
              <w:bottom w:val="single" w:sz="8" w:color="auto"/>
            </w:tcBorders>
            <w:shd w:val="clear" w:color="auto" w:fill="F5F5F5"/>
          </w:tcPr>
          <w:p>
            <w:pPr>
              <w:spacing w:after="0"/>
              <w:rPr>
                <w:sz w:val="17"/>
                <w:szCs w:val="17"/>
                <w:color w:val="auto"/>
              </w:rPr>
            </w:pPr>
          </w:p>
        </w:tc>
        <w:tc>
          <w:tcPr>
            <w:tcW w:w="110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7,793</w:t>
            </w:r>
          </w:p>
        </w:tc>
        <w:tc>
          <w:tcPr>
            <w:tcW w:w="100" w:type="dxa"/>
            <w:vAlign w:val="bottom"/>
            <w:shd w:val="clear" w:color="auto" w:fill="F5F5F5"/>
          </w:tcPr>
          <w:p>
            <w:pPr>
              <w:spacing w:after="0"/>
              <w:rPr>
                <w:sz w:val="17"/>
                <w:szCs w:val="17"/>
                <w:color w:val="auto"/>
              </w:rPr>
            </w:pPr>
          </w:p>
        </w:tc>
        <w:tc>
          <w:tcPr>
            <w:tcW w:w="440" w:type="dxa"/>
            <w:vAlign w:val="bottom"/>
            <w:tcBorders>
              <w:bottom w:val="single" w:sz="8" w:color="auto"/>
            </w:tcBorders>
            <w:shd w:val="clear" w:color="auto" w:fill="F5F5F5"/>
          </w:tcPr>
          <w:p>
            <w:pPr>
              <w:spacing w:after="0"/>
              <w:rPr>
                <w:sz w:val="17"/>
                <w:szCs w:val="17"/>
                <w:color w:val="auto"/>
              </w:rPr>
            </w:pPr>
          </w:p>
        </w:tc>
        <w:tc>
          <w:tcPr>
            <w:tcW w:w="1100" w:type="dxa"/>
            <w:vAlign w:val="bottom"/>
            <w:tcBorders>
              <w:bottom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7,290</w:t>
            </w:r>
          </w:p>
        </w:tc>
        <w:tc>
          <w:tcPr>
            <w:tcW w:w="100" w:type="dxa"/>
            <w:vAlign w:val="bottom"/>
            <w:shd w:val="clear" w:color="auto" w:fill="F5F5F5"/>
          </w:tcPr>
          <w:p>
            <w:pPr>
              <w:spacing w:after="0"/>
              <w:rPr>
                <w:sz w:val="17"/>
                <w:szCs w:val="17"/>
                <w:color w:val="auto"/>
              </w:rPr>
            </w:pPr>
          </w:p>
        </w:tc>
        <w:tc>
          <w:tcPr>
            <w:tcW w:w="440" w:type="dxa"/>
            <w:vAlign w:val="bottom"/>
            <w:tcBorders>
              <w:bottom w:val="single" w:sz="8" w:color="auto"/>
            </w:tcBorders>
            <w:shd w:val="clear" w:color="auto" w:fill="F5F5F5"/>
          </w:tcPr>
          <w:p>
            <w:pPr>
              <w:spacing w:after="0"/>
              <w:rPr>
                <w:sz w:val="17"/>
                <w:szCs w:val="17"/>
                <w:color w:val="auto"/>
              </w:rPr>
            </w:pPr>
          </w:p>
        </w:tc>
        <w:tc>
          <w:tcPr>
            <w:tcW w:w="110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7,569</w:t>
            </w:r>
          </w:p>
        </w:tc>
        <w:tc>
          <w:tcPr>
            <w:tcW w:w="0" w:type="dxa"/>
            <w:vAlign w:val="bottom"/>
          </w:tcPr>
          <w:p>
            <w:pPr>
              <w:spacing w:after="0"/>
              <w:rPr>
                <w:sz w:val="1"/>
                <w:szCs w:val="1"/>
                <w:color w:val="auto"/>
              </w:rPr>
            </w:pPr>
          </w:p>
        </w:tc>
      </w:tr>
      <w:tr>
        <w:trPr>
          <w:trHeight w:val="192"/>
        </w:trPr>
        <w:tc>
          <w:tcPr>
            <w:tcW w:w="6440" w:type="dxa"/>
            <w:vAlign w:val="bottom"/>
          </w:tcPr>
          <w:p>
            <w:pPr>
              <w:ind w:left="20"/>
              <w:spacing w:after="0"/>
              <w:rPr>
                <w:sz w:val="20"/>
                <w:szCs w:val="20"/>
                <w:color w:val="auto"/>
              </w:rPr>
            </w:pPr>
            <w:r>
              <w:rPr>
                <w:rFonts w:ascii="Arial" w:cs="Arial" w:eastAsia="Arial" w:hAnsi="Arial"/>
                <w:sz w:val="14"/>
                <w:szCs w:val="14"/>
                <w:color w:val="auto"/>
              </w:rPr>
              <w:t>Comprehensive income (loss) attributable to A&amp;F</w:t>
            </w: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563,040</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329,682</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(20,005)</w:t>
            </w:r>
          </w:p>
        </w:tc>
        <w:tc>
          <w:tcPr>
            <w:tcW w:w="0" w:type="dxa"/>
            <w:vAlign w:val="bottom"/>
          </w:tcPr>
          <w:p>
            <w:pPr>
              <w:spacing w:after="0"/>
              <w:rPr>
                <w:sz w:val="1"/>
                <w:szCs w:val="1"/>
                <w:color w:val="auto"/>
              </w:rPr>
            </w:pPr>
          </w:p>
        </w:tc>
      </w:tr>
      <w:tr>
        <w:trPr>
          <w:trHeight w:val="25"/>
        </w:trPr>
        <w:tc>
          <w:tcPr>
            <w:tcW w:w="64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96"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45</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Abercrombie &amp; Fitch Co.</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(Thousands, except par value amounts)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color w:val="auto"/>
              </w:rPr>
              <w:t>February 1, 2025</w:t>
            </w: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February 3, 2024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w w:val="99"/>
              </w:rPr>
              <w:t>Assets</w:t>
            </w:r>
          </w:p>
        </w:tc>
        <w:tc>
          <w:tcPr>
            <w:tcW w:w="7460" w:type="dxa"/>
            <w:vAlign w:val="bottom"/>
            <w:gridSpan w:val="2"/>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900" w:type="dxa"/>
            <w:vAlign w:val="bottom"/>
            <w:gridSpan w:val="3"/>
          </w:tcPr>
          <w:p>
            <w:pPr>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F5F5F5"/>
          </w:tcPr>
          <w:p>
            <w:pPr>
              <w:spacing w:after="0"/>
              <w:rPr>
                <w:sz w:val="17"/>
                <w:szCs w:val="17"/>
                <w:color w:val="auto"/>
              </w:rPr>
            </w:pPr>
          </w:p>
        </w:tc>
        <w:tc>
          <w:tcPr>
            <w:tcW w:w="7900" w:type="dxa"/>
            <w:vAlign w:val="bottom"/>
            <w:gridSpan w:val="3"/>
            <w:shd w:val="clear" w:color="auto" w:fill="F5F5F5"/>
          </w:tcPr>
          <w:p>
            <w:pPr>
              <w:ind w:left="200"/>
              <w:spacing w:after="0"/>
              <w:rPr>
                <w:sz w:val="20"/>
                <w:szCs w:val="20"/>
                <w:color w:val="auto"/>
              </w:rPr>
            </w:pPr>
            <w:r>
              <w:rPr>
                <w:rFonts w:ascii="Arial" w:cs="Arial" w:eastAsia="Arial" w:hAnsi="Arial"/>
                <w:sz w:val="14"/>
                <w:szCs w:val="14"/>
                <w:color w:val="auto"/>
              </w:rPr>
              <w:t>Cash and equivalents</w:t>
            </w:r>
          </w:p>
        </w:tc>
        <w:tc>
          <w:tcPr>
            <w:tcW w:w="260" w:type="dxa"/>
            <w:vAlign w:val="bottom"/>
            <w:shd w:val="clear" w:color="auto" w:fill="F5F5F5"/>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772,727</w:t>
            </w:r>
          </w:p>
        </w:tc>
        <w:tc>
          <w:tcPr>
            <w:tcW w:w="100" w:type="dxa"/>
            <w:vAlign w:val="bottom"/>
            <w:shd w:val="clear" w:color="auto" w:fill="F5F5F5"/>
          </w:tcPr>
          <w:p>
            <w:pPr>
              <w:spacing w:after="0"/>
              <w:rPr>
                <w:sz w:val="17"/>
                <w:szCs w:val="17"/>
                <w:color w:val="auto"/>
              </w:rPr>
            </w:pPr>
          </w:p>
        </w:tc>
        <w:tc>
          <w:tcPr>
            <w:tcW w:w="260" w:type="dxa"/>
            <w:vAlign w:val="bottom"/>
            <w:shd w:val="clear" w:color="auto" w:fill="F5F5F5"/>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900,884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00" w:type="dxa"/>
            <w:vAlign w:val="bottom"/>
            <w:gridSpan w:val="3"/>
          </w:tcPr>
          <w:p>
            <w:pPr>
              <w:ind w:left="200"/>
              <w:spacing w:after="0"/>
              <w:rPr>
                <w:sz w:val="20"/>
                <w:szCs w:val="20"/>
                <w:color w:val="auto"/>
              </w:rPr>
            </w:pPr>
            <w:r>
              <w:rPr>
                <w:rFonts w:ascii="Arial" w:cs="Arial" w:eastAsia="Arial" w:hAnsi="Arial"/>
                <w:sz w:val="14"/>
                <w:szCs w:val="14"/>
                <w:color w:val="auto"/>
              </w:rPr>
              <w:t>Marketable securities</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116,221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20" w:type="dxa"/>
            <w:vAlign w:val="bottom"/>
            <w:shd w:val="clear" w:color="auto" w:fill="F5F5F5"/>
          </w:tcPr>
          <w:p>
            <w:pPr>
              <w:spacing w:after="0"/>
              <w:rPr>
                <w:sz w:val="17"/>
                <w:szCs w:val="17"/>
                <w:color w:val="auto"/>
              </w:rPr>
            </w:pPr>
          </w:p>
        </w:tc>
        <w:tc>
          <w:tcPr>
            <w:tcW w:w="7900" w:type="dxa"/>
            <w:vAlign w:val="bottom"/>
            <w:gridSpan w:val="3"/>
            <w:shd w:val="clear" w:color="auto" w:fill="F5F5F5"/>
          </w:tcPr>
          <w:p>
            <w:pPr>
              <w:ind w:left="200"/>
              <w:spacing w:after="0"/>
              <w:rPr>
                <w:sz w:val="20"/>
                <w:szCs w:val="20"/>
                <w:color w:val="auto"/>
              </w:rPr>
            </w:pPr>
            <w:r>
              <w:rPr>
                <w:rFonts w:ascii="Arial" w:cs="Arial" w:eastAsia="Arial" w:hAnsi="Arial"/>
                <w:sz w:val="14"/>
                <w:szCs w:val="14"/>
                <w:color w:val="auto"/>
              </w:rPr>
              <w:t>Receivables</w:t>
            </w:r>
          </w:p>
        </w:tc>
        <w:tc>
          <w:tcPr>
            <w:tcW w:w="260" w:type="dxa"/>
            <w:vAlign w:val="bottom"/>
            <w:shd w:val="clear" w:color="auto" w:fill="F5F5F5"/>
          </w:tcPr>
          <w:p>
            <w:pPr>
              <w:spacing w:after="0"/>
              <w:rPr>
                <w:sz w:val="17"/>
                <w:szCs w:val="17"/>
                <w:color w:val="auto"/>
              </w:rPr>
            </w:pPr>
          </w:p>
        </w:tc>
        <w:tc>
          <w:tcPr>
            <w:tcW w:w="12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105,324</w:t>
            </w:r>
          </w:p>
        </w:tc>
        <w:tc>
          <w:tcPr>
            <w:tcW w:w="100" w:type="dxa"/>
            <w:vAlign w:val="bottom"/>
            <w:shd w:val="clear" w:color="auto" w:fill="F5F5F5"/>
          </w:tcPr>
          <w:p>
            <w:pPr>
              <w:spacing w:after="0"/>
              <w:rPr>
                <w:sz w:val="17"/>
                <w:szCs w:val="17"/>
                <w:color w:val="auto"/>
              </w:rPr>
            </w:pPr>
          </w:p>
        </w:tc>
        <w:tc>
          <w:tcPr>
            <w:tcW w:w="260" w:type="dxa"/>
            <w:vAlign w:val="bottom"/>
            <w:shd w:val="clear" w:color="auto" w:fill="F5F5F5"/>
          </w:tcPr>
          <w:p>
            <w:pPr>
              <w:spacing w:after="0"/>
              <w:rPr>
                <w:sz w:val="17"/>
                <w:szCs w:val="17"/>
                <w:color w:val="auto"/>
              </w:rPr>
            </w:pPr>
          </w:p>
        </w:tc>
        <w:tc>
          <w:tcPr>
            <w:tcW w:w="12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78,346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00" w:type="dxa"/>
            <w:vAlign w:val="bottom"/>
            <w:gridSpan w:val="3"/>
          </w:tcPr>
          <w:p>
            <w:pPr>
              <w:ind w:left="200"/>
              <w:spacing w:after="0"/>
              <w:rPr>
                <w:sz w:val="20"/>
                <w:szCs w:val="20"/>
                <w:color w:val="auto"/>
              </w:rPr>
            </w:pPr>
            <w:r>
              <w:rPr>
                <w:rFonts w:ascii="Arial" w:cs="Arial" w:eastAsia="Arial" w:hAnsi="Arial"/>
                <w:sz w:val="14"/>
                <w:szCs w:val="14"/>
                <w:color w:val="auto"/>
              </w:rPr>
              <w:t>Inventories</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575,005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469,466</w:t>
            </w:r>
          </w:p>
        </w:tc>
        <w:tc>
          <w:tcPr>
            <w:tcW w:w="0" w:type="dxa"/>
            <w:vAlign w:val="bottom"/>
          </w:tcPr>
          <w:p>
            <w:pPr>
              <w:spacing w:after="0"/>
              <w:rPr>
                <w:sz w:val="1"/>
                <w:szCs w:val="1"/>
                <w:color w:val="auto"/>
              </w:rPr>
            </w:pPr>
          </w:p>
        </w:tc>
      </w:tr>
      <w:tr>
        <w:trPr>
          <w:trHeight w:val="207"/>
        </w:trPr>
        <w:tc>
          <w:tcPr>
            <w:tcW w:w="20" w:type="dxa"/>
            <w:vAlign w:val="bottom"/>
            <w:shd w:val="clear" w:color="auto" w:fill="F5F5F5"/>
          </w:tcPr>
          <w:p>
            <w:pPr>
              <w:spacing w:after="0"/>
              <w:rPr>
                <w:sz w:val="17"/>
                <w:szCs w:val="17"/>
                <w:color w:val="auto"/>
              </w:rPr>
            </w:pPr>
          </w:p>
        </w:tc>
        <w:tc>
          <w:tcPr>
            <w:tcW w:w="7900" w:type="dxa"/>
            <w:vAlign w:val="bottom"/>
            <w:gridSpan w:val="3"/>
            <w:shd w:val="clear" w:color="auto" w:fill="F5F5F5"/>
          </w:tcPr>
          <w:p>
            <w:pPr>
              <w:ind w:left="200"/>
              <w:spacing w:after="0"/>
              <w:rPr>
                <w:sz w:val="20"/>
                <w:szCs w:val="20"/>
                <w:color w:val="auto"/>
              </w:rPr>
            </w:pPr>
            <w:r>
              <w:rPr>
                <w:rFonts w:ascii="Arial" w:cs="Arial" w:eastAsia="Arial" w:hAnsi="Arial"/>
                <w:sz w:val="14"/>
                <w:szCs w:val="14"/>
                <w:color w:val="auto"/>
              </w:rPr>
              <w:t>Other current assets</w:t>
            </w:r>
          </w:p>
        </w:tc>
        <w:tc>
          <w:tcPr>
            <w:tcW w:w="260" w:type="dxa"/>
            <w:vAlign w:val="bottom"/>
            <w:tcBorders>
              <w:bottom w:val="single" w:sz="8" w:color="auto"/>
            </w:tcBorders>
            <w:shd w:val="clear" w:color="auto" w:fill="F5F5F5"/>
          </w:tcPr>
          <w:p>
            <w:pPr>
              <w:spacing w:after="0"/>
              <w:rPr>
                <w:sz w:val="17"/>
                <w:szCs w:val="17"/>
                <w:color w:val="auto"/>
              </w:rPr>
            </w:pPr>
          </w:p>
        </w:tc>
        <w:tc>
          <w:tcPr>
            <w:tcW w:w="128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104,154</w:t>
            </w:r>
          </w:p>
        </w:tc>
        <w:tc>
          <w:tcPr>
            <w:tcW w:w="100" w:type="dxa"/>
            <w:vAlign w:val="bottom"/>
            <w:shd w:val="clear" w:color="auto" w:fill="F5F5F5"/>
          </w:tcPr>
          <w:p>
            <w:pPr>
              <w:spacing w:after="0"/>
              <w:rPr>
                <w:sz w:val="17"/>
                <w:szCs w:val="17"/>
                <w:color w:val="auto"/>
              </w:rPr>
            </w:pPr>
          </w:p>
        </w:tc>
        <w:tc>
          <w:tcPr>
            <w:tcW w:w="260" w:type="dxa"/>
            <w:vAlign w:val="bottom"/>
            <w:tcBorders>
              <w:bottom w:val="single" w:sz="8" w:color="auto"/>
            </w:tcBorders>
            <w:shd w:val="clear" w:color="auto" w:fill="F5F5F5"/>
          </w:tcPr>
          <w:p>
            <w:pPr>
              <w:spacing w:after="0"/>
              <w:rPr>
                <w:sz w:val="17"/>
                <w:szCs w:val="17"/>
                <w:color w:val="auto"/>
              </w:rPr>
            </w:pPr>
          </w:p>
        </w:tc>
        <w:tc>
          <w:tcPr>
            <w:tcW w:w="128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88,569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900" w:type="dxa"/>
            <w:vAlign w:val="bottom"/>
            <w:gridSpan w:val="3"/>
          </w:tcPr>
          <w:p>
            <w:pPr>
              <w:spacing w:after="0"/>
              <w:rPr>
                <w:sz w:val="20"/>
                <w:szCs w:val="20"/>
                <w:color w:val="auto"/>
              </w:rPr>
            </w:pPr>
            <w:r>
              <w:rPr>
                <w:rFonts w:ascii="Arial" w:cs="Arial" w:eastAsia="Arial" w:hAnsi="Arial"/>
                <w:sz w:val="14"/>
                <w:szCs w:val="14"/>
                <w:color w:val="auto"/>
              </w:rPr>
              <w:t>Total current assets</w:t>
            </w: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1,673,431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1,537,265</w:t>
            </w:r>
          </w:p>
        </w:tc>
        <w:tc>
          <w:tcPr>
            <w:tcW w:w="0" w:type="dxa"/>
            <w:vAlign w:val="bottom"/>
          </w:tcPr>
          <w:p>
            <w:pPr>
              <w:spacing w:after="0"/>
              <w:rPr>
                <w:sz w:val="1"/>
                <w:szCs w:val="1"/>
                <w:color w:val="auto"/>
              </w:rPr>
            </w:pPr>
          </w:p>
        </w:tc>
      </w:tr>
      <w:tr>
        <w:trPr>
          <w:trHeight w:val="207"/>
        </w:trPr>
        <w:tc>
          <w:tcPr>
            <w:tcW w:w="20" w:type="dxa"/>
            <w:vAlign w:val="bottom"/>
            <w:shd w:val="clear" w:color="auto" w:fill="F5F5F5"/>
          </w:tcPr>
          <w:p>
            <w:pPr>
              <w:spacing w:after="0"/>
              <w:rPr>
                <w:sz w:val="17"/>
                <w:szCs w:val="17"/>
                <w:color w:val="auto"/>
              </w:rPr>
            </w:pPr>
          </w:p>
        </w:tc>
        <w:tc>
          <w:tcPr>
            <w:tcW w:w="7900" w:type="dxa"/>
            <w:vAlign w:val="bottom"/>
            <w:gridSpan w:val="3"/>
            <w:shd w:val="clear" w:color="auto" w:fill="F5F5F5"/>
          </w:tcPr>
          <w:p>
            <w:pPr>
              <w:spacing w:after="0"/>
              <w:rPr>
                <w:sz w:val="20"/>
                <w:szCs w:val="20"/>
                <w:color w:val="auto"/>
              </w:rPr>
            </w:pPr>
            <w:r>
              <w:rPr>
                <w:rFonts w:ascii="Arial" w:cs="Arial" w:eastAsia="Arial" w:hAnsi="Arial"/>
                <w:sz w:val="14"/>
                <w:szCs w:val="14"/>
                <w:color w:val="auto"/>
              </w:rPr>
              <w:t>Property and equipment, net</w:t>
            </w:r>
          </w:p>
        </w:tc>
        <w:tc>
          <w:tcPr>
            <w:tcW w:w="260" w:type="dxa"/>
            <w:vAlign w:val="bottom"/>
            <w:shd w:val="clear" w:color="auto" w:fill="F5F5F5"/>
          </w:tcPr>
          <w:p>
            <w:pPr>
              <w:spacing w:after="0"/>
              <w:rPr>
                <w:sz w:val="17"/>
                <w:szCs w:val="17"/>
                <w:color w:val="auto"/>
              </w:rPr>
            </w:pPr>
          </w:p>
        </w:tc>
        <w:tc>
          <w:tcPr>
            <w:tcW w:w="12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575,773</w:t>
            </w:r>
          </w:p>
        </w:tc>
        <w:tc>
          <w:tcPr>
            <w:tcW w:w="100" w:type="dxa"/>
            <w:vAlign w:val="bottom"/>
            <w:shd w:val="clear" w:color="auto" w:fill="F5F5F5"/>
          </w:tcPr>
          <w:p>
            <w:pPr>
              <w:spacing w:after="0"/>
              <w:rPr>
                <w:sz w:val="17"/>
                <w:szCs w:val="17"/>
                <w:color w:val="auto"/>
              </w:rPr>
            </w:pPr>
          </w:p>
        </w:tc>
        <w:tc>
          <w:tcPr>
            <w:tcW w:w="260" w:type="dxa"/>
            <w:vAlign w:val="bottom"/>
            <w:shd w:val="clear" w:color="auto" w:fill="F5F5F5"/>
          </w:tcPr>
          <w:p>
            <w:pPr>
              <w:spacing w:after="0"/>
              <w:rPr>
                <w:sz w:val="17"/>
                <w:szCs w:val="17"/>
                <w:color w:val="auto"/>
              </w:rPr>
            </w:pPr>
          </w:p>
        </w:tc>
        <w:tc>
          <w:tcPr>
            <w:tcW w:w="12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538,033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00" w:type="dxa"/>
            <w:vAlign w:val="bottom"/>
            <w:gridSpan w:val="3"/>
          </w:tcPr>
          <w:p>
            <w:pPr>
              <w:spacing w:after="0"/>
              <w:rPr>
                <w:sz w:val="20"/>
                <w:szCs w:val="20"/>
                <w:color w:val="auto"/>
              </w:rPr>
            </w:pPr>
            <w:r>
              <w:rPr>
                <w:rFonts w:ascii="Arial" w:cs="Arial" w:eastAsia="Arial" w:hAnsi="Arial"/>
                <w:sz w:val="14"/>
                <w:szCs w:val="14"/>
                <w:color w:val="auto"/>
              </w:rPr>
              <w:t>Operating lease right-of-use assets</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803,121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678,256</w:t>
            </w:r>
          </w:p>
        </w:tc>
        <w:tc>
          <w:tcPr>
            <w:tcW w:w="0" w:type="dxa"/>
            <w:vAlign w:val="bottom"/>
          </w:tcPr>
          <w:p>
            <w:pPr>
              <w:spacing w:after="0"/>
              <w:rPr>
                <w:sz w:val="1"/>
                <w:szCs w:val="1"/>
                <w:color w:val="auto"/>
              </w:rPr>
            </w:pPr>
          </w:p>
        </w:tc>
      </w:tr>
      <w:tr>
        <w:trPr>
          <w:trHeight w:val="207"/>
        </w:trPr>
        <w:tc>
          <w:tcPr>
            <w:tcW w:w="20" w:type="dxa"/>
            <w:vAlign w:val="bottom"/>
            <w:shd w:val="clear" w:color="auto" w:fill="F5F5F5"/>
          </w:tcPr>
          <w:p>
            <w:pPr>
              <w:spacing w:after="0"/>
              <w:rPr>
                <w:sz w:val="17"/>
                <w:szCs w:val="17"/>
                <w:color w:val="auto"/>
              </w:rPr>
            </w:pPr>
          </w:p>
        </w:tc>
        <w:tc>
          <w:tcPr>
            <w:tcW w:w="7900" w:type="dxa"/>
            <w:vAlign w:val="bottom"/>
            <w:gridSpan w:val="3"/>
            <w:shd w:val="clear" w:color="auto" w:fill="F5F5F5"/>
          </w:tcPr>
          <w:p>
            <w:pPr>
              <w:spacing w:after="0"/>
              <w:rPr>
                <w:sz w:val="20"/>
                <w:szCs w:val="20"/>
                <w:color w:val="auto"/>
              </w:rPr>
            </w:pPr>
            <w:r>
              <w:rPr>
                <w:rFonts w:ascii="Arial" w:cs="Arial" w:eastAsia="Arial" w:hAnsi="Arial"/>
                <w:sz w:val="14"/>
                <w:szCs w:val="14"/>
                <w:color w:val="auto"/>
              </w:rPr>
              <w:t>Other assets</w:t>
            </w:r>
          </w:p>
        </w:tc>
        <w:tc>
          <w:tcPr>
            <w:tcW w:w="260" w:type="dxa"/>
            <w:vAlign w:val="bottom"/>
            <w:tcBorders>
              <w:bottom w:val="single" w:sz="8" w:color="auto"/>
            </w:tcBorders>
            <w:shd w:val="clear" w:color="auto" w:fill="F5F5F5"/>
          </w:tcPr>
          <w:p>
            <w:pPr>
              <w:spacing w:after="0"/>
              <w:rPr>
                <w:sz w:val="17"/>
                <w:szCs w:val="17"/>
                <w:color w:val="auto"/>
              </w:rPr>
            </w:pPr>
          </w:p>
        </w:tc>
        <w:tc>
          <w:tcPr>
            <w:tcW w:w="128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247,562</w:t>
            </w:r>
          </w:p>
        </w:tc>
        <w:tc>
          <w:tcPr>
            <w:tcW w:w="100" w:type="dxa"/>
            <w:vAlign w:val="bottom"/>
            <w:shd w:val="clear" w:color="auto" w:fill="F5F5F5"/>
          </w:tcPr>
          <w:p>
            <w:pPr>
              <w:spacing w:after="0"/>
              <w:rPr>
                <w:sz w:val="17"/>
                <w:szCs w:val="17"/>
                <w:color w:val="auto"/>
              </w:rPr>
            </w:pPr>
          </w:p>
        </w:tc>
        <w:tc>
          <w:tcPr>
            <w:tcW w:w="260" w:type="dxa"/>
            <w:vAlign w:val="bottom"/>
            <w:tcBorders>
              <w:bottom w:val="single" w:sz="8" w:color="auto"/>
            </w:tcBorders>
            <w:shd w:val="clear" w:color="auto" w:fill="F5F5F5"/>
          </w:tcPr>
          <w:p>
            <w:pPr>
              <w:spacing w:after="0"/>
              <w:rPr>
                <w:sz w:val="17"/>
                <w:szCs w:val="17"/>
                <w:color w:val="auto"/>
              </w:rPr>
            </w:pPr>
          </w:p>
        </w:tc>
        <w:tc>
          <w:tcPr>
            <w:tcW w:w="128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220,679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900" w:type="dxa"/>
            <w:vAlign w:val="bottom"/>
            <w:gridSpan w:val="3"/>
          </w:tcPr>
          <w:p>
            <w:pPr>
              <w:spacing w:after="0"/>
              <w:rPr>
                <w:sz w:val="20"/>
                <w:szCs w:val="20"/>
                <w:color w:val="auto"/>
              </w:rPr>
            </w:pPr>
            <w:r>
              <w:rPr>
                <w:rFonts w:ascii="Arial" w:cs="Arial" w:eastAsia="Arial" w:hAnsi="Arial"/>
                <w:sz w:val="14"/>
                <w:szCs w:val="14"/>
                <w:color w:val="auto"/>
              </w:rPr>
              <w:t>Total assets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3,299,887</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2,974,233</w:t>
            </w:r>
          </w:p>
        </w:tc>
        <w:tc>
          <w:tcPr>
            <w:tcW w:w="0" w:type="dxa"/>
            <w:vAlign w:val="bottom"/>
          </w:tcPr>
          <w:p>
            <w:pPr>
              <w:spacing w:after="0"/>
              <w:rPr>
                <w:sz w:val="1"/>
                <w:szCs w:val="1"/>
                <w:color w:val="auto"/>
              </w:rPr>
            </w:pPr>
          </w:p>
        </w:tc>
      </w:tr>
      <w:tr>
        <w:trPr>
          <w:trHeight w:val="20"/>
        </w:trPr>
        <w:tc>
          <w:tcPr>
            <w:tcW w:w="20" w:type="dxa"/>
            <w:vAlign w:val="bottom"/>
            <w:tcBorders>
              <w:bottom w:val="single" w:sz="8" w:color="F5F5F5"/>
            </w:tcBorders>
          </w:tcPr>
          <w:p>
            <w:pPr>
              <w:spacing w:after="0" w:line="20" w:lineRule="exact"/>
              <w:rPr>
                <w:sz w:val="1"/>
                <w:szCs w:val="1"/>
                <w:color w:val="auto"/>
              </w:rPr>
            </w:pPr>
          </w:p>
        </w:tc>
        <w:tc>
          <w:tcPr>
            <w:tcW w:w="440" w:type="dxa"/>
            <w:vAlign w:val="bottom"/>
            <w:tcBorders>
              <w:bottom w:val="single" w:sz="8" w:color="F5F5F5"/>
            </w:tcBorders>
          </w:tcPr>
          <w:p>
            <w:pPr>
              <w:spacing w:after="0" w:line="20" w:lineRule="exact"/>
              <w:rPr>
                <w:sz w:val="1"/>
                <w:szCs w:val="1"/>
                <w:color w:val="auto"/>
              </w:rPr>
            </w:pPr>
          </w:p>
        </w:tc>
        <w:tc>
          <w:tcPr>
            <w:tcW w:w="1740" w:type="dxa"/>
            <w:vAlign w:val="bottom"/>
            <w:tcBorders>
              <w:bottom w:val="single" w:sz="8" w:color="F5F5F5"/>
            </w:tcBorders>
          </w:tcPr>
          <w:p>
            <w:pPr>
              <w:spacing w:after="0" w:line="20" w:lineRule="exact"/>
              <w:rPr>
                <w:sz w:val="1"/>
                <w:szCs w:val="1"/>
                <w:color w:val="auto"/>
              </w:rPr>
            </w:pPr>
          </w:p>
        </w:tc>
        <w:tc>
          <w:tcPr>
            <w:tcW w:w="5720" w:type="dxa"/>
            <w:vAlign w:val="bottom"/>
            <w:tcBorders>
              <w:bottom w:val="single" w:sz="8" w:color="F5F5F5"/>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5F5F5"/>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shd w:val="clear" w:color="auto" w:fill="F5F5F5"/>
          </w:tcPr>
          <w:p>
            <w:pPr>
              <w:spacing w:after="0"/>
              <w:rPr>
                <w:sz w:val="13"/>
                <w:szCs w:val="13"/>
                <w:color w:val="auto"/>
              </w:rPr>
            </w:pPr>
          </w:p>
        </w:tc>
        <w:tc>
          <w:tcPr>
            <w:tcW w:w="7900" w:type="dxa"/>
            <w:vAlign w:val="bottom"/>
            <w:gridSpan w:val="3"/>
            <w:shd w:val="clear" w:color="auto" w:fill="F5F5F5"/>
          </w:tcPr>
          <w:p>
            <w:pPr>
              <w:spacing w:after="0" w:line="133" w:lineRule="exact"/>
              <w:rPr>
                <w:sz w:val="20"/>
                <w:szCs w:val="20"/>
                <w:color w:val="auto"/>
              </w:rPr>
            </w:pPr>
            <w:r>
              <w:rPr>
                <w:rFonts w:ascii="Arial" w:cs="Arial" w:eastAsia="Arial" w:hAnsi="Arial"/>
                <w:sz w:val="14"/>
                <w:szCs w:val="14"/>
                <w:color w:val="auto"/>
              </w:rPr>
              <w:t>Liabilities and stockholders’ equity</w:t>
            </w:r>
          </w:p>
        </w:tc>
        <w:tc>
          <w:tcPr>
            <w:tcW w:w="260" w:type="dxa"/>
            <w:vAlign w:val="bottom"/>
            <w:shd w:val="clear" w:color="auto" w:fill="F5F5F5"/>
          </w:tcPr>
          <w:p>
            <w:pPr>
              <w:spacing w:after="0"/>
              <w:rPr>
                <w:sz w:val="13"/>
                <w:szCs w:val="13"/>
                <w:color w:val="auto"/>
              </w:rPr>
            </w:pPr>
          </w:p>
        </w:tc>
        <w:tc>
          <w:tcPr>
            <w:tcW w:w="1280" w:type="dxa"/>
            <w:vAlign w:val="bottom"/>
            <w:shd w:val="clear" w:color="auto" w:fill="F5F5F5"/>
          </w:tcPr>
          <w:p>
            <w:pPr>
              <w:spacing w:after="0"/>
              <w:rPr>
                <w:sz w:val="13"/>
                <w:szCs w:val="13"/>
                <w:color w:val="auto"/>
              </w:rPr>
            </w:pPr>
          </w:p>
        </w:tc>
        <w:tc>
          <w:tcPr>
            <w:tcW w:w="100" w:type="dxa"/>
            <w:vAlign w:val="bottom"/>
            <w:shd w:val="clear" w:color="auto" w:fill="F5F5F5"/>
          </w:tcPr>
          <w:p>
            <w:pPr>
              <w:spacing w:after="0"/>
              <w:rPr>
                <w:sz w:val="13"/>
                <w:szCs w:val="13"/>
                <w:color w:val="auto"/>
              </w:rPr>
            </w:pPr>
          </w:p>
        </w:tc>
        <w:tc>
          <w:tcPr>
            <w:tcW w:w="260" w:type="dxa"/>
            <w:vAlign w:val="bottom"/>
            <w:shd w:val="clear" w:color="auto" w:fill="F5F5F5"/>
          </w:tcPr>
          <w:p>
            <w:pPr>
              <w:spacing w:after="0"/>
              <w:rPr>
                <w:sz w:val="13"/>
                <w:szCs w:val="13"/>
                <w:color w:val="auto"/>
              </w:rPr>
            </w:pPr>
          </w:p>
        </w:tc>
        <w:tc>
          <w:tcPr>
            <w:tcW w:w="1280" w:type="dxa"/>
            <w:vAlign w:val="bottom"/>
            <w:shd w:val="clear" w:color="auto" w:fill="F5F5F5"/>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Borders>
              <w:top w:val="single" w:sz="8" w:color="F5F5F5"/>
            </w:tcBorders>
          </w:tcPr>
          <w:p>
            <w:pPr>
              <w:spacing w:after="0"/>
              <w:rPr>
                <w:sz w:val="17"/>
                <w:szCs w:val="17"/>
                <w:color w:val="auto"/>
              </w:rPr>
            </w:pPr>
          </w:p>
        </w:tc>
        <w:tc>
          <w:tcPr>
            <w:tcW w:w="218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Current liabilities:</w:t>
            </w:r>
          </w:p>
        </w:tc>
        <w:tc>
          <w:tcPr>
            <w:tcW w:w="5720" w:type="dxa"/>
            <w:vAlign w:val="bottom"/>
            <w:tcBorders>
              <w:top w:val="single" w:sz="8" w:color="F5F5F5"/>
            </w:tcBorders>
          </w:tcPr>
          <w:p>
            <w:pPr>
              <w:spacing w:after="0"/>
              <w:rPr>
                <w:sz w:val="17"/>
                <w:szCs w:val="17"/>
                <w:color w:val="auto"/>
              </w:rPr>
            </w:pPr>
          </w:p>
        </w:tc>
        <w:tc>
          <w:tcPr>
            <w:tcW w:w="260" w:type="dxa"/>
            <w:vAlign w:val="bottom"/>
            <w:tcBorders>
              <w:top w:val="single" w:sz="8" w:color="F5F5F5"/>
            </w:tcBorders>
          </w:tcPr>
          <w:p>
            <w:pPr>
              <w:spacing w:after="0"/>
              <w:rPr>
                <w:sz w:val="17"/>
                <w:szCs w:val="17"/>
                <w:color w:val="auto"/>
              </w:rPr>
            </w:pPr>
          </w:p>
        </w:tc>
        <w:tc>
          <w:tcPr>
            <w:tcW w:w="1280" w:type="dxa"/>
            <w:vAlign w:val="bottom"/>
            <w:tcBorders>
              <w:top w:val="single" w:sz="8" w:color="F5F5F5"/>
            </w:tcBorders>
          </w:tcPr>
          <w:p>
            <w:pPr>
              <w:spacing w:after="0"/>
              <w:rPr>
                <w:sz w:val="17"/>
                <w:szCs w:val="17"/>
                <w:color w:val="auto"/>
              </w:rPr>
            </w:pPr>
          </w:p>
        </w:tc>
        <w:tc>
          <w:tcPr>
            <w:tcW w:w="100" w:type="dxa"/>
            <w:vAlign w:val="bottom"/>
            <w:tcBorders>
              <w:top w:val="single" w:sz="8" w:color="F5F5F5"/>
            </w:tcBorders>
          </w:tcPr>
          <w:p>
            <w:pPr>
              <w:spacing w:after="0"/>
              <w:rPr>
                <w:sz w:val="17"/>
                <w:szCs w:val="17"/>
                <w:color w:val="auto"/>
              </w:rPr>
            </w:pPr>
          </w:p>
        </w:tc>
        <w:tc>
          <w:tcPr>
            <w:tcW w:w="260" w:type="dxa"/>
            <w:vAlign w:val="bottom"/>
            <w:tcBorders>
              <w:top w:val="single" w:sz="8" w:color="F5F5F5"/>
            </w:tcBorders>
          </w:tcPr>
          <w:p>
            <w:pPr>
              <w:spacing w:after="0"/>
              <w:rPr>
                <w:sz w:val="17"/>
                <w:szCs w:val="17"/>
                <w:color w:val="auto"/>
              </w:rPr>
            </w:pPr>
          </w:p>
        </w:tc>
        <w:tc>
          <w:tcPr>
            <w:tcW w:w="1280" w:type="dxa"/>
            <w:vAlign w:val="bottom"/>
            <w:tcBorders>
              <w:top w:val="single" w:sz="8" w:color="F5F5F5"/>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F5F5F5"/>
          </w:tcPr>
          <w:p>
            <w:pPr>
              <w:spacing w:after="0"/>
              <w:rPr>
                <w:sz w:val="17"/>
                <w:szCs w:val="17"/>
                <w:color w:val="auto"/>
              </w:rPr>
            </w:pPr>
          </w:p>
        </w:tc>
        <w:tc>
          <w:tcPr>
            <w:tcW w:w="7900" w:type="dxa"/>
            <w:vAlign w:val="bottom"/>
            <w:gridSpan w:val="3"/>
            <w:shd w:val="clear" w:color="auto" w:fill="F5F5F5"/>
          </w:tcPr>
          <w:p>
            <w:pPr>
              <w:ind w:left="200"/>
              <w:spacing w:after="0"/>
              <w:rPr>
                <w:sz w:val="20"/>
                <w:szCs w:val="20"/>
                <w:color w:val="auto"/>
              </w:rPr>
            </w:pPr>
            <w:r>
              <w:rPr>
                <w:rFonts w:ascii="Arial" w:cs="Arial" w:eastAsia="Arial" w:hAnsi="Arial"/>
                <w:sz w:val="14"/>
                <w:szCs w:val="14"/>
                <w:color w:val="auto"/>
              </w:rPr>
              <w:t>Accounts payable</w:t>
            </w:r>
          </w:p>
        </w:tc>
        <w:tc>
          <w:tcPr>
            <w:tcW w:w="260" w:type="dxa"/>
            <w:vAlign w:val="bottom"/>
            <w:shd w:val="clear" w:color="auto" w:fill="F5F5F5"/>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364,532</w:t>
            </w:r>
          </w:p>
        </w:tc>
        <w:tc>
          <w:tcPr>
            <w:tcW w:w="100" w:type="dxa"/>
            <w:vAlign w:val="bottom"/>
            <w:shd w:val="clear" w:color="auto" w:fill="F5F5F5"/>
          </w:tcPr>
          <w:p>
            <w:pPr>
              <w:spacing w:after="0"/>
              <w:rPr>
                <w:sz w:val="17"/>
                <w:szCs w:val="17"/>
                <w:color w:val="auto"/>
              </w:rPr>
            </w:pPr>
          </w:p>
        </w:tc>
        <w:tc>
          <w:tcPr>
            <w:tcW w:w="260" w:type="dxa"/>
            <w:vAlign w:val="bottom"/>
            <w:shd w:val="clear" w:color="auto" w:fill="F5F5F5"/>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296,976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00" w:type="dxa"/>
            <w:vAlign w:val="bottom"/>
            <w:gridSpan w:val="3"/>
          </w:tcPr>
          <w:p>
            <w:pPr>
              <w:ind w:left="200"/>
              <w:spacing w:after="0"/>
              <w:rPr>
                <w:sz w:val="20"/>
                <w:szCs w:val="20"/>
                <w:color w:val="auto"/>
              </w:rPr>
            </w:pPr>
            <w:r>
              <w:rPr>
                <w:rFonts w:ascii="Arial" w:cs="Arial" w:eastAsia="Arial" w:hAnsi="Arial"/>
                <w:sz w:val="14"/>
                <w:szCs w:val="14"/>
                <w:color w:val="auto"/>
              </w:rPr>
              <w:t>Accrued expenses</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504,922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436,655</w:t>
            </w:r>
          </w:p>
        </w:tc>
        <w:tc>
          <w:tcPr>
            <w:tcW w:w="0" w:type="dxa"/>
            <w:vAlign w:val="bottom"/>
          </w:tcPr>
          <w:p>
            <w:pPr>
              <w:spacing w:after="0"/>
              <w:rPr>
                <w:sz w:val="1"/>
                <w:szCs w:val="1"/>
                <w:color w:val="auto"/>
              </w:rPr>
            </w:pPr>
          </w:p>
        </w:tc>
      </w:tr>
      <w:tr>
        <w:trPr>
          <w:trHeight w:val="207"/>
        </w:trPr>
        <w:tc>
          <w:tcPr>
            <w:tcW w:w="20" w:type="dxa"/>
            <w:vAlign w:val="bottom"/>
            <w:shd w:val="clear" w:color="auto" w:fill="F5F5F5"/>
          </w:tcPr>
          <w:p>
            <w:pPr>
              <w:spacing w:after="0"/>
              <w:rPr>
                <w:sz w:val="17"/>
                <w:szCs w:val="17"/>
                <w:color w:val="auto"/>
              </w:rPr>
            </w:pPr>
          </w:p>
        </w:tc>
        <w:tc>
          <w:tcPr>
            <w:tcW w:w="7900" w:type="dxa"/>
            <w:vAlign w:val="bottom"/>
            <w:gridSpan w:val="3"/>
            <w:shd w:val="clear" w:color="auto" w:fill="F5F5F5"/>
          </w:tcPr>
          <w:p>
            <w:pPr>
              <w:ind w:left="200"/>
              <w:spacing w:after="0"/>
              <w:rPr>
                <w:sz w:val="20"/>
                <w:szCs w:val="20"/>
                <w:color w:val="auto"/>
              </w:rPr>
            </w:pPr>
            <w:r>
              <w:rPr>
                <w:rFonts w:ascii="Arial" w:cs="Arial" w:eastAsia="Arial" w:hAnsi="Arial"/>
                <w:sz w:val="14"/>
                <w:szCs w:val="14"/>
                <w:color w:val="auto"/>
              </w:rPr>
              <w:t>Short-term portion of operating lease liabilities</w:t>
            </w:r>
          </w:p>
        </w:tc>
        <w:tc>
          <w:tcPr>
            <w:tcW w:w="260" w:type="dxa"/>
            <w:vAlign w:val="bottom"/>
            <w:shd w:val="clear" w:color="auto" w:fill="F5F5F5"/>
          </w:tcPr>
          <w:p>
            <w:pPr>
              <w:spacing w:after="0"/>
              <w:rPr>
                <w:sz w:val="17"/>
                <w:szCs w:val="17"/>
                <w:color w:val="auto"/>
              </w:rPr>
            </w:pPr>
          </w:p>
        </w:tc>
        <w:tc>
          <w:tcPr>
            <w:tcW w:w="12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211,600</w:t>
            </w:r>
          </w:p>
        </w:tc>
        <w:tc>
          <w:tcPr>
            <w:tcW w:w="100" w:type="dxa"/>
            <w:vAlign w:val="bottom"/>
            <w:shd w:val="clear" w:color="auto" w:fill="F5F5F5"/>
          </w:tcPr>
          <w:p>
            <w:pPr>
              <w:spacing w:after="0"/>
              <w:rPr>
                <w:sz w:val="17"/>
                <w:szCs w:val="17"/>
                <w:color w:val="auto"/>
              </w:rPr>
            </w:pPr>
          </w:p>
        </w:tc>
        <w:tc>
          <w:tcPr>
            <w:tcW w:w="260" w:type="dxa"/>
            <w:vAlign w:val="bottom"/>
            <w:shd w:val="clear" w:color="auto" w:fill="F5F5F5"/>
          </w:tcPr>
          <w:p>
            <w:pPr>
              <w:spacing w:after="0"/>
              <w:rPr>
                <w:sz w:val="17"/>
                <w:szCs w:val="17"/>
                <w:color w:val="auto"/>
              </w:rPr>
            </w:pPr>
          </w:p>
        </w:tc>
        <w:tc>
          <w:tcPr>
            <w:tcW w:w="12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179,625</w:t>
            </w:r>
          </w:p>
        </w:tc>
        <w:tc>
          <w:tcPr>
            <w:tcW w:w="0" w:type="dxa"/>
            <w:vAlign w:val="bottom"/>
          </w:tcPr>
          <w:p>
            <w:pPr>
              <w:spacing w:after="0"/>
              <w:rPr>
                <w:sz w:val="1"/>
                <w:szCs w:val="1"/>
                <w:color w:val="auto"/>
              </w:rPr>
            </w:pPr>
          </w:p>
        </w:tc>
      </w:tr>
      <w:tr>
        <w:trPr>
          <w:trHeight w:val="198"/>
        </w:trPr>
        <w:tc>
          <w:tcPr>
            <w:tcW w:w="20" w:type="dxa"/>
            <w:vAlign w:val="bottom"/>
            <w:tcBorders>
              <w:bottom w:val="single" w:sz="8" w:color="F5F5F5"/>
            </w:tcBorders>
          </w:tcPr>
          <w:p>
            <w:pPr>
              <w:spacing w:after="0"/>
              <w:rPr>
                <w:sz w:val="17"/>
                <w:szCs w:val="17"/>
                <w:color w:val="auto"/>
              </w:rPr>
            </w:pPr>
          </w:p>
        </w:tc>
        <w:tc>
          <w:tcPr>
            <w:tcW w:w="7900" w:type="dxa"/>
            <w:vAlign w:val="bottom"/>
            <w:tcBorders>
              <w:bottom w:val="single" w:sz="8" w:color="F5F5F5"/>
            </w:tcBorders>
            <w:gridSpan w:val="3"/>
          </w:tcPr>
          <w:p>
            <w:pPr>
              <w:ind w:left="200"/>
              <w:spacing w:after="0"/>
              <w:rPr>
                <w:sz w:val="20"/>
                <w:szCs w:val="20"/>
                <w:color w:val="auto"/>
              </w:rPr>
            </w:pPr>
            <w:r>
              <w:rPr>
                <w:rFonts w:ascii="Arial" w:cs="Arial" w:eastAsia="Arial" w:hAnsi="Arial"/>
                <w:sz w:val="14"/>
                <w:szCs w:val="14"/>
                <w:color w:val="auto"/>
              </w:rPr>
              <w:t>Income taxes payable</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45,890</w:t>
            </w:r>
          </w:p>
        </w:tc>
        <w:tc>
          <w:tcPr>
            <w:tcW w:w="100" w:type="dxa"/>
            <w:vAlign w:val="bottom"/>
            <w:tcBorders>
              <w:bottom w:val="single" w:sz="8" w:color="F5F5F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53,564</w:t>
            </w:r>
          </w:p>
        </w:tc>
        <w:tc>
          <w:tcPr>
            <w:tcW w:w="0" w:type="dxa"/>
            <w:vAlign w:val="bottom"/>
          </w:tcPr>
          <w:p>
            <w:pPr>
              <w:spacing w:after="0"/>
              <w:rPr>
                <w:sz w:val="1"/>
                <w:szCs w:val="1"/>
                <w:color w:val="auto"/>
              </w:rPr>
            </w:pPr>
          </w:p>
        </w:tc>
      </w:tr>
      <w:tr>
        <w:trPr>
          <w:trHeight w:val="200"/>
        </w:trPr>
        <w:tc>
          <w:tcPr>
            <w:tcW w:w="20" w:type="dxa"/>
            <w:vAlign w:val="bottom"/>
            <w:shd w:val="clear" w:color="auto" w:fill="F5F5F5"/>
          </w:tcPr>
          <w:p>
            <w:pPr>
              <w:spacing w:after="0"/>
              <w:rPr>
                <w:sz w:val="17"/>
                <w:szCs w:val="17"/>
                <w:color w:val="auto"/>
              </w:rPr>
            </w:pPr>
          </w:p>
        </w:tc>
        <w:tc>
          <w:tcPr>
            <w:tcW w:w="7900" w:type="dxa"/>
            <w:vAlign w:val="bottom"/>
            <w:gridSpan w:val="3"/>
            <w:shd w:val="clear" w:color="auto" w:fill="F5F5F5"/>
          </w:tcPr>
          <w:p>
            <w:pPr>
              <w:spacing w:after="0"/>
              <w:rPr>
                <w:sz w:val="20"/>
                <w:szCs w:val="20"/>
                <w:color w:val="auto"/>
              </w:rPr>
            </w:pPr>
            <w:r>
              <w:rPr>
                <w:rFonts w:ascii="Arial" w:cs="Arial" w:eastAsia="Arial" w:hAnsi="Arial"/>
                <w:sz w:val="14"/>
                <w:szCs w:val="14"/>
                <w:color w:val="auto"/>
              </w:rPr>
              <w:t>Total current liabilities</w:t>
            </w:r>
          </w:p>
        </w:tc>
        <w:tc>
          <w:tcPr>
            <w:tcW w:w="260" w:type="dxa"/>
            <w:vAlign w:val="bottom"/>
            <w:shd w:val="clear" w:color="auto" w:fill="F5F5F5"/>
          </w:tcPr>
          <w:p>
            <w:pPr>
              <w:spacing w:after="0"/>
              <w:rPr>
                <w:sz w:val="17"/>
                <w:szCs w:val="17"/>
                <w:color w:val="auto"/>
              </w:rPr>
            </w:pPr>
          </w:p>
        </w:tc>
        <w:tc>
          <w:tcPr>
            <w:tcW w:w="12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1,126,944</w:t>
            </w:r>
          </w:p>
        </w:tc>
        <w:tc>
          <w:tcPr>
            <w:tcW w:w="100" w:type="dxa"/>
            <w:vAlign w:val="bottom"/>
            <w:shd w:val="clear" w:color="auto" w:fill="F5F5F5"/>
          </w:tcPr>
          <w:p>
            <w:pPr>
              <w:spacing w:after="0"/>
              <w:rPr>
                <w:sz w:val="17"/>
                <w:szCs w:val="17"/>
                <w:color w:val="auto"/>
              </w:rPr>
            </w:pPr>
          </w:p>
        </w:tc>
        <w:tc>
          <w:tcPr>
            <w:tcW w:w="260" w:type="dxa"/>
            <w:vAlign w:val="bottom"/>
            <w:shd w:val="clear" w:color="auto" w:fill="F5F5F5"/>
          </w:tcPr>
          <w:p>
            <w:pPr>
              <w:spacing w:after="0"/>
              <w:rPr>
                <w:sz w:val="17"/>
                <w:szCs w:val="17"/>
                <w:color w:val="auto"/>
              </w:rPr>
            </w:pPr>
          </w:p>
        </w:tc>
        <w:tc>
          <w:tcPr>
            <w:tcW w:w="12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966,820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00" w:type="dxa"/>
            <w:vAlign w:val="bottom"/>
            <w:gridSpan w:val="3"/>
          </w:tcPr>
          <w:p>
            <w:pPr>
              <w:spacing w:after="0"/>
              <w:rPr>
                <w:sz w:val="20"/>
                <w:szCs w:val="20"/>
                <w:color w:val="auto"/>
              </w:rPr>
            </w:pPr>
            <w:r>
              <w:rPr>
                <w:rFonts w:ascii="Arial" w:cs="Arial" w:eastAsia="Arial" w:hAnsi="Arial"/>
                <w:sz w:val="14"/>
                <w:szCs w:val="14"/>
                <w:color w:val="auto"/>
              </w:rPr>
              <w:t>Long-term liabilities:</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F5F5F5"/>
          </w:tcPr>
          <w:p>
            <w:pPr>
              <w:spacing w:after="0"/>
              <w:rPr>
                <w:sz w:val="17"/>
                <w:szCs w:val="17"/>
                <w:color w:val="auto"/>
              </w:rPr>
            </w:pPr>
          </w:p>
        </w:tc>
        <w:tc>
          <w:tcPr>
            <w:tcW w:w="7900" w:type="dxa"/>
            <w:vAlign w:val="bottom"/>
            <w:gridSpan w:val="3"/>
            <w:shd w:val="clear" w:color="auto" w:fill="F5F5F5"/>
          </w:tcPr>
          <w:p>
            <w:pPr>
              <w:ind w:left="200"/>
              <w:spacing w:after="0"/>
              <w:rPr>
                <w:sz w:val="20"/>
                <w:szCs w:val="20"/>
                <w:color w:val="auto"/>
              </w:rPr>
            </w:pPr>
            <w:r>
              <w:rPr>
                <w:rFonts w:ascii="Arial" w:cs="Arial" w:eastAsia="Arial" w:hAnsi="Arial"/>
                <w:sz w:val="14"/>
                <w:szCs w:val="14"/>
                <w:color w:val="auto"/>
              </w:rPr>
              <w:t>Long-term portion of operating lease liabilities</w:t>
            </w:r>
          </w:p>
        </w:tc>
        <w:tc>
          <w:tcPr>
            <w:tcW w:w="260" w:type="dxa"/>
            <w:vAlign w:val="bottom"/>
            <w:shd w:val="clear" w:color="auto" w:fill="F5F5F5"/>
          </w:tcPr>
          <w:p>
            <w:pPr>
              <w:spacing w:after="0"/>
              <w:rPr>
                <w:sz w:val="17"/>
                <w:szCs w:val="17"/>
                <w:color w:val="auto"/>
              </w:rPr>
            </w:pPr>
          </w:p>
        </w:tc>
        <w:tc>
          <w:tcPr>
            <w:tcW w:w="12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740,013</w:t>
            </w:r>
          </w:p>
        </w:tc>
        <w:tc>
          <w:tcPr>
            <w:tcW w:w="100" w:type="dxa"/>
            <w:vAlign w:val="bottom"/>
            <w:shd w:val="clear" w:color="auto" w:fill="F5F5F5"/>
          </w:tcPr>
          <w:p>
            <w:pPr>
              <w:spacing w:after="0"/>
              <w:rPr>
                <w:sz w:val="17"/>
                <w:szCs w:val="17"/>
                <w:color w:val="auto"/>
              </w:rPr>
            </w:pPr>
          </w:p>
        </w:tc>
        <w:tc>
          <w:tcPr>
            <w:tcW w:w="260" w:type="dxa"/>
            <w:vAlign w:val="bottom"/>
            <w:shd w:val="clear" w:color="auto" w:fill="F5F5F5"/>
          </w:tcPr>
          <w:p>
            <w:pPr>
              <w:spacing w:after="0"/>
              <w:rPr>
                <w:sz w:val="17"/>
                <w:szCs w:val="17"/>
                <w:color w:val="auto"/>
              </w:rPr>
            </w:pPr>
          </w:p>
        </w:tc>
        <w:tc>
          <w:tcPr>
            <w:tcW w:w="12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646,624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900" w:type="dxa"/>
            <w:vAlign w:val="bottom"/>
            <w:gridSpan w:val="3"/>
          </w:tcPr>
          <w:p>
            <w:pPr>
              <w:ind w:left="200"/>
              <w:spacing w:after="0"/>
              <w:rPr>
                <w:sz w:val="20"/>
                <w:szCs w:val="20"/>
                <w:color w:val="auto"/>
              </w:rPr>
            </w:pPr>
            <w:r>
              <w:rPr>
                <w:rFonts w:ascii="Arial" w:cs="Arial" w:eastAsia="Arial" w:hAnsi="Arial"/>
                <w:sz w:val="14"/>
                <w:szCs w:val="14"/>
                <w:color w:val="auto"/>
              </w:rPr>
              <w:t>Long-term portion of borrowings, net</w:t>
            </w:r>
          </w:p>
        </w:tc>
        <w:tc>
          <w:tcPr>
            <w:tcW w:w="26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222,119</w:t>
            </w:r>
          </w:p>
        </w:tc>
        <w:tc>
          <w:tcPr>
            <w:tcW w:w="0" w:type="dxa"/>
            <w:vAlign w:val="bottom"/>
          </w:tcPr>
          <w:p>
            <w:pPr>
              <w:spacing w:after="0"/>
              <w:rPr>
                <w:sz w:val="1"/>
                <w:szCs w:val="1"/>
                <w:color w:val="auto"/>
              </w:rPr>
            </w:pPr>
          </w:p>
        </w:tc>
      </w:tr>
      <w:tr>
        <w:trPr>
          <w:trHeight w:val="206"/>
        </w:trPr>
        <w:tc>
          <w:tcPr>
            <w:tcW w:w="20" w:type="dxa"/>
            <w:vAlign w:val="bottom"/>
            <w:shd w:val="clear" w:color="auto" w:fill="F5F5F5"/>
          </w:tcPr>
          <w:p>
            <w:pPr>
              <w:spacing w:after="0"/>
              <w:rPr>
                <w:sz w:val="17"/>
                <w:szCs w:val="17"/>
                <w:color w:val="auto"/>
              </w:rPr>
            </w:pPr>
          </w:p>
        </w:tc>
        <w:tc>
          <w:tcPr>
            <w:tcW w:w="7900" w:type="dxa"/>
            <w:vAlign w:val="bottom"/>
            <w:gridSpan w:val="3"/>
            <w:shd w:val="clear" w:color="auto" w:fill="F5F5F5"/>
          </w:tcPr>
          <w:p>
            <w:pPr>
              <w:ind w:left="200"/>
              <w:spacing w:after="0"/>
              <w:rPr>
                <w:sz w:val="20"/>
                <w:szCs w:val="20"/>
                <w:color w:val="auto"/>
              </w:rPr>
            </w:pPr>
            <w:r>
              <w:rPr>
                <w:rFonts w:ascii="Arial" w:cs="Arial" w:eastAsia="Arial" w:hAnsi="Arial"/>
                <w:sz w:val="14"/>
                <w:szCs w:val="14"/>
                <w:color w:val="auto"/>
              </w:rPr>
              <w:t>Other liabilities</w:t>
            </w:r>
          </w:p>
        </w:tc>
        <w:tc>
          <w:tcPr>
            <w:tcW w:w="260" w:type="dxa"/>
            <w:vAlign w:val="bottom"/>
            <w:tcBorders>
              <w:bottom w:val="single" w:sz="8" w:color="auto"/>
            </w:tcBorders>
            <w:shd w:val="clear" w:color="auto" w:fill="F5F5F5"/>
          </w:tcPr>
          <w:p>
            <w:pPr>
              <w:spacing w:after="0"/>
              <w:rPr>
                <w:sz w:val="17"/>
                <w:szCs w:val="17"/>
                <w:color w:val="auto"/>
              </w:rPr>
            </w:pPr>
          </w:p>
        </w:tc>
        <w:tc>
          <w:tcPr>
            <w:tcW w:w="128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81,607</w:t>
            </w:r>
          </w:p>
        </w:tc>
        <w:tc>
          <w:tcPr>
            <w:tcW w:w="100" w:type="dxa"/>
            <w:vAlign w:val="bottom"/>
            <w:shd w:val="clear" w:color="auto" w:fill="F5F5F5"/>
          </w:tcPr>
          <w:p>
            <w:pPr>
              <w:spacing w:after="0"/>
              <w:rPr>
                <w:sz w:val="17"/>
                <w:szCs w:val="17"/>
                <w:color w:val="auto"/>
              </w:rPr>
            </w:pPr>
          </w:p>
        </w:tc>
        <w:tc>
          <w:tcPr>
            <w:tcW w:w="260" w:type="dxa"/>
            <w:vAlign w:val="bottom"/>
            <w:tcBorders>
              <w:bottom w:val="single" w:sz="8" w:color="auto"/>
            </w:tcBorders>
            <w:shd w:val="clear" w:color="auto" w:fill="F5F5F5"/>
          </w:tcPr>
          <w:p>
            <w:pPr>
              <w:spacing w:after="0"/>
              <w:rPr>
                <w:sz w:val="17"/>
                <w:szCs w:val="17"/>
                <w:color w:val="auto"/>
              </w:rPr>
            </w:pPr>
          </w:p>
        </w:tc>
        <w:tc>
          <w:tcPr>
            <w:tcW w:w="128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88,683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900" w:type="dxa"/>
            <w:vAlign w:val="bottom"/>
            <w:gridSpan w:val="3"/>
          </w:tcPr>
          <w:p>
            <w:pPr>
              <w:spacing w:after="0"/>
              <w:rPr>
                <w:sz w:val="20"/>
                <w:szCs w:val="20"/>
                <w:color w:val="auto"/>
              </w:rPr>
            </w:pPr>
            <w:r>
              <w:rPr>
                <w:rFonts w:ascii="Arial" w:cs="Arial" w:eastAsia="Arial" w:hAnsi="Arial"/>
                <w:sz w:val="14"/>
                <w:szCs w:val="14"/>
                <w:color w:val="auto"/>
              </w:rPr>
              <w:t>Total long-term liabilities</w:t>
            </w: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821,620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957,426</w:t>
            </w:r>
          </w:p>
        </w:tc>
        <w:tc>
          <w:tcPr>
            <w:tcW w:w="0" w:type="dxa"/>
            <w:vAlign w:val="bottom"/>
          </w:tcPr>
          <w:p>
            <w:pPr>
              <w:spacing w:after="0"/>
              <w:rPr>
                <w:sz w:val="1"/>
                <w:szCs w:val="1"/>
                <w:color w:val="auto"/>
              </w:rPr>
            </w:pPr>
          </w:p>
        </w:tc>
      </w:tr>
      <w:tr>
        <w:trPr>
          <w:trHeight w:val="207"/>
        </w:trPr>
        <w:tc>
          <w:tcPr>
            <w:tcW w:w="20" w:type="dxa"/>
            <w:vAlign w:val="bottom"/>
            <w:shd w:val="clear" w:color="auto" w:fill="F5F5F5"/>
          </w:tcPr>
          <w:p>
            <w:pPr>
              <w:spacing w:after="0"/>
              <w:rPr>
                <w:sz w:val="17"/>
                <w:szCs w:val="17"/>
                <w:color w:val="auto"/>
              </w:rPr>
            </w:pPr>
          </w:p>
        </w:tc>
        <w:tc>
          <w:tcPr>
            <w:tcW w:w="7900" w:type="dxa"/>
            <w:vAlign w:val="bottom"/>
            <w:gridSpan w:val="3"/>
            <w:shd w:val="clear" w:color="auto" w:fill="F5F5F5"/>
          </w:tcPr>
          <w:p>
            <w:pPr>
              <w:spacing w:after="0"/>
              <w:rPr>
                <w:sz w:val="20"/>
                <w:szCs w:val="20"/>
                <w:color w:val="auto"/>
              </w:rPr>
            </w:pPr>
            <w:r>
              <w:rPr>
                <w:rFonts w:ascii="Arial" w:cs="Arial" w:eastAsia="Arial" w:hAnsi="Arial"/>
                <w:sz w:val="14"/>
                <w:szCs w:val="14"/>
                <w:color w:val="auto"/>
              </w:rPr>
              <w:t>Stockholders’ equity</w:t>
            </w:r>
          </w:p>
        </w:tc>
        <w:tc>
          <w:tcPr>
            <w:tcW w:w="260" w:type="dxa"/>
            <w:vAlign w:val="bottom"/>
            <w:shd w:val="clear" w:color="auto" w:fill="F5F5F5"/>
          </w:tcPr>
          <w:p>
            <w:pPr>
              <w:spacing w:after="0"/>
              <w:rPr>
                <w:sz w:val="17"/>
                <w:szCs w:val="17"/>
                <w:color w:val="auto"/>
              </w:rPr>
            </w:pPr>
          </w:p>
        </w:tc>
        <w:tc>
          <w:tcPr>
            <w:tcW w:w="1280" w:type="dxa"/>
            <w:vAlign w:val="bottom"/>
            <w:shd w:val="clear" w:color="auto" w:fill="F5F5F5"/>
          </w:tcPr>
          <w:p>
            <w:pPr>
              <w:spacing w:after="0"/>
              <w:rPr>
                <w:sz w:val="17"/>
                <w:szCs w:val="17"/>
                <w:color w:val="auto"/>
              </w:rPr>
            </w:pPr>
          </w:p>
        </w:tc>
        <w:tc>
          <w:tcPr>
            <w:tcW w:w="100" w:type="dxa"/>
            <w:vAlign w:val="bottom"/>
            <w:shd w:val="clear" w:color="auto" w:fill="F5F5F5"/>
          </w:tcPr>
          <w:p>
            <w:pPr>
              <w:spacing w:after="0"/>
              <w:rPr>
                <w:sz w:val="17"/>
                <w:szCs w:val="17"/>
                <w:color w:val="auto"/>
              </w:rPr>
            </w:pPr>
          </w:p>
        </w:tc>
        <w:tc>
          <w:tcPr>
            <w:tcW w:w="260" w:type="dxa"/>
            <w:vAlign w:val="bottom"/>
            <w:shd w:val="clear" w:color="auto" w:fill="F5F5F5"/>
          </w:tcPr>
          <w:p>
            <w:pPr>
              <w:spacing w:after="0"/>
              <w:rPr>
                <w:sz w:val="17"/>
                <w:szCs w:val="17"/>
                <w:color w:val="auto"/>
              </w:rPr>
            </w:pPr>
          </w:p>
        </w:tc>
        <w:tc>
          <w:tcPr>
            <w:tcW w:w="1280" w:type="dxa"/>
            <w:vAlign w:val="bottom"/>
            <w:shd w:val="clear" w:color="auto" w:fill="F5F5F5"/>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90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Class A Common Stock - $0.01 par value: 150,000 shares authorized and 103,300 shares issued for all periods</w:t>
            </w:r>
          </w:p>
        </w:tc>
        <w:tc>
          <w:tcPr>
            <w:tcW w:w="260" w:type="dxa"/>
            <w:vAlign w:val="bottom"/>
          </w:tcPr>
          <w:p>
            <w:pPr>
              <w:spacing w:after="0"/>
              <w:rPr>
                <w:sz w:val="12"/>
                <w:szCs w:val="12"/>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1,033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1,033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gridSpan w:val="3"/>
          </w:tcPr>
          <w:p>
            <w:pPr>
              <w:ind w:left="380"/>
              <w:spacing w:after="0"/>
              <w:rPr>
                <w:sz w:val="20"/>
                <w:szCs w:val="20"/>
                <w:color w:val="auto"/>
              </w:rPr>
            </w:pPr>
            <w:r>
              <w:rPr>
                <w:rFonts w:ascii="Arial" w:cs="Arial" w:eastAsia="Arial" w:hAnsi="Arial"/>
                <w:sz w:val="14"/>
                <w:szCs w:val="14"/>
                <w:color w:val="auto"/>
              </w:rPr>
              <w:t>presented</w:t>
            </w:r>
          </w:p>
        </w:tc>
        <w:tc>
          <w:tcPr>
            <w:tcW w:w="2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F5F5F5"/>
          </w:tcPr>
          <w:p>
            <w:pPr>
              <w:spacing w:after="0"/>
              <w:rPr>
                <w:sz w:val="17"/>
                <w:szCs w:val="17"/>
                <w:color w:val="auto"/>
              </w:rPr>
            </w:pPr>
          </w:p>
        </w:tc>
        <w:tc>
          <w:tcPr>
            <w:tcW w:w="7900" w:type="dxa"/>
            <w:vAlign w:val="bottom"/>
            <w:gridSpan w:val="3"/>
            <w:shd w:val="clear" w:color="auto" w:fill="F5F5F5"/>
          </w:tcPr>
          <w:p>
            <w:pPr>
              <w:ind w:left="200"/>
              <w:spacing w:after="0"/>
              <w:rPr>
                <w:sz w:val="20"/>
                <w:szCs w:val="20"/>
                <w:color w:val="auto"/>
              </w:rPr>
            </w:pPr>
            <w:r>
              <w:rPr>
                <w:rFonts w:ascii="Arial" w:cs="Arial" w:eastAsia="Arial" w:hAnsi="Arial"/>
                <w:sz w:val="14"/>
                <w:szCs w:val="14"/>
                <w:color w:val="auto"/>
              </w:rPr>
              <w:t>Paid-in capital</w:t>
            </w:r>
          </w:p>
        </w:tc>
        <w:tc>
          <w:tcPr>
            <w:tcW w:w="260" w:type="dxa"/>
            <w:vAlign w:val="bottom"/>
            <w:shd w:val="clear" w:color="auto" w:fill="F5F5F5"/>
          </w:tcPr>
          <w:p>
            <w:pPr>
              <w:spacing w:after="0"/>
              <w:rPr>
                <w:sz w:val="17"/>
                <w:szCs w:val="17"/>
                <w:color w:val="auto"/>
              </w:rPr>
            </w:pPr>
          </w:p>
        </w:tc>
        <w:tc>
          <w:tcPr>
            <w:tcW w:w="12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422,912</w:t>
            </w:r>
          </w:p>
        </w:tc>
        <w:tc>
          <w:tcPr>
            <w:tcW w:w="100" w:type="dxa"/>
            <w:vAlign w:val="bottom"/>
            <w:shd w:val="clear" w:color="auto" w:fill="F5F5F5"/>
          </w:tcPr>
          <w:p>
            <w:pPr>
              <w:spacing w:after="0"/>
              <w:rPr>
                <w:sz w:val="17"/>
                <w:szCs w:val="17"/>
                <w:color w:val="auto"/>
              </w:rPr>
            </w:pPr>
          </w:p>
        </w:tc>
        <w:tc>
          <w:tcPr>
            <w:tcW w:w="260" w:type="dxa"/>
            <w:vAlign w:val="bottom"/>
            <w:shd w:val="clear" w:color="auto" w:fill="F5F5F5"/>
          </w:tcPr>
          <w:p>
            <w:pPr>
              <w:spacing w:after="0"/>
              <w:rPr>
                <w:sz w:val="17"/>
                <w:szCs w:val="17"/>
                <w:color w:val="auto"/>
              </w:rPr>
            </w:pPr>
          </w:p>
        </w:tc>
        <w:tc>
          <w:tcPr>
            <w:tcW w:w="12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421,609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00" w:type="dxa"/>
            <w:vAlign w:val="bottom"/>
            <w:gridSpan w:val="3"/>
          </w:tcPr>
          <w:p>
            <w:pPr>
              <w:ind w:left="200"/>
              <w:spacing w:after="0"/>
              <w:rPr>
                <w:sz w:val="20"/>
                <w:szCs w:val="20"/>
                <w:color w:val="auto"/>
              </w:rPr>
            </w:pPr>
            <w:r>
              <w:rPr>
                <w:rFonts w:ascii="Arial" w:cs="Arial" w:eastAsia="Arial" w:hAnsi="Arial"/>
                <w:sz w:val="14"/>
                <w:szCs w:val="14"/>
                <w:color w:val="auto"/>
              </w:rPr>
              <w:t>Retained earnings</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3,196,724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2,643,629</w:t>
            </w:r>
          </w:p>
        </w:tc>
        <w:tc>
          <w:tcPr>
            <w:tcW w:w="0" w:type="dxa"/>
            <w:vAlign w:val="bottom"/>
          </w:tcPr>
          <w:p>
            <w:pPr>
              <w:spacing w:after="0"/>
              <w:rPr>
                <w:sz w:val="1"/>
                <w:szCs w:val="1"/>
                <w:color w:val="auto"/>
              </w:rPr>
            </w:pPr>
          </w:p>
        </w:tc>
      </w:tr>
      <w:tr>
        <w:trPr>
          <w:trHeight w:val="207"/>
        </w:trPr>
        <w:tc>
          <w:tcPr>
            <w:tcW w:w="20" w:type="dxa"/>
            <w:vAlign w:val="bottom"/>
            <w:shd w:val="clear" w:color="auto" w:fill="F5F5F5"/>
          </w:tcPr>
          <w:p>
            <w:pPr>
              <w:spacing w:after="0"/>
              <w:rPr>
                <w:sz w:val="17"/>
                <w:szCs w:val="17"/>
                <w:color w:val="auto"/>
              </w:rPr>
            </w:pPr>
          </w:p>
        </w:tc>
        <w:tc>
          <w:tcPr>
            <w:tcW w:w="7900" w:type="dxa"/>
            <w:vAlign w:val="bottom"/>
            <w:gridSpan w:val="3"/>
            <w:shd w:val="clear" w:color="auto" w:fill="F5F5F5"/>
          </w:tcPr>
          <w:p>
            <w:pPr>
              <w:ind w:left="200"/>
              <w:spacing w:after="0"/>
              <w:rPr>
                <w:sz w:val="20"/>
                <w:szCs w:val="20"/>
                <w:color w:val="auto"/>
              </w:rPr>
            </w:pPr>
            <w:r>
              <w:rPr>
                <w:rFonts w:ascii="Arial" w:cs="Arial" w:eastAsia="Arial" w:hAnsi="Arial"/>
                <w:sz w:val="14"/>
                <w:szCs w:val="14"/>
                <w:color w:val="auto"/>
              </w:rPr>
              <w:t>Accumulated other comprehensive loss, net of tax (“AOCL”)</w:t>
            </w:r>
          </w:p>
        </w:tc>
        <w:tc>
          <w:tcPr>
            <w:tcW w:w="260" w:type="dxa"/>
            <w:vAlign w:val="bottom"/>
            <w:shd w:val="clear" w:color="auto" w:fill="F5F5F5"/>
          </w:tcPr>
          <w:p>
            <w:pPr>
              <w:spacing w:after="0"/>
              <w:rPr>
                <w:sz w:val="17"/>
                <w:szCs w:val="17"/>
                <w:color w:val="auto"/>
              </w:rPr>
            </w:pPr>
          </w:p>
        </w:tc>
        <w:tc>
          <w:tcPr>
            <w:tcW w:w="12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(139,151)</w:t>
            </w:r>
          </w:p>
        </w:tc>
        <w:tc>
          <w:tcPr>
            <w:tcW w:w="100" w:type="dxa"/>
            <w:vAlign w:val="bottom"/>
            <w:shd w:val="clear" w:color="auto" w:fill="F5F5F5"/>
          </w:tcPr>
          <w:p>
            <w:pPr>
              <w:spacing w:after="0"/>
              <w:rPr>
                <w:sz w:val="17"/>
                <w:szCs w:val="17"/>
                <w:color w:val="auto"/>
              </w:rPr>
            </w:pPr>
          </w:p>
        </w:tc>
        <w:tc>
          <w:tcPr>
            <w:tcW w:w="260" w:type="dxa"/>
            <w:vAlign w:val="bottom"/>
            <w:shd w:val="clear" w:color="auto" w:fill="F5F5F5"/>
          </w:tcPr>
          <w:p>
            <w:pPr>
              <w:spacing w:after="0"/>
              <w:rPr>
                <w:sz w:val="17"/>
                <w:szCs w:val="17"/>
                <w:color w:val="auto"/>
              </w:rPr>
            </w:pPr>
          </w:p>
        </w:tc>
        <w:tc>
          <w:tcPr>
            <w:tcW w:w="12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(135,968)</w:t>
            </w:r>
          </w:p>
        </w:tc>
        <w:tc>
          <w:tcPr>
            <w:tcW w:w="0" w:type="dxa"/>
            <w:vAlign w:val="bottom"/>
          </w:tcPr>
          <w:p>
            <w:pPr>
              <w:spacing w:after="0"/>
              <w:rPr>
                <w:sz w:val="1"/>
                <w:szCs w:val="1"/>
                <w:color w:val="auto"/>
              </w:rPr>
            </w:pPr>
          </w:p>
        </w:tc>
      </w:tr>
      <w:tr>
        <w:trPr>
          <w:trHeight w:val="198"/>
        </w:trPr>
        <w:tc>
          <w:tcPr>
            <w:tcW w:w="20" w:type="dxa"/>
            <w:vAlign w:val="bottom"/>
            <w:tcBorders>
              <w:bottom w:val="single" w:sz="8" w:color="F5F5F5"/>
            </w:tcBorders>
          </w:tcPr>
          <w:p>
            <w:pPr>
              <w:spacing w:after="0"/>
              <w:rPr>
                <w:sz w:val="17"/>
                <w:szCs w:val="17"/>
                <w:color w:val="auto"/>
              </w:rPr>
            </w:pPr>
          </w:p>
        </w:tc>
        <w:tc>
          <w:tcPr>
            <w:tcW w:w="7900" w:type="dxa"/>
            <w:vAlign w:val="bottom"/>
            <w:tcBorders>
              <w:bottom w:val="single" w:sz="8" w:color="F5F5F5"/>
            </w:tcBorders>
            <w:gridSpan w:val="3"/>
          </w:tcPr>
          <w:p>
            <w:pPr>
              <w:ind w:left="200"/>
              <w:spacing w:after="0"/>
              <w:rPr>
                <w:sz w:val="20"/>
                <w:szCs w:val="20"/>
                <w:color w:val="auto"/>
              </w:rPr>
            </w:pPr>
            <w:r>
              <w:rPr>
                <w:rFonts w:ascii="Arial" w:cs="Arial" w:eastAsia="Arial" w:hAnsi="Arial"/>
                <w:sz w:val="14"/>
                <w:szCs w:val="14"/>
                <w:color w:val="auto"/>
              </w:rPr>
              <w:t>Treasury stock, at average cost: 53,565 and 52,800 shares at February 1, 2025 and February 3, 2024, respectively</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(2,145,890)</w:t>
            </w:r>
          </w:p>
        </w:tc>
        <w:tc>
          <w:tcPr>
            <w:tcW w:w="100" w:type="dxa"/>
            <w:vAlign w:val="bottom"/>
            <w:tcBorders>
              <w:bottom w:val="single" w:sz="8" w:color="F5F5F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(1,895,143)</w:t>
            </w:r>
          </w:p>
        </w:tc>
        <w:tc>
          <w:tcPr>
            <w:tcW w:w="0" w:type="dxa"/>
            <w:vAlign w:val="bottom"/>
          </w:tcPr>
          <w:p>
            <w:pPr>
              <w:spacing w:after="0"/>
              <w:rPr>
                <w:sz w:val="1"/>
                <w:szCs w:val="1"/>
                <w:color w:val="auto"/>
              </w:rPr>
            </w:pPr>
          </w:p>
        </w:tc>
      </w:tr>
      <w:tr>
        <w:trPr>
          <w:trHeight w:val="200"/>
        </w:trPr>
        <w:tc>
          <w:tcPr>
            <w:tcW w:w="20" w:type="dxa"/>
            <w:vAlign w:val="bottom"/>
            <w:shd w:val="clear" w:color="auto" w:fill="F5F5F5"/>
          </w:tcPr>
          <w:p>
            <w:pPr>
              <w:spacing w:after="0"/>
              <w:rPr>
                <w:sz w:val="17"/>
                <w:szCs w:val="17"/>
                <w:color w:val="auto"/>
              </w:rPr>
            </w:pPr>
          </w:p>
        </w:tc>
        <w:tc>
          <w:tcPr>
            <w:tcW w:w="7900" w:type="dxa"/>
            <w:vAlign w:val="bottom"/>
            <w:gridSpan w:val="3"/>
            <w:shd w:val="clear" w:color="auto" w:fill="F5F5F5"/>
          </w:tcPr>
          <w:p>
            <w:pPr>
              <w:spacing w:after="0"/>
              <w:rPr>
                <w:sz w:val="20"/>
                <w:szCs w:val="20"/>
                <w:color w:val="auto"/>
              </w:rPr>
            </w:pPr>
            <w:r>
              <w:rPr>
                <w:rFonts w:ascii="Arial" w:cs="Arial" w:eastAsia="Arial" w:hAnsi="Arial"/>
                <w:sz w:val="14"/>
                <w:szCs w:val="14"/>
                <w:color w:val="auto"/>
              </w:rPr>
              <w:t>Total Abercrombie &amp; Fitch Co. stockholders’ equity</w:t>
            </w:r>
          </w:p>
        </w:tc>
        <w:tc>
          <w:tcPr>
            <w:tcW w:w="260" w:type="dxa"/>
            <w:vAlign w:val="bottom"/>
            <w:shd w:val="clear" w:color="auto" w:fill="F5F5F5"/>
          </w:tcPr>
          <w:p>
            <w:pPr>
              <w:spacing w:after="0"/>
              <w:rPr>
                <w:sz w:val="17"/>
                <w:szCs w:val="17"/>
                <w:color w:val="auto"/>
              </w:rPr>
            </w:pPr>
          </w:p>
        </w:tc>
        <w:tc>
          <w:tcPr>
            <w:tcW w:w="12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1,335,628</w:t>
            </w:r>
          </w:p>
        </w:tc>
        <w:tc>
          <w:tcPr>
            <w:tcW w:w="100" w:type="dxa"/>
            <w:vAlign w:val="bottom"/>
            <w:shd w:val="clear" w:color="auto" w:fill="F5F5F5"/>
          </w:tcPr>
          <w:p>
            <w:pPr>
              <w:spacing w:after="0"/>
              <w:rPr>
                <w:sz w:val="17"/>
                <w:szCs w:val="17"/>
                <w:color w:val="auto"/>
              </w:rPr>
            </w:pPr>
          </w:p>
        </w:tc>
        <w:tc>
          <w:tcPr>
            <w:tcW w:w="260" w:type="dxa"/>
            <w:vAlign w:val="bottom"/>
            <w:shd w:val="clear" w:color="auto" w:fill="F5F5F5"/>
          </w:tcPr>
          <w:p>
            <w:pPr>
              <w:spacing w:after="0"/>
              <w:rPr>
                <w:sz w:val="17"/>
                <w:szCs w:val="17"/>
                <w:color w:val="auto"/>
              </w:rPr>
            </w:pPr>
          </w:p>
        </w:tc>
        <w:tc>
          <w:tcPr>
            <w:tcW w:w="12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1,035,160</w:t>
            </w:r>
          </w:p>
        </w:tc>
        <w:tc>
          <w:tcPr>
            <w:tcW w:w="0" w:type="dxa"/>
            <w:vAlign w:val="bottom"/>
          </w:tcPr>
          <w:p>
            <w:pPr>
              <w:spacing w:after="0"/>
              <w:rPr>
                <w:sz w:val="1"/>
                <w:szCs w:val="1"/>
                <w:color w:val="auto"/>
              </w:rPr>
            </w:pPr>
          </w:p>
        </w:tc>
      </w:tr>
      <w:tr>
        <w:trPr>
          <w:trHeight w:val="198"/>
        </w:trPr>
        <w:tc>
          <w:tcPr>
            <w:tcW w:w="20" w:type="dxa"/>
            <w:vAlign w:val="bottom"/>
            <w:tcBorders>
              <w:bottom w:val="single" w:sz="8" w:color="F5F5F5"/>
            </w:tcBorders>
          </w:tcPr>
          <w:p>
            <w:pPr>
              <w:spacing w:after="0"/>
              <w:rPr>
                <w:sz w:val="17"/>
                <w:szCs w:val="17"/>
                <w:color w:val="auto"/>
              </w:rPr>
            </w:pPr>
          </w:p>
        </w:tc>
        <w:tc>
          <w:tcPr>
            <w:tcW w:w="7900" w:type="dxa"/>
            <w:vAlign w:val="bottom"/>
            <w:tcBorders>
              <w:bottom w:val="single" w:sz="8" w:color="F5F5F5"/>
            </w:tcBorders>
            <w:gridSpan w:val="3"/>
          </w:tcPr>
          <w:p>
            <w:pPr>
              <w:ind w:left="200"/>
              <w:spacing w:after="0"/>
              <w:rPr>
                <w:sz w:val="20"/>
                <w:szCs w:val="20"/>
                <w:color w:val="auto"/>
              </w:rPr>
            </w:pPr>
            <w:r>
              <w:rPr>
                <w:rFonts w:ascii="Arial" w:cs="Arial" w:eastAsia="Arial" w:hAnsi="Arial"/>
                <w:sz w:val="14"/>
                <w:szCs w:val="14"/>
                <w:color w:val="auto"/>
              </w:rPr>
              <w:t>Noncontrolling interests</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15,695</w:t>
            </w:r>
          </w:p>
        </w:tc>
        <w:tc>
          <w:tcPr>
            <w:tcW w:w="100" w:type="dxa"/>
            <w:vAlign w:val="bottom"/>
            <w:tcBorders>
              <w:bottom w:val="single" w:sz="8" w:color="F5F5F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14,827</w:t>
            </w:r>
          </w:p>
        </w:tc>
        <w:tc>
          <w:tcPr>
            <w:tcW w:w="0" w:type="dxa"/>
            <w:vAlign w:val="bottom"/>
          </w:tcPr>
          <w:p>
            <w:pPr>
              <w:spacing w:after="0"/>
              <w:rPr>
                <w:sz w:val="1"/>
                <w:szCs w:val="1"/>
                <w:color w:val="auto"/>
              </w:rPr>
            </w:pPr>
          </w:p>
        </w:tc>
      </w:tr>
      <w:tr>
        <w:trPr>
          <w:trHeight w:val="200"/>
        </w:trPr>
        <w:tc>
          <w:tcPr>
            <w:tcW w:w="20" w:type="dxa"/>
            <w:vAlign w:val="bottom"/>
            <w:shd w:val="clear" w:color="auto" w:fill="F5F5F5"/>
          </w:tcPr>
          <w:p>
            <w:pPr>
              <w:spacing w:after="0"/>
              <w:rPr>
                <w:sz w:val="17"/>
                <w:szCs w:val="17"/>
                <w:color w:val="auto"/>
              </w:rPr>
            </w:pPr>
          </w:p>
        </w:tc>
        <w:tc>
          <w:tcPr>
            <w:tcW w:w="7900" w:type="dxa"/>
            <w:vAlign w:val="bottom"/>
            <w:gridSpan w:val="3"/>
            <w:shd w:val="clear" w:color="auto" w:fill="F5F5F5"/>
          </w:tcPr>
          <w:p>
            <w:pPr>
              <w:spacing w:after="0"/>
              <w:rPr>
                <w:sz w:val="20"/>
                <w:szCs w:val="20"/>
                <w:color w:val="auto"/>
              </w:rPr>
            </w:pPr>
            <w:r>
              <w:rPr>
                <w:rFonts w:ascii="Arial" w:cs="Arial" w:eastAsia="Arial" w:hAnsi="Arial"/>
                <w:sz w:val="14"/>
                <w:szCs w:val="14"/>
                <w:color w:val="auto"/>
              </w:rPr>
              <w:t>Total stockholders’ equity</w:t>
            </w:r>
          </w:p>
        </w:tc>
        <w:tc>
          <w:tcPr>
            <w:tcW w:w="260" w:type="dxa"/>
            <w:vAlign w:val="bottom"/>
            <w:tcBorders>
              <w:bottom w:val="single" w:sz="8" w:color="auto"/>
            </w:tcBorders>
            <w:shd w:val="clear" w:color="auto" w:fill="F5F5F5"/>
          </w:tcPr>
          <w:p>
            <w:pPr>
              <w:spacing w:after="0"/>
              <w:rPr>
                <w:sz w:val="17"/>
                <w:szCs w:val="17"/>
                <w:color w:val="auto"/>
              </w:rPr>
            </w:pPr>
          </w:p>
        </w:tc>
        <w:tc>
          <w:tcPr>
            <w:tcW w:w="128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1,351,323</w:t>
            </w:r>
          </w:p>
        </w:tc>
        <w:tc>
          <w:tcPr>
            <w:tcW w:w="100" w:type="dxa"/>
            <w:vAlign w:val="bottom"/>
            <w:shd w:val="clear" w:color="auto" w:fill="F5F5F5"/>
          </w:tcPr>
          <w:p>
            <w:pPr>
              <w:spacing w:after="0"/>
              <w:rPr>
                <w:sz w:val="17"/>
                <w:szCs w:val="17"/>
                <w:color w:val="auto"/>
              </w:rPr>
            </w:pPr>
          </w:p>
        </w:tc>
        <w:tc>
          <w:tcPr>
            <w:tcW w:w="260" w:type="dxa"/>
            <w:vAlign w:val="bottom"/>
            <w:tcBorders>
              <w:bottom w:val="single" w:sz="8" w:color="auto"/>
            </w:tcBorders>
            <w:shd w:val="clear" w:color="auto" w:fill="F5F5F5"/>
          </w:tcPr>
          <w:p>
            <w:pPr>
              <w:spacing w:after="0"/>
              <w:rPr>
                <w:sz w:val="17"/>
                <w:szCs w:val="17"/>
                <w:color w:val="auto"/>
              </w:rPr>
            </w:pPr>
          </w:p>
        </w:tc>
        <w:tc>
          <w:tcPr>
            <w:tcW w:w="128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1,049,987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900" w:type="dxa"/>
            <w:vAlign w:val="bottom"/>
            <w:gridSpan w:val="3"/>
          </w:tcPr>
          <w:p>
            <w:pPr>
              <w:spacing w:after="0"/>
              <w:rPr>
                <w:sz w:val="20"/>
                <w:szCs w:val="20"/>
                <w:color w:val="auto"/>
              </w:rPr>
            </w:pPr>
            <w:r>
              <w:rPr>
                <w:rFonts w:ascii="Arial" w:cs="Arial" w:eastAsia="Arial" w:hAnsi="Arial"/>
                <w:sz w:val="14"/>
                <w:szCs w:val="14"/>
                <w:color w:val="auto"/>
              </w:rPr>
              <w:t>Total liabilities and stockholders’ equity</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3,299,887</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2,974,233</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96"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46</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46" w:name="page47"/>
    <w:bookmarkEnd w:id="4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Abercrombie &amp; Fitch Co.</w:t>
      </w:r>
    </w:p>
    <w:p>
      <w:pPr>
        <w:spacing w:after="0" w:line="2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(Thousands, except per share amounts)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460" w:type="dxa"/>
            <w:vAlign w:val="bottom"/>
          </w:tcPr>
          <w:p>
            <w:pPr>
              <w:spacing w:after="0"/>
              <w:rPr>
                <w:sz w:val="15"/>
                <w:szCs w:val="15"/>
                <w:color w:val="auto"/>
              </w:rPr>
            </w:pPr>
          </w:p>
        </w:tc>
        <w:tc>
          <w:tcPr>
            <w:tcW w:w="1700" w:type="dxa"/>
            <w:vAlign w:val="bottom"/>
            <w:tcBorders>
              <w:bottom w:val="single" w:sz="8" w:color="auto"/>
            </w:tcBorders>
            <w:gridSpan w:val="3"/>
          </w:tcPr>
          <w:p>
            <w:pPr>
              <w:jc w:val="right"/>
              <w:ind w:right="333"/>
              <w:spacing w:after="0"/>
              <w:rPr>
                <w:sz w:val="20"/>
                <w:szCs w:val="20"/>
                <w:color w:val="auto"/>
              </w:rPr>
            </w:pPr>
            <w:r>
              <w:rPr>
                <w:rFonts w:ascii="Arial" w:cs="Arial" w:eastAsia="Arial" w:hAnsi="Arial"/>
                <w:sz w:val="13"/>
                <w:szCs w:val="13"/>
                <w:color w:val="auto"/>
              </w:rPr>
              <w:t>Common Stock</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20" w:type="dxa"/>
            <w:vAlign w:val="bottom"/>
            <w:tcBorders>
              <w:bottom w:val="single" w:sz="8" w:color="auto"/>
            </w:tcBorders>
            <w:gridSpan w:val="3"/>
          </w:tcPr>
          <w:p>
            <w:pPr>
              <w:jc w:val="right"/>
              <w:ind w:right="413"/>
              <w:spacing w:after="0"/>
              <w:rPr>
                <w:sz w:val="20"/>
                <w:szCs w:val="20"/>
                <w:color w:val="auto"/>
              </w:rPr>
            </w:pPr>
            <w:r>
              <w:rPr>
                <w:rFonts w:ascii="Arial" w:cs="Arial" w:eastAsia="Arial" w:hAnsi="Arial"/>
                <w:sz w:val="13"/>
                <w:szCs w:val="13"/>
                <w:color w:val="auto"/>
              </w:rPr>
              <w:t>Treasury stock</w:t>
            </w:r>
          </w:p>
        </w:tc>
        <w:tc>
          <w:tcPr>
            <w:tcW w:w="120" w:type="dxa"/>
            <w:vAlign w:val="bottom"/>
          </w:tcPr>
          <w:p>
            <w:pPr>
              <w:spacing w:after="0"/>
              <w:rPr>
                <w:sz w:val="15"/>
                <w:szCs w:val="15"/>
                <w:color w:val="auto"/>
              </w:rPr>
            </w:pPr>
          </w:p>
        </w:tc>
        <w:tc>
          <w:tcPr>
            <w:tcW w:w="980" w:type="dxa"/>
            <w:vAlign w:val="bottom"/>
            <w:vMerge w:val="restart"/>
          </w:tcPr>
          <w:p>
            <w:pPr>
              <w:jc w:val="center"/>
              <w:ind w:right="73"/>
              <w:spacing w:after="0"/>
              <w:rPr>
                <w:sz w:val="20"/>
                <w:szCs w:val="20"/>
                <w:color w:val="auto"/>
              </w:rPr>
            </w:pPr>
            <w:r>
              <w:rPr>
                <w:rFonts w:ascii="Arial" w:cs="Arial" w:eastAsia="Arial" w:hAnsi="Arial"/>
                <w:sz w:val="13"/>
                <w:szCs w:val="13"/>
                <w:color w:val="auto"/>
                <w:w w:val="96"/>
              </w:rPr>
              <w:t>Total</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000" w:type="dxa"/>
            <w:vAlign w:val="bottom"/>
            <w:vMerge w:val="restart"/>
          </w:tcPr>
          <w:p>
            <w:pPr>
              <w:jc w:val="right"/>
              <w:ind w:right="213"/>
              <w:spacing w:after="0"/>
              <w:rPr>
                <w:sz w:val="20"/>
                <w:szCs w:val="20"/>
                <w:color w:val="auto"/>
              </w:rPr>
            </w:pPr>
            <w:r>
              <w:rPr>
                <w:rFonts w:ascii="Arial" w:cs="Arial" w:eastAsia="Arial" w:hAnsi="Arial"/>
                <w:sz w:val="13"/>
                <w:szCs w:val="13"/>
                <w:color w:val="auto"/>
              </w:rPr>
              <w:t>Shares</w:t>
            </w:r>
          </w:p>
        </w:tc>
        <w:tc>
          <w:tcPr>
            <w:tcW w:w="140" w:type="dxa"/>
            <w:vAlign w:val="bottom"/>
          </w:tcPr>
          <w:p>
            <w:pPr>
              <w:spacing w:after="0"/>
              <w:rPr>
                <w:sz w:val="2"/>
                <w:szCs w:val="2"/>
                <w:color w:val="auto"/>
              </w:rPr>
            </w:pPr>
          </w:p>
        </w:tc>
        <w:tc>
          <w:tcPr>
            <w:tcW w:w="560" w:type="dxa"/>
            <w:vAlign w:val="bottom"/>
            <w:vMerge w:val="restart"/>
          </w:tcPr>
          <w:p>
            <w:pPr>
              <w:jc w:val="right"/>
              <w:ind w:right="173"/>
              <w:spacing w:after="0"/>
              <w:rPr>
                <w:sz w:val="20"/>
                <w:szCs w:val="20"/>
                <w:color w:val="auto"/>
              </w:rPr>
            </w:pPr>
            <w:r>
              <w:rPr>
                <w:rFonts w:ascii="Arial" w:cs="Arial" w:eastAsia="Arial" w:hAnsi="Arial"/>
                <w:sz w:val="13"/>
                <w:szCs w:val="13"/>
                <w:color w:val="auto"/>
              </w:rPr>
              <w:t>Par</w:t>
            </w:r>
          </w:p>
        </w:tc>
        <w:tc>
          <w:tcPr>
            <w:tcW w:w="200" w:type="dxa"/>
            <w:vAlign w:val="bottom"/>
          </w:tcPr>
          <w:p>
            <w:pPr>
              <w:spacing w:after="0"/>
              <w:rPr>
                <w:sz w:val="2"/>
                <w:szCs w:val="2"/>
                <w:color w:val="auto"/>
              </w:rPr>
            </w:pPr>
          </w:p>
        </w:tc>
        <w:tc>
          <w:tcPr>
            <w:tcW w:w="820" w:type="dxa"/>
            <w:vAlign w:val="bottom"/>
            <w:vMerge w:val="restart"/>
          </w:tcPr>
          <w:p>
            <w:pPr>
              <w:jc w:val="right"/>
              <w:ind w:right="233"/>
              <w:spacing w:after="0"/>
              <w:rPr>
                <w:sz w:val="20"/>
                <w:szCs w:val="20"/>
                <w:color w:val="auto"/>
              </w:rPr>
            </w:pPr>
            <w:r>
              <w:rPr>
                <w:rFonts w:ascii="Arial" w:cs="Arial" w:eastAsia="Arial" w:hAnsi="Arial"/>
                <w:sz w:val="13"/>
                <w:szCs w:val="13"/>
                <w:color w:val="auto"/>
              </w:rPr>
              <w:t>Paid-in</w:t>
            </w:r>
          </w:p>
        </w:tc>
        <w:tc>
          <w:tcPr>
            <w:tcW w:w="1040" w:type="dxa"/>
            <w:vAlign w:val="bottom"/>
            <w:gridSpan w:val="2"/>
            <w:vMerge w:val="restart"/>
          </w:tcPr>
          <w:p>
            <w:pPr>
              <w:jc w:val="right"/>
              <w:spacing w:after="0"/>
              <w:rPr>
                <w:sz w:val="20"/>
                <w:szCs w:val="20"/>
                <w:color w:val="auto"/>
              </w:rPr>
            </w:pPr>
            <w:r>
              <w:rPr>
                <w:rFonts w:ascii="Arial" w:cs="Arial" w:eastAsia="Arial" w:hAnsi="Arial"/>
                <w:sz w:val="13"/>
                <w:szCs w:val="13"/>
                <w:color w:val="auto"/>
              </w:rPr>
              <w:t>Non-controlling</w:t>
            </w:r>
          </w:p>
        </w:tc>
        <w:tc>
          <w:tcPr>
            <w:tcW w:w="180" w:type="dxa"/>
            <w:vAlign w:val="bottom"/>
          </w:tcPr>
          <w:p>
            <w:pPr>
              <w:spacing w:after="0"/>
              <w:rPr>
                <w:sz w:val="2"/>
                <w:szCs w:val="2"/>
                <w:color w:val="auto"/>
              </w:rPr>
            </w:pPr>
          </w:p>
        </w:tc>
        <w:tc>
          <w:tcPr>
            <w:tcW w:w="860" w:type="dxa"/>
            <w:vAlign w:val="bottom"/>
            <w:vMerge w:val="restart"/>
          </w:tcPr>
          <w:p>
            <w:pPr>
              <w:jc w:val="right"/>
              <w:ind w:right="173"/>
              <w:spacing w:after="0"/>
              <w:rPr>
                <w:sz w:val="20"/>
                <w:szCs w:val="20"/>
                <w:color w:val="auto"/>
              </w:rPr>
            </w:pPr>
            <w:r>
              <w:rPr>
                <w:rFonts w:ascii="Arial" w:cs="Arial" w:eastAsia="Arial" w:hAnsi="Arial"/>
                <w:sz w:val="13"/>
                <w:szCs w:val="13"/>
                <w:color w:val="auto"/>
              </w:rPr>
              <w:t>Retained</w:t>
            </w: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vMerge w:val="restart"/>
          </w:tcPr>
          <w:p>
            <w:pPr>
              <w:jc w:val="right"/>
              <w:ind w:right="133"/>
              <w:spacing w:after="0"/>
              <w:rPr>
                <w:sz w:val="20"/>
                <w:szCs w:val="20"/>
                <w:color w:val="auto"/>
              </w:rPr>
            </w:pPr>
            <w:r>
              <w:rPr>
                <w:rFonts w:ascii="Arial" w:cs="Arial" w:eastAsia="Arial" w:hAnsi="Arial"/>
                <w:sz w:val="13"/>
                <w:szCs w:val="13"/>
                <w:color w:val="auto"/>
              </w:rPr>
              <w:t>At average</w:t>
            </w:r>
          </w:p>
        </w:tc>
        <w:tc>
          <w:tcPr>
            <w:tcW w:w="12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46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vMerge w:val="restart"/>
          </w:tcPr>
          <w:p>
            <w:pPr>
              <w:jc w:val="right"/>
              <w:ind w:right="273"/>
              <w:spacing w:after="0"/>
              <w:rPr>
                <w:sz w:val="20"/>
                <w:szCs w:val="20"/>
                <w:color w:val="auto"/>
              </w:rPr>
            </w:pPr>
            <w:r>
              <w:rPr>
                <w:rFonts w:ascii="Arial" w:cs="Arial" w:eastAsia="Arial" w:hAnsi="Arial"/>
                <w:sz w:val="13"/>
                <w:szCs w:val="13"/>
                <w:color w:val="auto"/>
              </w:rPr>
              <w:t>AOCL</w:t>
            </w:r>
          </w:p>
        </w:tc>
        <w:tc>
          <w:tcPr>
            <w:tcW w:w="760" w:type="dxa"/>
            <w:vAlign w:val="bottom"/>
            <w:vMerge w:val="restart"/>
          </w:tcPr>
          <w:p>
            <w:pPr>
              <w:jc w:val="right"/>
              <w:ind w:right="93"/>
              <w:spacing w:after="0"/>
              <w:rPr>
                <w:sz w:val="20"/>
                <w:szCs w:val="20"/>
                <w:color w:val="auto"/>
              </w:rPr>
            </w:pPr>
            <w:r>
              <w:rPr>
                <w:rFonts w:ascii="Arial" w:cs="Arial" w:eastAsia="Arial" w:hAnsi="Arial"/>
                <w:sz w:val="13"/>
                <w:szCs w:val="13"/>
                <w:color w:val="auto"/>
              </w:rPr>
              <w:t>Shares</w:t>
            </w:r>
          </w:p>
        </w:tc>
        <w:tc>
          <w:tcPr>
            <w:tcW w:w="16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center"/>
              <w:ind w:right="53"/>
              <w:spacing w:after="0" w:line="135" w:lineRule="exact"/>
              <w:rPr>
                <w:sz w:val="20"/>
                <w:szCs w:val="20"/>
                <w:color w:val="auto"/>
              </w:rPr>
            </w:pPr>
            <w:r>
              <w:rPr>
                <w:rFonts w:ascii="Arial" w:cs="Arial" w:eastAsia="Arial" w:hAnsi="Arial"/>
                <w:sz w:val="13"/>
                <w:szCs w:val="13"/>
                <w:color w:val="auto"/>
              </w:rPr>
              <w:t>stockholders’</w:t>
            </w:r>
          </w:p>
        </w:tc>
        <w:tc>
          <w:tcPr>
            <w:tcW w:w="0" w:type="dxa"/>
            <w:vAlign w:val="bottom"/>
          </w:tcPr>
          <w:p>
            <w:pPr>
              <w:spacing w:after="0"/>
              <w:rPr>
                <w:sz w:val="1"/>
                <w:szCs w:val="1"/>
                <w:color w:val="auto"/>
              </w:rPr>
            </w:pPr>
          </w:p>
        </w:tc>
      </w:tr>
      <w:tr>
        <w:trPr>
          <w:trHeight w:val="182"/>
        </w:trPr>
        <w:tc>
          <w:tcPr>
            <w:tcW w:w="2460" w:type="dxa"/>
            <w:vAlign w:val="bottom"/>
            <w:tcBorders>
              <w:bottom w:val="single" w:sz="8" w:color="F5F5F5"/>
            </w:tcBorders>
          </w:tcPr>
          <w:p>
            <w:pPr>
              <w:spacing w:after="0"/>
              <w:rPr>
                <w:sz w:val="15"/>
                <w:szCs w:val="15"/>
                <w:color w:val="auto"/>
              </w:rPr>
            </w:pPr>
          </w:p>
        </w:tc>
        <w:tc>
          <w:tcPr>
            <w:tcW w:w="100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outstanding</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rPr>
              <w:t>value</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color w:val="auto"/>
              </w:rPr>
              <w:t>capital</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color w:val="auto"/>
              </w:rPr>
              <w:t>interests</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rPr>
              <w:t>earnings</w:t>
            </w: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3"/>
                <w:szCs w:val="13"/>
                <w:color w:val="auto"/>
              </w:rPr>
              <w:t>cost</w:t>
            </w: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73"/>
              <w:spacing w:after="0"/>
              <w:rPr>
                <w:sz w:val="20"/>
                <w:szCs w:val="20"/>
                <w:color w:val="auto"/>
              </w:rPr>
            </w:pPr>
            <w:r>
              <w:rPr>
                <w:rFonts w:ascii="Arial" w:cs="Arial" w:eastAsia="Arial" w:hAnsi="Arial"/>
                <w:sz w:val="13"/>
                <w:szCs w:val="13"/>
                <w:color w:val="auto"/>
              </w:rPr>
              <w:t>equity</w:t>
            </w:r>
          </w:p>
        </w:tc>
        <w:tc>
          <w:tcPr>
            <w:tcW w:w="0" w:type="dxa"/>
            <w:vAlign w:val="bottom"/>
          </w:tcPr>
          <w:p>
            <w:pPr>
              <w:spacing w:after="0"/>
              <w:rPr>
                <w:sz w:val="1"/>
                <w:szCs w:val="1"/>
                <w:color w:val="auto"/>
              </w:rPr>
            </w:pPr>
          </w:p>
        </w:tc>
      </w:tr>
      <w:tr>
        <w:trPr>
          <w:trHeight w:val="188"/>
        </w:trPr>
        <w:tc>
          <w:tcPr>
            <w:tcW w:w="2460" w:type="dxa"/>
            <w:vAlign w:val="bottom"/>
            <w:shd w:val="clear" w:color="auto" w:fill="F5F5F5"/>
          </w:tcPr>
          <w:p>
            <w:pPr>
              <w:ind w:left="20"/>
              <w:spacing w:after="0"/>
              <w:rPr>
                <w:sz w:val="20"/>
                <w:szCs w:val="20"/>
                <w:color w:val="auto"/>
              </w:rPr>
            </w:pPr>
            <w:r>
              <w:rPr>
                <w:rFonts w:ascii="Arial" w:cs="Arial" w:eastAsia="Arial" w:hAnsi="Arial"/>
                <w:sz w:val="13"/>
                <w:szCs w:val="13"/>
                <w:color w:val="auto"/>
              </w:rPr>
              <w:t>Balance, January 29, 2022</w:t>
            </w:r>
          </w:p>
        </w:tc>
        <w:tc>
          <w:tcPr>
            <w:tcW w:w="100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3"/>
                <w:szCs w:val="13"/>
                <w:color w:val="auto"/>
              </w:rPr>
              <w:t>52,985</w:t>
            </w:r>
          </w:p>
        </w:tc>
        <w:tc>
          <w:tcPr>
            <w:tcW w:w="14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F5F5F5"/>
          </w:tcPr>
          <w:p>
            <w:pPr>
              <w:jc w:val="right"/>
              <w:ind w:right="13"/>
              <w:spacing w:after="0"/>
              <w:rPr>
                <w:sz w:val="20"/>
                <w:szCs w:val="20"/>
                <w:color w:val="auto"/>
              </w:rPr>
            </w:pPr>
            <w:r>
              <w:rPr>
                <w:rFonts w:ascii="Arial" w:cs="Arial" w:eastAsia="Arial" w:hAnsi="Arial"/>
                <w:sz w:val="13"/>
                <w:szCs w:val="13"/>
                <w:color w:val="auto"/>
              </w:rPr>
              <w:t>1,033</w:t>
            </w:r>
          </w:p>
        </w:tc>
        <w:tc>
          <w:tcPr>
            <w:tcW w:w="200" w:type="dxa"/>
            <w:vAlign w:val="bottom"/>
            <w:tcBorders>
              <w:bottom w:val="single" w:sz="8" w:color="auto"/>
            </w:tcBorders>
            <w:shd w:val="clear" w:color="auto" w:fill="F5F5F5"/>
          </w:tcPr>
          <w:p>
            <w:pPr>
              <w:jc w:val="right"/>
              <w:ind w:right="53"/>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3"/>
                <w:szCs w:val="13"/>
                <w:color w:val="auto"/>
              </w:rPr>
              <w:t>413,190</w:t>
            </w:r>
          </w:p>
        </w:tc>
        <w:tc>
          <w:tcPr>
            <w:tcW w:w="200" w:type="dxa"/>
            <w:vAlign w:val="bottom"/>
            <w:tcBorders>
              <w:bottom w:val="single" w:sz="8" w:color="auto"/>
            </w:tcBorders>
            <w:shd w:val="clear" w:color="auto" w:fill="F5F5F5"/>
          </w:tcPr>
          <w:p>
            <w:pPr>
              <w:jc w:val="right"/>
              <w:ind w:right="33"/>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3"/>
                <w:szCs w:val="13"/>
                <w:color w:val="auto"/>
              </w:rPr>
              <w:t>11,234</w:t>
            </w:r>
          </w:p>
        </w:tc>
        <w:tc>
          <w:tcPr>
            <w:tcW w:w="180" w:type="dxa"/>
            <w:vAlign w:val="bottom"/>
            <w:tcBorders>
              <w:bottom w:val="single" w:sz="8" w:color="auto"/>
            </w:tcBorders>
            <w:shd w:val="clear" w:color="auto" w:fill="F5F5F5"/>
          </w:tcPr>
          <w:p>
            <w:pPr>
              <w:jc w:val="right"/>
              <w:ind w:right="13"/>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3"/>
                <w:szCs w:val="13"/>
                <w:color w:val="auto"/>
              </w:rPr>
              <w:t>2,386,156</w:t>
            </w:r>
          </w:p>
        </w:tc>
        <w:tc>
          <w:tcPr>
            <w:tcW w:w="220" w:type="dxa"/>
            <w:vAlign w:val="bottom"/>
            <w:tcBorders>
              <w:bottom w:val="single" w:sz="8" w:color="auto"/>
            </w:tcBorders>
            <w:shd w:val="clear" w:color="auto" w:fill="F5F5F5"/>
          </w:tcPr>
          <w:p>
            <w:pPr>
              <w:jc w:val="right"/>
              <w:ind w:right="53"/>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3"/>
                <w:szCs w:val="13"/>
                <w:color w:val="auto"/>
              </w:rPr>
              <w:t>(114,706)</w:t>
            </w:r>
          </w:p>
        </w:tc>
        <w:tc>
          <w:tcPr>
            <w:tcW w:w="76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3"/>
                <w:szCs w:val="13"/>
                <w:color w:val="auto"/>
              </w:rPr>
              <w:t>50,315</w:t>
            </w:r>
          </w:p>
        </w:tc>
        <w:tc>
          <w:tcPr>
            <w:tcW w:w="16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3"/>
                <w:szCs w:val="13"/>
                <w:color w:val="auto"/>
              </w:rPr>
              <w:t>(1,859,583)</w:t>
            </w:r>
          </w:p>
        </w:tc>
        <w:tc>
          <w:tcPr>
            <w:tcW w:w="12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3"/>
                <w:szCs w:val="13"/>
                <w:color w:val="auto"/>
              </w:rPr>
              <w:t>837,324</w:t>
            </w:r>
          </w:p>
        </w:tc>
        <w:tc>
          <w:tcPr>
            <w:tcW w:w="0" w:type="dxa"/>
            <w:vAlign w:val="bottom"/>
          </w:tcPr>
          <w:p>
            <w:pPr>
              <w:spacing w:after="0"/>
              <w:rPr>
                <w:sz w:val="1"/>
                <w:szCs w:val="1"/>
                <w:color w:val="auto"/>
              </w:rPr>
            </w:pPr>
          </w:p>
        </w:tc>
      </w:tr>
      <w:tr>
        <w:trPr>
          <w:trHeight w:val="177"/>
        </w:trPr>
        <w:tc>
          <w:tcPr>
            <w:tcW w:w="246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7,569</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2,816</w:t>
            </w:r>
          </w:p>
        </w:tc>
        <w:tc>
          <w:tcPr>
            <w:tcW w:w="220" w:type="dxa"/>
            <w:vAlign w:val="bottom"/>
          </w:tcPr>
          <w:p>
            <w:pPr>
              <w:spacing w:after="0"/>
              <w:rPr>
                <w:sz w:val="15"/>
                <w:szCs w:val="15"/>
                <w:color w:val="auto"/>
              </w:rPr>
            </w:pP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10,385</w:t>
            </w:r>
          </w:p>
        </w:tc>
        <w:tc>
          <w:tcPr>
            <w:tcW w:w="0" w:type="dxa"/>
            <w:vAlign w:val="bottom"/>
          </w:tcPr>
          <w:p>
            <w:pPr>
              <w:spacing w:after="0"/>
              <w:rPr>
                <w:sz w:val="1"/>
                <w:szCs w:val="1"/>
                <w:color w:val="auto"/>
              </w:rPr>
            </w:pPr>
          </w:p>
        </w:tc>
      </w:tr>
      <w:tr>
        <w:trPr>
          <w:trHeight w:val="195"/>
        </w:trPr>
        <w:tc>
          <w:tcPr>
            <w:tcW w:w="2460" w:type="dxa"/>
            <w:vAlign w:val="bottom"/>
            <w:shd w:val="clear" w:color="auto" w:fill="F5F5F5"/>
          </w:tcPr>
          <w:p>
            <w:pPr>
              <w:ind w:left="140"/>
              <w:spacing w:after="0"/>
              <w:rPr>
                <w:sz w:val="20"/>
                <w:szCs w:val="20"/>
                <w:color w:val="auto"/>
              </w:rPr>
            </w:pPr>
            <w:r>
              <w:rPr>
                <w:rFonts w:ascii="Arial" w:cs="Arial" w:eastAsia="Arial" w:hAnsi="Arial"/>
                <w:sz w:val="13"/>
                <w:szCs w:val="13"/>
                <w:color w:val="auto"/>
              </w:rPr>
              <w:t>Purchase of common stock</w:t>
            </w:r>
          </w:p>
        </w:tc>
        <w:tc>
          <w:tcPr>
            <w:tcW w:w="1000" w:type="dxa"/>
            <w:vAlign w:val="bottom"/>
            <w:shd w:val="clear" w:color="auto" w:fill="F5F5F5"/>
          </w:tcPr>
          <w:p>
            <w:pPr>
              <w:jc w:val="right"/>
              <w:spacing w:after="0"/>
              <w:rPr>
                <w:sz w:val="20"/>
                <w:szCs w:val="20"/>
                <w:color w:val="auto"/>
              </w:rPr>
            </w:pPr>
            <w:r>
              <w:rPr>
                <w:rFonts w:ascii="Arial" w:cs="Arial" w:eastAsia="Arial" w:hAnsi="Arial"/>
                <w:sz w:val="13"/>
                <w:szCs w:val="13"/>
                <w:color w:val="auto"/>
              </w:rPr>
              <w:t>(4,770)</w:t>
            </w:r>
          </w:p>
        </w:tc>
        <w:tc>
          <w:tcPr>
            <w:tcW w:w="140" w:type="dxa"/>
            <w:vAlign w:val="bottom"/>
            <w:shd w:val="clear" w:color="auto" w:fill="F5F5F5"/>
          </w:tcPr>
          <w:p>
            <w:pPr>
              <w:spacing w:after="0"/>
              <w:rPr>
                <w:sz w:val="16"/>
                <w:szCs w:val="16"/>
                <w:color w:val="auto"/>
              </w:rPr>
            </w:pPr>
          </w:p>
        </w:tc>
        <w:tc>
          <w:tcPr>
            <w:tcW w:w="560" w:type="dxa"/>
            <w:vAlign w:val="bottom"/>
            <w:shd w:val="clear" w:color="auto" w:fill="F5F5F5"/>
          </w:tcPr>
          <w:p>
            <w:pPr>
              <w:jc w:val="right"/>
              <w:ind w:right="13"/>
              <w:spacing w:after="0"/>
              <w:rPr>
                <w:sz w:val="20"/>
                <w:szCs w:val="20"/>
                <w:color w:val="auto"/>
              </w:rPr>
            </w:pPr>
            <w:r>
              <w:rPr>
                <w:rFonts w:ascii="Arial" w:cs="Arial" w:eastAsia="Arial" w:hAnsi="Arial"/>
                <w:sz w:val="13"/>
                <w:szCs w:val="13"/>
                <w:color w:val="auto"/>
              </w:rPr>
              <w:t>—</w:t>
            </w:r>
          </w:p>
        </w:tc>
        <w:tc>
          <w:tcPr>
            <w:tcW w:w="200" w:type="dxa"/>
            <w:vAlign w:val="bottom"/>
            <w:shd w:val="clear" w:color="auto" w:fill="F5F5F5"/>
          </w:tcPr>
          <w:p>
            <w:pPr>
              <w:spacing w:after="0"/>
              <w:rPr>
                <w:sz w:val="16"/>
                <w:szCs w:val="16"/>
                <w:color w:val="auto"/>
              </w:rPr>
            </w:pPr>
          </w:p>
        </w:tc>
        <w:tc>
          <w:tcPr>
            <w:tcW w:w="820" w:type="dxa"/>
            <w:vAlign w:val="bottom"/>
            <w:shd w:val="clear" w:color="auto" w:fill="F5F5F5"/>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F5F5F5"/>
          </w:tcPr>
          <w:p>
            <w:pPr>
              <w:spacing w:after="0"/>
              <w:rPr>
                <w:sz w:val="16"/>
                <w:szCs w:val="16"/>
                <w:color w:val="auto"/>
              </w:rPr>
            </w:pPr>
          </w:p>
        </w:tc>
        <w:tc>
          <w:tcPr>
            <w:tcW w:w="840" w:type="dxa"/>
            <w:vAlign w:val="bottom"/>
            <w:shd w:val="clear" w:color="auto" w:fill="F5F5F5"/>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F5F5F5"/>
          </w:tcPr>
          <w:p>
            <w:pPr>
              <w:spacing w:after="0"/>
              <w:rPr>
                <w:sz w:val="16"/>
                <w:szCs w:val="16"/>
                <w:color w:val="auto"/>
              </w:rPr>
            </w:pPr>
          </w:p>
        </w:tc>
        <w:tc>
          <w:tcPr>
            <w:tcW w:w="860" w:type="dxa"/>
            <w:vAlign w:val="bottom"/>
            <w:shd w:val="clear" w:color="auto" w:fill="F5F5F5"/>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F5F5F5"/>
          </w:tcPr>
          <w:p>
            <w:pPr>
              <w:spacing w:after="0"/>
              <w:rPr>
                <w:sz w:val="16"/>
                <w:szCs w:val="16"/>
                <w:color w:val="auto"/>
              </w:rPr>
            </w:pPr>
          </w:p>
        </w:tc>
        <w:tc>
          <w:tcPr>
            <w:tcW w:w="840" w:type="dxa"/>
            <w:vAlign w:val="bottom"/>
            <w:shd w:val="clear" w:color="auto" w:fill="F5F5F5"/>
          </w:tcPr>
          <w:p>
            <w:pPr>
              <w:jc w:val="right"/>
              <w:ind w:right="13"/>
              <w:spacing w:after="0"/>
              <w:rPr>
                <w:sz w:val="20"/>
                <w:szCs w:val="20"/>
                <w:color w:val="auto"/>
              </w:rPr>
            </w:pPr>
            <w:r>
              <w:rPr>
                <w:rFonts w:ascii="Arial" w:cs="Arial" w:eastAsia="Arial" w:hAnsi="Arial"/>
                <w:sz w:val="13"/>
                <w:szCs w:val="13"/>
                <w:color w:val="auto"/>
              </w:rPr>
              <w:t>—</w:t>
            </w:r>
          </w:p>
        </w:tc>
        <w:tc>
          <w:tcPr>
            <w:tcW w:w="760" w:type="dxa"/>
            <w:vAlign w:val="bottom"/>
            <w:shd w:val="clear" w:color="auto" w:fill="F5F5F5"/>
          </w:tcPr>
          <w:p>
            <w:pPr>
              <w:jc w:val="right"/>
              <w:spacing w:after="0"/>
              <w:rPr>
                <w:sz w:val="20"/>
                <w:szCs w:val="20"/>
                <w:color w:val="auto"/>
              </w:rPr>
            </w:pPr>
            <w:r>
              <w:rPr>
                <w:rFonts w:ascii="Arial" w:cs="Arial" w:eastAsia="Arial" w:hAnsi="Arial"/>
                <w:sz w:val="13"/>
                <w:szCs w:val="13"/>
                <w:color w:val="auto"/>
              </w:rPr>
              <w:t>4,770</w:t>
            </w:r>
          </w:p>
        </w:tc>
        <w:tc>
          <w:tcPr>
            <w:tcW w:w="160" w:type="dxa"/>
            <w:vAlign w:val="bottom"/>
            <w:shd w:val="clear" w:color="auto" w:fill="F5F5F5"/>
          </w:tcPr>
          <w:p>
            <w:pPr>
              <w:spacing w:after="0"/>
              <w:rPr>
                <w:sz w:val="16"/>
                <w:szCs w:val="16"/>
                <w:color w:val="auto"/>
              </w:rPr>
            </w:pPr>
          </w:p>
        </w:tc>
        <w:tc>
          <w:tcPr>
            <w:tcW w:w="900" w:type="dxa"/>
            <w:vAlign w:val="bottom"/>
            <w:shd w:val="clear" w:color="auto" w:fill="F5F5F5"/>
          </w:tcPr>
          <w:p>
            <w:pPr>
              <w:jc w:val="right"/>
              <w:spacing w:after="0"/>
              <w:rPr>
                <w:sz w:val="20"/>
                <w:szCs w:val="20"/>
                <w:color w:val="auto"/>
              </w:rPr>
            </w:pPr>
            <w:r>
              <w:rPr>
                <w:rFonts w:ascii="Arial" w:cs="Arial" w:eastAsia="Arial" w:hAnsi="Arial"/>
                <w:sz w:val="13"/>
                <w:szCs w:val="13"/>
                <w:color w:val="auto"/>
              </w:rPr>
              <w:t>(125,775)</w:t>
            </w:r>
          </w:p>
        </w:tc>
        <w:tc>
          <w:tcPr>
            <w:tcW w:w="120" w:type="dxa"/>
            <w:vAlign w:val="bottom"/>
            <w:shd w:val="clear" w:color="auto" w:fill="F5F5F5"/>
          </w:tcPr>
          <w:p>
            <w:pPr>
              <w:spacing w:after="0"/>
              <w:rPr>
                <w:sz w:val="16"/>
                <w:szCs w:val="16"/>
                <w:color w:val="auto"/>
              </w:rPr>
            </w:pPr>
          </w:p>
        </w:tc>
        <w:tc>
          <w:tcPr>
            <w:tcW w:w="980" w:type="dxa"/>
            <w:vAlign w:val="bottom"/>
            <w:shd w:val="clear" w:color="auto" w:fill="F5F5F5"/>
          </w:tcPr>
          <w:p>
            <w:pPr>
              <w:jc w:val="right"/>
              <w:spacing w:after="0"/>
              <w:rPr>
                <w:sz w:val="20"/>
                <w:szCs w:val="20"/>
                <w:color w:val="auto"/>
              </w:rPr>
            </w:pPr>
            <w:r>
              <w:rPr>
                <w:rFonts w:ascii="Arial" w:cs="Arial" w:eastAsia="Arial" w:hAnsi="Arial"/>
                <w:sz w:val="13"/>
                <w:szCs w:val="13"/>
                <w:color w:val="auto"/>
              </w:rPr>
              <w:t>(125,775)</w:t>
            </w:r>
          </w:p>
        </w:tc>
        <w:tc>
          <w:tcPr>
            <w:tcW w:w="0" w:type="dxa"/>
            <w:vAlign w:val="bottom"/>
          </w:tcPr>
          <w:p>
            <w:pPr>
              <w:spacing w:after="0"/>
              <w:rPr>
                <w:sz w:val="1"/>
                <w:szCs w:val="1"/>
                <w:color w:val="auto"/>
              </w:rPr>
            </w:pPr>
          </w:p>
        </w:tc>
      </w:tr>
      <w:tr>
        <w:trPr>
          <w:trHeight w:val="136"/>
        </w:trPr>
        <w:tc>
          <w:tcPr>
            <w:tcW w:w="2460" w:type="dxa"/>
            <w:vAlign w:val="bottom"/>
          </w:tcPr>
          <w:p>
            <w:pPr>
              <w:ind w:left="140"/>
              <w:spacing w:after="0" w:line="136" w:lineRule="exact"/>
              <w:rPr>
                <w:sz w:val="20"/>
                <w:szCs w:val="20"/>
                <w:color w:val="auto"/>
              </w:rPr>
            </w:pPr>
            <w:r>
              <w:rPr>
                <w:rFonts w:ascii="Arial" w:cs="Arial" w:eastAsia="Arial" w:hAnsi="Arial"/>
                <w:sz w:val="13"/>
                <w:szCs w:val="13"/>
                <w:color w:val="auto"/>
              </w:rPr>
              <w:t>Share-based compensation</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787</w:t>
            </w:r>
          </w:p>
        </w:tc>
        <w:tc>
          <w:tcPr>
            <w:tcW w:w="140" w:type="dxa"/>
            <w:vAlign w:val="bottom"/>
          </w:tcPr>
          <w:p>
            <w:pPr>
              <w:spacing w:after="0"/>
              <w:rPr>
                <w:sz w:val="11"/>
                <w:szCs w:val="11"/>
                <w:color w:val="auto"/>
              </w:rPr>
            </w:pPr>
          </w:p>
        </w:tc>
        <w:tc>
          <w:tcPr>
            <w:tcW w:w="56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(25,930)</w:t>
            </w:r>
          </w:p>
        </w:tc>
        <w:tc>
          <w:tcPr>
            <w:tcW w:w="2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(20,157)</w:t>
            </w:r>
          </w:p>
        </w:tc>
        <w:tc>
          <w:tcPr>
            <w:tcW w:w="220" w:type="dxa"/>
            <w:vAlign w:val="bottom"/>
          </w:tcPr>
          <w:p>
            <w:pPr>
              <w:spacing w:after="0"/>
              <w:rPr>
                <w:sz w:val="11"/>
                <w:szCs w:val="11"/>
                <w:color w:val="auto"/>
              </w:rPr>
            </w:pPr>
          </w:p>
        </w:tc>
        <w:tc>
          <w:tcPr>
            <w:tcW w:w="84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(787)</w:t>
            </w:r>
          </w:p>
        </w:tc>
        <w:tc>
          <w:tcPr>
            <w:tcW w:w="160" w:type="dxa"/>
            <w:vAlign w:val="bottom"/>
          </w:tcPr>
          <w:p>
            <w:pPr>
              <w:spacing w:after="0"/>
              <w:rPr>
                <w:sz w:val="11"/>
                <w:szCs w:val="11"/>
                <w:color w:val="auto"/>
              </w:rPr>
            </w:pPr>
          </w:p>
        </w:tc>
        <w:tc>
          <w:tcPr>
            <w:tcW w:w="900" w:type="dxa"/>
            <w:vAlign w:val="bottom"/>
            <w:vMerge w:val="restart"/>
          </w:tcPr>
          <w:p>
            <w:pPr>
              <w:jc w:val="right"/>
              <w:ind w:right="13"/>
              <w:spacing w:after="0"/>
              <w:rPr>
                <w:sz w:val="20"/>
                <w:szCs w:val="20"/>
                <w:color w:val="auto"/>
              </w:rPr>
            </w:pPr>
            <w:r>
              <w:rPr>
                <w:rFonts w:ascii="Arial" w:cs="Arial" w:eastAsia="Arial" w:hAnsi="Arial"/>
                <w:sz w:val="13"/>
                <w:szCs w:val="13"/>
                <w:color w:val="auto"/>
              </w:rPr>
              <w:t>31,623</w:t>
            </w: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(14,464)</w:t>
            </w:r>
          </w:p>
        </w:tc>
        <w:tc>
          <w:tcPr>
            <w:tcW w:w="0" w:type="dxa"/>
            <w:vAlign w:val="bottom"/>
          </w:tcPr>
          <w:p>
            <w:pPr>
              <w:spacing w:after="0"/>
              <w:rPr>
                <w:sz w:val="1"/>
                <w:szCs w:val="1"/>
                <w:color w:val="auto"/>
              </w:rPr>
            </w:pPr>
          </w:p>
        </w:tc>
      </w:tr>
      <w:tr>
        <w:trPr>
          <w:trHeight w:val="182"/>
        </w:trPr>
        <w:tc>
          <w:tcPr>
            <w:tcW w:w="2460" w:type="dxa"/>
            <w:vAlign w:val="bottom"/>
          </w:tcPr>
          <w:p>
            <w:pPr>
              <w:ind w:left="140"/>
              <w:spacing w:after="0"/>
              <w:rPr>
                <w:sz w:val="20"/>
                <w:szCs w:val="20"/>
                <w:color w:val="auto"/>
              </w:rPr>
            </w:pPr>
            <w:r>
              <w:rPr>
                <w:rFonts w:ascii="Arial" w:cs="Arial" w:eastAsia="Arial" w:hAnsi="Arial"/>
                <w:sz w:val="13"/>
                <w:szCs w:val="13"/>
                <w:color w:val="auto"/>
              </w:rPr>
              <w:t>issuances and exercises</w:t>
            </w:r>
          </w:p>
        </w:tc>
        <w:tc>
          <w:tcPr>
            <w:tcW w:w="10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460" w:type="dxa"/>
            <w:vAlign w:val="bottom"/>
            <w:shd w:val="clear" w:color="auto" w:fill="F5F5F5"/>
          </w:tcPr>
          <w:p>
            <w:pPr>
              <w:ind w:left="140"/>
              <w:spacing w:after="0"/>
              <w:rPr>
                <w:sz w:val="20"/>
                <w:szCs w:val="20"/>
                <w:color w:val="auto"/>
              </w:rPr>
            </w:pPr>
            <w:r>
              <w:rPr>
                <w:rFonts w:ascii="Arial" w:cs="Arial" w:eastAsia="Arial" w:hAnsi="Arial"/>
                <w:sz w:val="13"/>
                <w:szCs w:val="13"/>
                <w:color w:val="auto"/>
              </w:rPr>
              <w:t>Share-based compensation expense</w:t>
            </w:r>
          </w:p>
        </w:tc>
        <w:tc>
          <w:tcPr>
            <w:tcW w:w="1000" w:type="dxa"/>
            <w:vAlign w:val="bottom"/>
            <w:shd w:val="clear" w:color="auto" w:fill="F5F5F5"/>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F5F5F5"/>
          </w:tcPr>
          <w:p>
            <w:pPr>
              <w:spacing w:after="0"/>
              <w:rPr>
                <w:sz w:val="16"/>
                <w:szCs w:val="16"/>
                <w:color w:val="auto"/>
              </w:rPr>
            </w:pPr>
          </w:p>
        </w:tc>
        <w:tc>
          <w:tcPr>
            <w:tcW w:w="560" w:type="dxa"/>
            <w:vAlign w:val="bottom"/>
            <w:shd w:val="clear" w:color="auto" w:fill="F5F5F5"/>
          </w:tcPr>
          <w:p>
            <w:pPr>
              <w:jc w:val="right"/>
              <w:ind w:right="13"/>
              <w:spacing w:after="0"/>
              <w:rPr>
                <w:sz w:val="20"/>
                <w:szCs w:val="20"/>
                <w:color w:val="auto"/>
              </w:rPr>
            </w:pPr>
            <w:r>
              <w:rPr>
                <w:rFonts w:ascii="Arial" w:cs="Arial" w:eastAsia="Arial" w:hAnsi="Arial"/>
                <w:sz w:val="13"/>
                <w:szCs w:val="13"/>
                <w:color w:val="auto"/>
              </w:rPr>
              <w:t>—</w:t>
            </w:r>
          </w:p>
        </w:tc>
        <w:tc>
          <w:tcPr>
            <w:tcW w:w="200" w:type="dxa"/>
            <w:vAlign w:val="bottom"/>
            <w:shd w:val="clear" w:color="auto" w:fill="F5F5F5"/>
          </w:tcPr>
          <w:p>
            <w:pPr>
              <w:spacing w:after="0"/>
              <w:rPr>
                <w:sz w:val="16"/>
                <w:szCs w:val="16"/>
                <w:color w:val="auto"/>
              </w:rPr>
            </w:pPr>
          </w:p>
        </w:tc>
        <w:tc>
          <w:tcPr>
            <w:tcW w:w="820" w:type="dxa"/>
            <w:vAlign w:val="bottom"/>
            <w:shd w:val="clear" w:color="auto" w:fill="F5F5F5"/>
          </w:tcPr>
          <w:p>
            <w:pPr>
              <w:jc w:val="right"/>
              <w:spacing w:after="0"/>
              <w:rPr>
                <w:sz w:val="20"/>
                <w:szCs w:val="20"/>
                <w:color w:val="auto"/>
              </w:rPr>
            </w:pPr>
            <w:r>
              <w:rPr>
                <w:rFonts w:ascii="Arial" w:cs="Arial" w:eastAsia="Arial" w:hAnsi="Arial"/>
                <w:sz w:val="13"/>
                <w:szCs w:val="13"/>
                <w:color w:val="auto"/>
              </w:rPr>
              <w:t>28,995</w:t>
            </w:r>
          </w:p>
        </w:tc>
        <w:tc>
          <w:tcPr>
            <w:tcW w:w="200" w:type="dxa"/>
            <w:vAlign w:val="bottom"/>
            <w:shd w:val="clear" w:color="auto" w:fill="F5F5F5"/>
          </w:tcPr>
          <w:p>
            <w:pPr>
              <w:spacing w:after="0"/>
              <w:rPr>
                <w:sz w:val="16"/>
                <w:szCs w:val="16"/>
                <w:color w:val="auto"/>
              </w:rPr>
            </w:pPr>
          </w:p>
        </w:tc>
        <w:tc>
          <w:tcPr>
            <w:tcW w:w="840" w:type="dxa"/>
            <w:vAlign w:val="bottom"/>
            <w:shd w:val="clear" w:color="auto" w:fill="F5F5F5"/>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F5F5F5"/>
          </w:tcPr>
          <w:p>
            <w:pPr>
              <w:spacing w:after="0"/>
              <w:rPr>
                <w:sz w:val="16"/>
                <w:szCs w:val="16"/>
                <w:color w:val="auto"/>
              </w:rPr>
            </w:pPr>
          </w:p>
        </w:tc>
        <w:tc>
          <w:tcPr>
            <w:tcW w:w="860" w:type="dxa"/>
            <w:vAlign w:val="bottom"/>
            <w:shd w:val="clear" w:color="auto" w:fill="F5F5F5"/>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F5F5F5"/>
          </w:tcPr>
          <w:p>
            <w:pPr>
              <w:spacing w:after="0"/>
              <w:rPr>
                <w:sz w:val="16"/>
                <w:szCs w:val="16"/>
                <w:color w:val="auto"/>
              </w:rPr>
            </w:pPr>
          </w:p>
        </w:tc>
        <w:tc>
          <w:tcPr>
            <w:tcW w:w="840" w:type="dxa"/>
            <w:vAlign w:val="bottom"/>
            <w:shd w:val="clear" w:color="auto" w:fill="F5F5F5"/>
          </w:tcPr>
          <w:p>
            <w:pPr>
              <w:jc w:val="right"/>
              <w:ind w:right="13"/>
              <w:spacing w:after="0"/>
              <w:rPr>
                <w:sz w:val="20"/>
                <w:szCs w:val="20"/>
                <w:color w:val="auto"/>
              </w:rPr>
            </w:pPr>
            <w:r>
              <w:rPr>
                <w:rFonts w:ascii="Arial" w:cs="Arial" w:eastAsia="Arial" w:hAnsi="Arial"/>
                <w:sz w:val="13"/>
                <w:szCs w:val="13"/>
                <w:color w:val="auto"/>
              </w:rPr>
              <w:t>—</w:t>
            </w:r>
          </w:p>
        </w:tc>
        <w:tc>
          <w:tcPr>
            <w:tcW w:w="760" w:type="dxa"/>
            <w:vAlign w:val="bottom"/>
            <w:shd w:val="clear" w:color="auto" w:fill="F5F5F5"/>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F5F5F5"/>
          </w:tcPr>
          <w:p>
            <w:pPr>
              <w:spacing w:after="0"/>
              <w:rPr>
                <w:sz w:val="16"/>
                <w:szCs w:val="16"/>
                <w:color w:val="auto"/>
              </w:rPr>
            </w:pPr>
          </w:p>
        </w:tc>
        <w:tc>
          <w:tcPr>
            <w:tcW w:w="900" w:type="dxa"/>
            <w:vAlign w:val="bottom"/>
            <w:shd w:val="clear" w:color="auto" w:fill="F5F5F5"/>
          </w:tcPr>
          <w:p>
            <w:pPr>
              <w:jc w:val="right"/>
              <w:ind w:right="13"/>
              <w:spacing w:after="0"/>
              <w:rPr>
                <w:sz w:val="20"/>
                <w:szCs w:val="20"/>
                <w:color w:val="auto"/>
              </w:rPr>
            </w:pPr>
            <w:r>
              <w:rPr>
                <w:rFonts w:ascii="Arial" w:cs="Arial" w:eastAsia="Arial" w:hAnsi="Arial"/>
                <w:sz w:val="13"/>
                <w:szCs w:val="13"/>
                <w:color w:val="auto"/>
              </w:rPr>
              <w:t>—</w:t>
            </w:r>
          </w:p>
        </w:tc>
        <w:tc>
          <w:tcPr>
            <w:tcW w:w="120" w:type="dxa"/>
            <w:vAlign w:val="bottom"/>
            <w:shd w:val="clear" w:color="auto" w:fill="F5F5F5"/>
          </w:tcPr>
          <w:p>
            <w:pPr>
              <w:spacing w:after="0"/>
              <w:rPr>
                <w:sz w:val="16"/>
                <w:szCs w:val="16"/>
                <w:color w:val="auto"/>
              </w:rPr>
            </w:pPr>
          </w:p>
        </w:tc>
        <w:tc>
          <w:tcPr>
            <w:tcW w:w="980" w:type="dxa"/>
            <w:vAlign w:val="bottom"/>
            <w:shd w:val="clear" w:color="auto" w:fill="F5F5F5"/>
          </w:tcPr>
          <w:p>
            <w:pPr>
              <w:jc w:val="right"/>
              <w:spacing w:after="0"/>
              <w:rPr>
                <w:sz w:val="20"/>
                <w:szCs w:val="20"/>
                <w:color w:val="auto"/>
              </w:rPr>
            </w:pPr>
            <w:r>
              <w:rPr>
                <w:rFonts w:ascii="Arial" w:cs="Arial" w:eastAsia="Arial" w:hAnsi="Arial"/>
                <w:sz w:val="13"/>
                <w:szCs w:val="13"/>
                <w:color w:val="auto"/>
              </w:rPr>
              <w:t>28,995</w:t>
            </w:r>
          </w:p>
        </w:tc>
        <w:tc>
          <w:tcPr>
            <w:tcW w:w="0" w:type="dxa"/>
            <w:vAlign w:val="bottom"/>
          </w:tcPr>
          <w:p>
            <w:pPr>
              <w:spacing w:after="0"/>
              <w:rPr>
                <w:sz w:val="1"/>
                <w:szCs w:val="1"/>
                <w:color w:val="auto"/>
              </w:rPr>
            </w:pPr>
          </w:p>
        </w:tc>
      </w:tr>
      <w:tr>
        <w:trPr>
          <w:trHeight w:val="136"/>
        </w:trPr>
        <w:tc>
          <w:tcPr>
            <w:tcW w:w="2460" w:type="dxa"/>
            <w:vAlign w:val="bottom"/>
          </w:tcPr>
          <w:p>
            <w:pPr>
              <w:ind w:left="140"/>
              <w:spacing w:after="0" w:line="136" w:lineRule="exact"/>
              <w:rPr>
                <w:sz w:val="20"/>
                <w:szCs w:val="20"/>
                <w:color w:val="auto"/>
              </w:rPr>
            </w:pPr>
            <w:r>
              <w:rPr>
                <w:rFonts w:ascii="Arial" w:cs="Arial" w:eastAsia="Arial" w:hAnsi="Arial"/>
                <w:sz w:val="13"/>
                <w:szCs w:val="13"/>
                <w:color w:val="auto"/>
              </w:rPr>
              <w:t>Derivative financial instruments, net of</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6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(10,857)</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90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(10,857)</w:t>
            </w:r>
          </w:p>
        </w:tc>
        <w:tc>
          <w:tcPr>
            <w:tcW w:w="0" w:type="dxa"/>
            <w:vAlign w:val="bottom"/>
          </w:tcPr>
          <w:p>
            <w:pPr>
              <w:spacing w:after="0"/>
              <w:rPr>
                <w:sz w:val="1"/>
                <w:szCs w:val="1"/>
                <w:color w:val="auto"/>
              </w:rPr>
            </w:pPr>
          </w:p>
        </w:tc>
      </w:tr>
      <w:tr>
        <w:trPr>
          <w:trHeight w:val="182"/>
        </w:trPr>
        <w:tc>
          <w:tcPr>
            <w:tcW w:w="2460" w:type="dxa"/>
            <w:vAlign w:val="bottom"/>
          </w:tcPr>
          <w:p>
            <w:pPr>
              <w:ind w:left="140"/>
              <w:spacing w:after="0"/>
              <w:rPr>
                <w:sz w:val="20"/>
                <w:szCs w:val="20"/>
                <w:color w:val="auto"/>
              </w:rPr>
            </w:pPr>
            <w:r>
              <w:rPr>
                <w:rFonts w:ascii="Arial" w:cs="Arial" w:eastAsia="Arial" w:hAnsi="Arial"/>
                <w:sz w:val="13"/>
                <w:szCs w:val="13"/>
                <w:color w:val="auto"/>
              </w:rPr>
              <w:t>tax</w:t>
            </w:r>
          </w:p>
        </w:tc>
        <w:tc>
          <w:tcPr>
            <w:tcW w:w="10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60" w:type="dxa"/>
            <w:vAlign w:val="bottom"/>
            <w:shd w:val="clear" w:color="auto" w:fill="F5F5F5"/>
          </w:tcPr>
          <w:p>
            <w:pPr>
              <w:ind w:left="140"/>
              <w:spacing w:after="0" w:line="142" w:lineRule="exact"/>
              <w:rPr>
                <w:sz w:val="20"/>
                <w:szCs w:val="20"/>
                <w:color w:val="auto"/>
              </w:rPr>
            </w:pPr>
            <w:r>
              <w:rPr>
                <w:rFonts w:ascii="Arial" w:cs="Arial" w:eastAsia="Arial" w:hAnsi="Arial"/>
                <w:sz w:val="13"/>
                <w:szCs w:val="13"/>
                <w:color w:val="auto"/>
              </w:rPr>
              <w:t>Foreign currency translation</w:t>
            </w:r>
          </w:p>
        </w:tc>
        <w:tc>
          <w:tcPr>
            <w:tcW w:w="1000" w:type="dxa"/>
            <w:vAlign w:val="bottom"/>
            <w:vMerge w:val="restart"/>
            <w:shd w:val="clear" w:color="auto" w:fill="F5F5F5"/>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F5F5F5"/>
          </w:tcPr>
          <w:p>
            <w:pPr>
              <w:spacing w:after="0"/>
              <w:rPr>
                <w:sz w:val="12"/>
                <w:szCs w:val="12"/>
                <w:color w:val="auto"/>
              </w:rPr>
            </w:pPr>
          </w:p>
        </w:tc>
        <w:tc>
          <w:tcPr>
            <w:tcW w:w="560" w:type="dxa"/>
            <w:vAlign w:val="bottom"/>
            <w:vMerge w:val="restart"/>
            <w:shd w:val="clear" w:color="auto" w:fill="F5F5F5"/>
          </w:tcPr>
          <w:p>
            <w:pPr>
              <w:jc w:val="right"/>
              <w:ind w:right="13"/>
              <w:spacing w:after="0"/>
              <w:rPr>
                <w:sz w:val="20"/>
                <w:szCs w:val="20"/>
                <w:color w:val="auto"/>
              </w:rPr>
            </w:pPr>
            <w:r>
              <w:rPr>
                <w:rFonts w:ascii="Arial" w:cs="Arial" w:eastAsia="Arial" w:hAnsi="Arial"/>
                <w:sz w:val="13"/>
                <w:szCs w:val="13"/>
                <w:color w:val="auto"/>
              </w:rPr>
              <w:t>—</w:t>
            </w:r>
          </w:p>
        </w:tc>
        <w:tc>
          <w:tcPr>
            <w:tcW w:w="200" w:type="dxa"/>
            <w:vAlign w:val="bottom"/>
            <w:shd w:val="clear" w:color="auto" w:fill="F5F5F5"/>
          </w:tcPr>
          <w:p>
            <w:pPr>
              <w:spacing w:after="0"/>
              <w:rPr>
                <w:sz w:val="12"/>
                <w:szCs w:val="12"/>
                <w:color w:val="auto"/>
              </w:rPr>
            </w:pPr>
          </w:p>
        </w:tc>
        <w:tc>
          <w:tcPr>
            <w:tcW w:w="820" w:type="dxa"/>
            <w:vAlign w:val="bottom"/>
            <w:vMerge w:val="restart"/>
            <w:shd w:val="clear" w:color="auto" w:fill="F5F5F5"/>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F5F5F5"/>
          </w:tcPr>
          <w:p>
            <w:pPr>
              <w:spacing w:after="0"/>
              <w:rPr>
                <w:sz w:val="12"/>
                <w:szCs w:val="12"/>
                <w:color w:val="auto"/>
              </w:rPr>
            </w:pPr>
          </w:p>
        </w:tc>
        <w:tc>
          <w:tcPr>
            <w:tcW w:w="840" w:type="dxa"/>
            <w:vAlign w:val="bottom"/>
            <w:vMerge w:val="restart"/>
            <w:shd w:val="clear" w:color="auto" w:fill="F5F5F5"/>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F5F5F5"/>
          </w:tcPr>
          <w:p>
            <w:pPr>
              <w:spacing w:after="0"/>
              <w:rPr>
                <w:sz w:val="12"/>
                <w:szCs w:val="12"/>
                <w:color w:val="auto"/>
              </w:rPr>
            </w:pPr>
          </w:p>
        </w:tc>
        <w:tc>
          <w:tcPr>
            <w:tcW w:w="860" w:type="dxa"/>
            <w:vAlign w:val="bottom"/>
            <w:vMerge w:val="restart"/>
            <w:shd w:val="clear" w:color="auto" w:fill="F5F5F5"/>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F5F5F5"/>
          </w:tcPr>
          <w:p>
            <w:pPr>
              <w:spacing w:after="0"/>
              <w:rPr>
                <w:sz w:val="12"/>
                <w:szCs w:val="12"/>
                <w:color w:val="auto"/>
              </w:rPr>
            </w:pPr>
          </w:p>
        </w:tc>
        <w:tc>
          <w:tcPr>
            <w:tcW w:w="840" w:type="dxa"/>
            <w:vAlign w:val="bottom"/>
            <w:vMerge w:val="restart"/>
            <w:shd w:val="clear" w:color="auto" w:fill="F5F5F5"/>
          </w:tcPr>
          <w:p>
            <w:pPr>
              <w:jc w:val="right"/>
              <w:spacing w:after="0"/>
              <w:rPr>
                <w:sz w:val="20"/>
                <w:szCs w:val="20"/>
                <w:color w:val="auto"/>
              </w:rPr>
            </w:pPr>
            <w:r>
              <w:rPr>
                <w:rFonts w:ascii="Arial" w:cs="Arial" w:eastAsia="Arial" w:hAnsi="Arial"/>
                <w:sz w:val="13"/>
                <w:szCs w:val="13"/>
                <w:color w:val="auto"/>
              </w:rPr>
              <w:t>(11,964)</w:t>
            </w:r>
          </w:p>
        </w:tc>
        <w:tc>
          <w:tcPr>
            <w:tcW w:w="760" w:type="dxa"/>
            <w:vAlign w:val="bottom"/>
            <w:vMerge w:val="restart"/>
            <w:shd w:val="clear" w:color="auto" w:fill="F5F5F5"/>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F5F5F5"/>
          </w:tcPr>
          <w:p>
            <w:pPr>
              <w:spacing w:after="0"/>
              <w:rPr>
                <w:sz w:val="12"/>
                <w:szCs w:val="12"/>
                <w:color w:val="auto"/>
              </w:rPr>
            </w:pPr>
          </w:p>
        </w:tc>
        <w:tc>
          <w:tcPr>
            <w:tcW w:w="900" w:type="dxa"/>
            <w:vAlign w:val="bottom"/>
            <w:vMerge w:val="restart"/>
            <w:shd w:val="clear" w:color="auto" w:fill="F5F5F5"/>
          </w:tcPr>
          <w:p>
            <w:pPr>
              <w:jc w:val="right"/>
              <w:ind w:right="13"/>
              <w:spacing w:after="0"/>
              <w:rPr>
                <w:sz w:val="20"/>
                <w:szCs w:val="20"/>
                <w:color w:val="auto"/>
              </w:rPr>
            </w:pPr>
            <w:r>
              <w:rPr>
                <w:rFonts w:ascii="Arial" w:cs="Arial" w:eastAsia="Arial" w:hAnsi="Arial"/>
                <w:sz w:val="13"/>
                <w:szCs w:val="13"/>
                <w:color w:val="auto"/>
              </w:rPr>
              <w:t>—</w:t>
            </w:r>
          </w:p>
        </w:tc>
        <w:tc>
          <w:tcPr>
            <w:tcW w:w="120" w:type="dxa"/>
            <w:vAlign w:val="bottom"/>
            <w:shd w:val="clear" w:color="auto" w:fill="F5F5F5"/>
          </w:tcPr>
          <w:p>
            <w:pPr>
              <w:spacing w:after="0"/>
              <w:rPr>
                <w:sz w:val="12"/>
                <w:szCs w:val="12"/>
                <w:color w:val="auto"/>
              </w:rPr>
            </w:pPr>
          </w:p>
        </w:tc>
        <w:tc>
          <w:tcPr>
            <w:tcW w:w="980" w:type="dxa"/>
            <w:vAlign w:val="bottom"/>
            <w:vMerge w:val="restart"/>
            <w:shd w:val="clear" w:color="auto" w:fill="F5F5F5"/>
          </w:tcPr>
          <w:p>
            <w:pPr>
              <w:jc w:val="right"/>
              <w:spacing w:after="0"/>
              <w:rPr>
                <w:sz w:val="20"/>
                <w:szCs w:val="20"/>
                <w:color w:val="auto"/>
              </w:rPr>
            </w:pPr>
            <w:r>
              <w:rPr>
                <w:rFonts w:ascii="Arial" w:cs="Arial" w:eastAsia="Arial" w:hAnsi="Arial"/>
                <w:sz w:val="13"/>
                <w:szCs w:val="13"/>
                <w:color w:val="auto"/>
              </w:rPr>
              <w:t>(11,964)</w:t>
            </w:r>
          </w:p>
        </w:tc>
        <w:tc>
          <w:tcPr>
            <w:tcW w:w="0" w:type="dxa"/>
            <w:vAlign w:val="bottom"/>
          </w:tcPr>
          <w:p>
            <w:pPr>
              <w:spacing w:after="0"/>
              <w:rPr>
                <w:sz w:val="1"/>
                <w:szCs w:val="1"/>
                <w:color w:val="auto"/>
              </w:rPr>
            </w:pPr>
          </w:p>
        </w:tc>
      </w:tr>
      <w:tr>
        <w:trPr>
          <w:trHeight w:val="188"/>
        </w:trPr>
        <w:tc>
          <w:tcPr>
            <w:tcW w:w="2460" w:type="dxa"/>
            <w:vAlign w:val="bottom"/>
            <w:shd w:val="clear" w:color="auto" w:fill="F5F5F5"/>
          </w:tcPr>
          <w:p>
            <w:pPr>
              <w:ind w:left="140"/>
              <w:spacing w:after="0"/>
              <w:rPr>
                <w:sz w:val="20"/>
                <w:szCs w:val="20"/>
                <w:color w:val="auto"/>
              </w:rPr>
            </w:pPr>
            <w:r>
              <w:rPr>
                <w:rFonts w:ascii="Arial" w:cs="Arial" w:eastAsia="Arial" w:hAnsi="Arial"/>
                <w:sz w:val="13"/>
                <w:szCs w:val="13"/>
                <w:color w:val="auto"/>
              </w:rPr>
              <w:t>adjustments, net of tax</w:t>
            </w:r>
          </w:p>
        </w:tc>
        <w:tc>
          <w:tcPr>
            <w:tcW w:w="1000" w:type="dxa"/>
            <w:vAlign w:val="bottom"/>
            <w:vMerge w:val="continue"/>
            <w:shd w:val="clear" w:color="auto" w:fill="F5F5F5"/>
          </w:tcPr>
          <w:p>
            <w:pPr>
              <w:spacing w:after="0"/>
              <w:rPr>
                <w:sz w:val="16"/>
                <w:szCs w:val="16"/>
                <w:color w:val="auto"/>
              </w:rPr>
            </w:pPr>
          </w:p>
        </w:tc>
        <w:tc>
          <w:tcPr>
            <w:tcW w:w="140" w:type="dxa"/>
            <w:vAlign w:val="bottom"/>
            <w:shd w:val="clear" w:color="auto" w:fill="F5F5F5"/>
          </w:tcPr>
          <w:p>
            <w:pPr>
              <w:spacing w:after="0"/>
              <w:rPr>
                <w:sz w:val="16"/>
                <w:szCs w:val="16"/>
                <w:color w:val="auto"/>
              </w:rPr>
            </w:pPr>
          </w:p>
        </w:tc>
        <w:tc>
          <w:tcPr>
            <w:tcW w:w="560" w:type="dxa"/>
            <w:vAlign w:val="bottom"/>
            <w:vMerge w:val="continue"/>
            <w:shd w:val="clear" w:color="auto" w:fill="F5F5F5"/>
          </w:tcPr>
          <w:p>
            <w:pPr>
              <w:spacing w:after="0"/>
              <w:rPr>
                <w:sz w:val="16"/>
                <w:szCs w:val="16"/>
                <w:color w:val="auto"/>
              </w:rPr>
            </w:pPr>
          </w:p>
        </w:tc>
        <w:tc>
          <w:tcPr>
            <w:tcW w:w="200" w:type="dxa"/>
            <w:vAlign w:val="bottom"/>
            <w:shd w:val="clear" w:color="auto" w:fill="F5F5F5"/>
          </w:tcPr>
          <w:p>
            <w:pPr>
              <w:spacing w:after="0"/>
              <w:rPr>
                <w:sz w:val="16"/>
                <w:szCs w:val="16"/>
                <w:color w:val="auto"/>
              </w:rPr>
            </w:pPr>
          </w:p>
        </w:tc>
        <w:tc>
          <w:tcPr>
            <w:tcW w:w="820" w:type="dxa"/>
            <w:vAlign w:val="bottom"/>
            <w:vMerge w:val="continue"/>
            <w:shd w:val="clear" w:color="auto" w:fill="F5F5F5"/>
          </w:tcPr>
          <w:p>
            <w:pPr>
              <w:spacing w:after="0"/>
              <w:rPr>
                <w:sz w:val="16"/>
                <w:szCs w:val="16"/>
                <w:color w:val="auto"/>
              </w:rPr>
            </w:pPr>
          </w:p>
        </w:tc>
        <w:tc>
          <w:tcPr>
            <w:tcW w:w="200" w:type="dxa"/>
            <w:vAlign w:val="bottom"/>
            <w:shd w:val="clear" w:color="auto" w:fill="F5F5F5"/>
          </w:tcPr>
          <w:p>
            <w:pPr>
              <w:spacing w:after="0"/>
              <w:rPr>
                <w:sz w:val="16"/>
                <w:szCs w:val="16"/>
                <w:color w:val="auto"/>
              </w:rPr>
            </w:pPr>
          </w:p>
        </w:tc>
        <w:tc>
          <w:tcPr>
            <w:tcW w:w="840" w:type="dxa"/>
            <w:vAlign w:val="bottom"/>
            <w:vMerge w:val="continue"/>
            <w:shd w:val="clear" w:color="auto" w:fill="F5F5F5"/>
          </w:tcPr>
          <w:p>
            <w:pPr>
              <w:spacing w:after="0"/>
              <w:rPr>
                <w:sz w:val="16"/>
                <w:szCs w:val="16"/>
                <w:color w:val="auto"/>
              </w:rPr>
            </w:pPr>
          </w:p>
        </w:tc>
        <w:tc>
          <w:tcPr>
            <w:tcW w:w="180" w:type="dxa"/>
            <w:vAlign w:val="bottom"/>
            <w:shd w:val="clear" w:color="auto" w:fill="F5F5F5"/>
          </w:tcPr>
          <w:p>
            <w:pPr>
              <w:spacing w:after="0"/>
              <w:rPr>
                <w:sz w:val="16"/>
                <w:szCs w:val="16"/>
                <w:color w:val="auto"/>
              </w:rPr>
            </w:pPr>
          </w:p>
        </w:tc>
        <w:tc>
          <w:tcPr>
            <w:tcW w:w="860" w:type="dxa"/>
            <w:vAlign w:val="bottom"/>
            <w:vMerge w:val="continue"/>
            <w:shd w:val="clear" w:color="auto" w:fill="F5F5F5"/>
          </w:tcPr>
          <w:p>
            <w:pPr>
              <w:spacing w:after="0"/>
              <w:rPr>
                <w:sz w:val="16"/>
                <w:szCs w:val="16"/>
                <w:color w:val="auto"/>
              </w:rPr>
            </w:pPr>
          </w:p>
        </w:tc>
        <w:tc>
          <w:tcPr>
            <w:tcW w:w="220" w:type="dxa"/>
            <w:vAlign w:val="bottom"/>
            <w:shd w:val="clear" w:color="auto" w:fill="F5F5F5"/>
          </w:tcPr>
          <w:p>
            <w:pPr>
              <w:spacing w:after="0"/>
              <w:rPr>
                <w:sz w:val="16"/>
                <w:szCs w:val="16"/>
                <w:color w:val="auto"/>
              </w:rPr>
            </w:pPr>
          </w:p>
        </w:tc>
        <w:tc>
          <w:tcPr>
            <w:tcW w:w="840" w:type="dxa"/>
            <w:vAlign w:val="bottom"/>
            <w:vMerge w:val="continue"/>
            <w:shd w:val="clear" w:color="auto" w:fill="F5F5F5"/>
          </w:tcPr>
          <w:p>
            <w:pPr>
              <w:spacing w:after="0"/>
              <w:rPr>
                <w:sz w:val="16"/>
                <w:szCs w:val="16"/>
                <w:color w:val="auto"/>
              </w:rPr>
            </w:pPr>
          </w:p>
        </w:tc>
        <w:tc>
          <w:tcPr>
            <w:tcW w:w="760" w:type="dxa"/>
            <w:vAlign w:val="bottom"/>
            <w:vMerge w:val="continue"/>
            <w:shd w:val="clear" w:color="auto" w:fill="F5F5F5"/>
          </w:tcPr>
          <w:p>
            <w:pPr>
              <w:spacing w:after="0"/>
              <w:rPr>
                <w:sz w:val="16"/>
                <w:szCs w:val="16"/>
                <w:color w:val="auto"/>
              </w:rPr>
            </w:pPr>
          </w:p>
        </w:tc>
        <w:tc>
          <w:tcPr>
            <w:tcW w:w="160" w:type="dxa"/>
            <w:vAlign w:val="bottom"/>
            <w:shd w:val="clear" w:color="auto" w:fill="F5F5F5"/>
          </w:tcPr>
          <w:p>
            <w:pPr>
              <w:spacing w:after="0"/>
              <w:rPr>
                <w:sz w:val="16"/>
                <w:szCs w:val="16"/>
                <w:color w:val="auto"/>
              </w:rPr>
            </w:pPr>
          </w:p>
        </w:tc>
        <w:tc>
          <w:tcPr>
            <w:tcW w:w="900" w:type="dxa"/>
            <w:vAlign w:val="bottom"/>
            <w:vMerge w:val="continue"/>
            <w:shd w:val="clear" w:color="auto" w:fill="F5F5F5"/>
          </w:tcPr>
          <w:p>
            <w:pPr>
              <w:spacing w:after="0"/>
              <w:rPr>
                <w:sz w:val="16"/>
                <w:szCs w:val="16"/>
                <w:color w:val="auto"/>
              </w:rPr>
            </w:pPr>
          </w:p>
        </w:tc>
        <w:tc>
          <w:tcPr>
            <w:tcW w:w="120" w:type="dxa"/>
            <w:vAlign w:val="bottom"/>
            <w:shd w:val="clear" w:color="auto" w:fill="F5F5F5"/>
          </w:tcPr>
          <w:p>
            <w:pPr>
              <w:spacing w:after="0"/>
              <w:rPr>
                <w:sz w:val="16"/>
                <w:szCs w:val="16"/>
                <w:color w:val="auto"/>
              </w:rPr>
            </w:pPr>
          </w:p>
        </w:tc>
        <w:tc>
          <w:tcPr>
            <w:tcW w:w="980" w:type="dxa"/>
            <w:vAlign w:val="bottom"/>
            <w:vMerge w:val="continue"/>
            <w:shd w:val="clear" w:color="auto" w:fill="F5F5F5"/>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460" w:type="dxa"/>
            <w:vAlign w:val="bottom"/>
          </w:tcPr>
          <w:p>
            <w:pPr>
              <w:ind w:left="140"/>
              <w:spacing w:after="0" w:line="136" w:lineRule="exact"/>
              <w:rPr>
                <w:sz w:val="20"/>
                <w:szCs w:val="20"/>
                <w:color w:val="auto"/>
              </w:rPr>
            </w:pPr>
            <w:r>
              <w:rPr>
                <w:rFonts w:ascii="Arial" w:cs="Arial" w:eastAsia="Arial" w:hAnsi="Arial"/>
                <w:sz w:val="13"/>
                <w:szCs w:val="13"/>
                <w:color w:val="auto"/>
              </w:rPr>
              <w:t>Distribution to noncontrolling</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6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(7,075)</w:t>
            </w:r>
          </w:p>
        </w:tc>
        <w:tc>
          <w:tcPr>
            <w:tcW w:w="1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84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90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(7,075)</w:t>
            </w:r>
          </w:p>
        </w:tc>
        <w:tc>
          <w:tcPr>
            <w:tcW w:w="0" w:type="dxa"/>
            <w:vAlign w:val="bottom"/>
          </w:tcPr>
          <w:p>
            <w:pPr>
              <w:spacing w:after="0"/>
              <w:rPr>
                <w:sz w:val="1"/>
                <w:szCs w:val="1"/>
                <w:color w:val="auto"/>
              </w:rPr>
            </w:pPr>
          </w:p>
        </w:tc>
      </w:tr>
      <w:tr>
        <w:trPr>
          <w:trHeight w:val="182"/>
        </w:trPr>
        <w:tc>
          <w:tcPr>
            <w:tcW w:w="2460" w:type="dxa"/>
            <w:vAlign w:val="bottom"/>
            <w:tcBorders>
              <w:bottom w:val="single" w:sz="8" w:color="F5F5F5"/>
            </w:tcBorders>
          </w:tcPr>
          <w:p>
            <w:pPr>
              <w:ind w:left="140"/>
              <w:spacing w:after="0"/>
              <w:rPr>
                <w:sz w:val="20"/>
                <w:szCs w:val="20"/>
                <w:color w:val="auto"/>
              </w:rPr>
            </w:pPr>
            <w:r>
              <w:rPr>
                <w:rFonts w:ascii="Arial" w:cs="Arial" w:eastAsia="Arial" w:hAnsi="Arial"/>
                <w:sz w:val="13"/>
                <w:szCs w:val="13"/>
                <w:color w:val="auto"/>
              </w:rPr>
              <w:t>interests, net</w:t>
            </w:r>
          </w:p>
        </w:tc>
        <w:tc>
          <w:tcPr>
            <w:tcW w:w="100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460" w:type="dxa"/>
            <w:vAlign w:val="bottom"/>
            <w:shd w:val="clear" w:color="auto" w:fill="F5F5F5"/>
          </w:tcPr>
          <w:p>
            <w:pPr>
              <w:ind w:left="20"/>
              <w:spacing w:after="0"/>
              <w:rPr>
                <w:sz w:val="20"/>
                <w:szCs w:val="20"/>
                <w:color w:val="auto"/>
              </w:rPr>
            </w:pPr>
            <w:r>
              <w:rPr>
                <w:rFonts w:ascii="Arial" w:cs="Arial" w:eastAsia="Arial" w:hAnsi="Arial"/>
                <w:sz w:val="13"/>
                <w:szCs w:val="13"/>
                <w:color w:val="auto"/>
              </w:rPr>
              <w:t>Balance, January 28, 2023</w:t>
            </w:r>
          </w:p>
        </w:tc>
        <w:tc>
          <w:tcPr>
            <w:tcW w:w="100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3"/>
                <w:szCs w:val="13"/>
                <w:color w:val="auto"/>
              </w:rPr>
              <w:t>49,002</w:t>
            </w:r>
          </w:p>
        </w:tc>
        <w:tc>
          <w:tcPr>
            <w:tcW w:w="14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F5F5F5"/>
          </w:tcPr>
          <w:p>
            <w:pPr>
              <w:jc w:val="right"/>
              <w:ind w:right="13"/>
              <w:spacing w:after="0"/>
              <w:rPr>
                <w:sz w:val="20"/>
                <w:szCs w:val="20"/>
                <w:color w:val="auto"/>
              </w:rPr>
            </w:pPr>
            <w:r>
              <w:rPr>
                <w:rFonts w:ascii="Arial" w:cs="Arial" w:eastAsia="Arial" w:hAnsi="Arial"/>
                <w:sz w:val="13"/>
                <w:szCs w:val="13"/>
                <w:color w:val="auto"/>
              </w:rPr>
              <w:t>1,033</w:t>
            </w:r>
          </w:p>
        </w:tc>
        <w:tc>
          <w:tcPr>
            <w:tcW w:w="200" w:type="dxa"/>
            <w:vAlign w:val="bottom"/>
            <w:tcBorders>
              <w:bottom w:val="single" w:sz="8" w:color="auto"/>
            </w:tcBorders>
            <w:shd w:val="clear" w:color="auto" w:fill="F5F5F5"/>
          </w:tcPr>
          <w:p>
            <w:pPr>
              <w:jc w:val="right"/>
              <w:ind w:right="53"/>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3"/>
                <w:szCs w:val="13"/>
                <w:color w:val="auto"/>
              </w:rPr>
              <w:t>416,255</w:t>
            </w:r>
          </w:p>
        </w:tc>
        <w:tc>
          <w:tcPr>
            <w:tcW w:w="200" w:type="dxa"/>
            <w:vAlign w:val="bottom"/>
            <w:tcBorders>
              <w:bottom w:val="single" w:sz="8" w:color="auto"/>
            </w:tcBorders>
            <w:shd w:val="clear" w:color="auto" w:fill="F5F5F5"/>
          </w:tcPr>
          <w:p>
            <w:pPr>
              <w:jc w:val="right"/>
              <w:ind w:right="33"/>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3"/>
                <w:szCs w:val="13"/>
                <w:color w:val="auto"/>
              </w:rPr>
              <w:t>11,728</w:t>
            </w:r>
          </w:p>
        </w:tc>
        <w:tc>
          <w:tcPr>
            <w:tcW w:w="180" w:type="dxa"/>
            <w:vAlign w:val="bottom"/>
            <w:tcBorders>
              <w:bottom w:val="single" w:sz="8" w:color="auto"/>
            </w:tcBorders>
            <w:shd w:val="clear" w:color="auto" w:fill="F5F5F5"/>
          </w:tcPr>
          <w:p>
            <w:pPr>
              <w:jc w:val="right"/>
              <w:ind w:right="13"/>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3"/>
                <w:szCs w:val="13"/>
                <w:color w:val="auto"/>
              </w:rPr>
              <w:t>2,368,815</w:t>
            </w:r>
          </w:p>
        </w:tc>
        <w:tc>
          <w:tcPr>
            <w:tcW w:w="220" w:type="dxa"/>
            <w:vAlign w:val="bottom"/>
            <w:tcBorders>
              <w:bottom w:val="single" w:sz="8" w:color="auto"/>
            </w:tcBorders>
            <w:shd w:val="clear" w:color="auto" w:fill="F5F5F5"/>
          </w:tcPr>
          <w:p>
            <w:pPr>
              <w:jc w:val="right"/>
              <w:ind w:right="53"/>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3"/>
                <w:szCs w:val="13"/>
                <w:color w:val="auto"/>
              </w:rPr>
              <w:t>(137,527)</w:t>
            </w:r>
          </w:p>
        </w:tc>
        <w:tc>
          <w:tcPr>
            <w:tcW w:w="76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3"/>
                <w:szCs w:val="13"/>
                <w:color w:val="auto"/>
              </w:rPr>
              <w:t>54,298</w:t>
            </w:r>
          </w:p>
        </w:tc>
        <w:tc>
          <w:tcPr>
            <w:tcW w:w="16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3"/>
                <w:szCs w:val="13"/>
                <w:color w:val="auto"/>
              </w:rPr>
              <w:t>(1,953,735)</w:t>
            </w:r>
          </w:p>
        </w:tc>
        <w:tc>
          <w:tcPr>
            <w:tcW w:w="12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3"/>
                <w:szCs w:val="13"/>
                <w:color w:val="auto"/>
              </w:rPr>
              <w:t>706,569</w:t>
            </w:r>
          </w:p>
        </w:tc>
        <w:tc>
          <w:tcPr>
            <w:tcW w:w="0" w:type="dxa"/>
            <w:vAlign w:val="bottom"/>
          </w:tcPr>
          <w:p>
            <w:pPr>
              <w:spacing w:after="0"/>
              <w:rPr>
                <w:sz w:val="1"/>
                <w:szCs w:val="1"/>
                <w:color w:val="auto"/>
              </w:rPr>
            </w:pPr>
          </w:p>
        </w:tc>
      </w:tr>
      <w:tr>
        <w:trPr>
          <w:trHeight w:val="177"/>
        </w:trPr>
        <w:tc>
          <w:tcPr>
            <w:tcW w:w="246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7,290</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328,123</w:t>
            </w:r>
          </w:p>
        </w:tc>
        <w:tc>
          <w:tcPr>
            <w:tcW w:w="220" w:type="dxa"/>
            <w:vAlign w:val="bottom"/>
          </w:tcPr>
          <w:p>
            <w:pPr>
              <w:spacing w:after="0"/>
              <w:rPr>
                <w:sz w:val="15"/>
                <w:szCs w:val="15"/>
                <w:color w:val="auto"/>
              </w:rPr>
            </w:pP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335,413</w:t>
            </w:r>
          </w:p>
        </w:tc>
        <w:tc>
          <w:tcPr>
            <w:tcW w:w="0" w:type="dxa"/>
            <w:vAlign w:val="bottom"/>
          </w:tcPr>
          <w:p>
            <w:pPr>
              <w:spacing w:after="0"/>
              <w:rPr>
                <w:sz w:val="1"/>
                <w:szCs w:val="1"/>
                <w:color w:val="auto"/>
              </w:rPr>
            </w:pPr>
          </w:p>
        </w:tc>
      </w:tr>
      <w:tr>
        <w:trPr>
          <w:trHeight w:val="142"/>
        </w:trPr>
        <w:tc>
          <w:tcPr>
            <w:tcW w:w="2460" w:type="dxa"/>
            <w:vAlign w:val="bottom"/>
            <w:shd w:val="clear" w:color="auto" w:fill="F5F5F5"/>
          </w:tcPr>
          <w:p>
            <w:pPr>
              <w:ind w:left="140"/>
              <w:spacing w:after="0" w:line="142" w:lineRule="exact"/>
              <w:rPr>
                <w:sz w:val="20"/>
                <w:szCs w:val="20"/>
                <w:color w:val="auto"/>
              </w:rPr>
            </w:pPr>
            <w:r>
              <w:rPr>
                <w:rFonts w:ascii="Arial" w:cs="Arial" w:eastAsia="Arial" w:hAnsi="Arial"/>
                <w:sz w:val="13"/>
                <w:szCs w:val="13"/>
                <w:color w:val="auto"/>
              </w:rPr>
              <w:t>Share-based compensation</w:t>
            </w:r>
          </w:p>
        </w:tc>
        <w:tc>
          <w:tcPr>
            <w:tcW w:w="1000" w:type="dxa"/>
            <w:vAlign w:val="bottom"/>
            <w:vMerge w:val="restart"/>
            <w:shd w:val="clear" w:color="auto" w:fill="F5F5F5"/>
          </w:tcPr>
          <w:p>
            <w:pPr>
              <w:jc w:val="right"/>
              <w:spacing w:after="0"/>
              <w:rPr>
                <w:sz w:val="20"/>
                <w:szCs w:val="20"/>
                <w:color w:val="auto"/>
              </w:rPr>
            </w:pPr>
            <w:r>
              <w:rPr>
                <w:rFonts w:ascii="Arial" w:cs="Arial" w:eastAsia="Arial" w:hAnsi="Arial"/>
                <w:sz w:val="13"/>
                <w:szCs w:val="13"/>
                <w:color w:val="auto"/>
              </w:rPr>
              <w:t>1,498</w:t>
            </w:r>
          </w:p>
        </w:tc>
        <w:tc>
          <w:tcPr>
            <w:tcW w:w="140" w:type="dxa"/>
            <w:vAlign w:val="bottom"/>
            <w:shd w:val="clear" w:color="auto" w:fill="F5F5F5"/>
          </w:tcPr>
          <w:p>
            <w:pPr>
              <w:spacing w:after="0"/>
              <w:rPr>
                <w:sz w:val="12"/>
                <w:szCs w:val="12"/>
                <w:color w:val="auto"/>
              </w:rPr>
            </w:pPr>
          </w:p>
        </w:tc>
        <w:tc>
          <w:tcPr>
            <w:tcW w:w="560" w:type="dxa"/>
            <w:vAlign w:val="bottom"/>
            <w:vMerge w:val="restart"/>
            <w:shd w:val="clear" w:color="auto" w:fill="F5F5F5"/>
          </w:tcPr>
          <w:p>
            <w:pPr>
              <w:jc w:val="right"/>
              <w:ind w:right="13"/>
              <w:spacing w:after="0"/>
              <w:rPr>
                <w:sz w:val="20"/>
                <w:szCs w:val="20"/>
                <w:color w:val="auto"/>
              </w:rPr>
            </w:pPr>
            <w:r>
              <w:rPr>
                <w:rFonts w:ascii="Arial" w:cs="Arial" w:eastAsia="Arial" w:hAnsi="Arial"/>
                <w:sz w:val="13"/>
                <w:szCs w:val="13"/>
                <w:color w:val="auto"/>
              </w:rPr>
              <w:t>—</w:t>
            </w:r>
          </w:p>
        </w:tc>
        <w:tc>
          <w:tcPr>
            <w:tcW w:w="200" w:type="dxa"/>
            <w:vAlign w:val="bottom"/>
            <w:shd w:val="clear" w:color="auto" w:fill="F5F5F5"/>
          </w:tcPr>
          <w:p>
            <w:pPr>
              <w:spacing w:after="0"/>
              <w:rPr>
                <w:sz w:val="12"/>
                <w:szCs w:val="12"/>
                <w:color w:val="auto"/>
              </w:rPr>
            </w:pPr>
          </w:p>
        </w:tc>
        <w:tc>
          <w:tcPr>
            <w:tcW w:w="820" w:type="dxa"/>
            <w:vAlign w:val="bottom"/>
            <w:vMerge w:val="restart"/>
            <w:shd w:val="clear" w:color="auto" w:fill="F5F5F5"/>
          </w:tcPr>
          <w:p>
            <w:pPr>
              <w:jc w:val="right"/>
              <w:spacing w:after="0"/>
              <w:rPr>
                <w:sz w:val="20"/>
                <w:szCs w:val="20"/>
                <w:color w:val="auto"/>
              </w:rPr>
            </w:pPr>
            <w:r>
              <w:rPr>
                <w:rFonts w:ascii="Arial" w:cs="Arial" w:eastAsia="Arial" w:hAnsi="Arial"/>
                <w:sz w:val="13"/>
                <w:szCs w:val="13"/>
                <w:color w:val="auto"/>
              </w:rPr>
              <w:t>(34,768)</w:t>
            </w:r>
          </w:p>
        </w:tc>
        <w:tc>
          <w:tcPr>
            <w:tcW w:w="200" w:type="dxa"/>
            <w:vAlign w:val="bottom"/>
            <w:shd w:val="clear" w:color="auto" w:fill="F5F5F5"/>
          </w:tcPr>
          <w:p>
            <w:pPr>
              <w:spacing w:after="0"/>
              <w:rPr>
                <w:sz w:val="12"/>
                <w:szCs w:val="12"/>
                <w:color w:val="auto"/>
              </w:rPr>
            </w:pPr>
          </w:p>
        </w:tc>
        <w:tc>
          <w:tcPr>
            <w:tcW w:w="840" w:type="dxa"/>
            <w:vAlign w:val="bottom"/>
            <w:vMerge w:val="restart"/>
            <w:shd w:val="clear" w:color="auto" w:fill="F5F5F5"/>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F5F5F5"/>
          </w:tcPr>
          <w:p>
            <w:pPr>
              <w:spacing w:after="0"/>
              <w:rPr>
                <w:sz w:val="12"/>
                <w:szCs w:val="12"/>
                <w:color w:val="auto"/>
              </w:rPr>
            </w:pPr>
          </w:p>
        </w:tc>
        <w:tc>
          <w:tcPr>
            <w:tcW w:w="860" w:type="dxa"/>
            <w:vAlign w:val="bottom"/>
            <w:vMerge w:val="restart"/>
            <w:shd w:val="clear" w:color="auto" w:fill="F5F5F5"/>
          </w:tcPr>
          <w:p>
            <w:pPr>
              <w:jc w:val="right"/>
              <w:spacing w:after="0"/>
              <w:rPr>
                <w:sz w:val="20"/>
                <w:szCs w:val="20"/>
                <w:color w:val="auto"/>
              </w:rPr>
            </w:pPr>
            <w:r>
              <w:rPr>
                <w:rFonts w:ascii="Arial" w:cs="Arial" w:eastAsia="Arial" w:hAnsi="Arial"/>
                <w:sz w:val="13"/>
                <w:szCs w:val="13"/>
                <w:color w:val="auto"/>
              </w:rPr>
              <w:t>(53,309)</w:t>
            </w:r>
          </w:p>
        </w:tc>
        <w:tc>
          <w:tcPr>
            <w:tcW w:w="220" w:type="dxa"/>
            <w:vAlign w:val="bottom"/>
            <w:shd w:val="clear" w:color="auto" w:fill="F5F5F5"/>
          </w:tcPr>
          <w:p>
            <w:pPr>
              <w:spacing w:after="0"/>
              <w:rPr>
                <w:sz w:val="12"/>
                <w:szCs w:val="12"/>
                <w:color w:val="auto"/>
              </w:rPr>
            </w:pPr>
          </w:p>
        </w:tc>
        <w:tc>
          <w:tcPr>
            <w:tcW w:w="840" w:type="dxa"/>
            <w:vAlign w:val="bottom"/>
            <w:vMerge w:val="restart"/>
            <w:shd w:val="clear" w:color="auto" w:fill="F5F5F5"/>
          </w:tcPr>
          <w:p>
            <w:pPr>
              <w:jc w:val="right"/>
              <w:ind w:right="13"/>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F5F5F5"/>
          </w:tcPr>
          <w:p>
            <w:pPr>
              <w:jc w:val="right"/>
              <w:spacing w:after="0"/>
              <w:rPr>
                <w:sz w:val="20"/>
                <w:szCs w:val="20"/>
                <w:color w:val="auto"/>
              </w:rPr>
            </w:pPr>
            <w:r>
              <w:rPr>
                <w:rFonts w:ascii="Arial" w:cs="Arial" w:eastAsia="Arial" w:hAnsi="Arial"/>
                <w:sz w:val="13"/>
                <w:szCs w:val="13"/>
                <w:color w:val="auto"/>
              </w:rPr>
              <w:t>(1,498)</w:t>
            </w:r>
          </w:p>
        </w:tc>
        <w:tc>
          <w:tcPr>
            <w:tcW w:w="160" w:type="dxa"/>
            <w:vAlign w:val="bottom"/>
            <w:shd w:val="clear" w:color="auto" w:fill="F5F5F5"/>
          </w:tcPr>
          <w:p>
            <w:pPr>
              <w:spacing w:after="0"/>
              <w:rPr>
                <w:sz w:val="12"/>
                <w:szCs w:val="12"/>
                <w:color w:val="auto"/>
              </w:rPr>
            </w:pPr>
          </w:p>
        </w:tc>
        <w:tc>
          <w:tcPr>
            <w:tcW w:w="900" w:type="dxa"/>
            <w:vAlign w:val="bottom"/>
            <w:vMerge w:val="restart"/>
            <w:shd w:val="clear" w:color="auto" w:fill="F5F5F5"/>
          </w:tcPr>
          <w:p>
            <w:pPr>
              <w:jc w:val="right"/>
              <w:ind w:right="13"/>
              <w:spacing w:after="0"/>
              <w:rPr>
                <w:sz w:val="20"/>
                <w:szCs w:val="20"/>
                <w:color w:val="auto"/>
              </w:rPr>
            </w:pPr>
            <w:r>
              <w:rPr>
                <w:rFonts w:ascii="Arial" w:cs="Arial" w:eastAsia="Arial" w:hAnsi="Arial"/>
                <w:sz w:val="13"/>
                <w:szCs w:val="13"/>
                <w:color w:val="auto"/>
              </w:rPr>
              <w:t>58,592</w:t>
            </w:r>
          </w:p>
        </w:tc>
        <w:tc>
          <w:tcPr>
            <w:tcW w:w="120" w:type="dxa"/>
            <w:vAlign w:val="bottom"/>
            <w:shd w:val="clear" w:color="auto" w:fill="F5F5F5"/>
          </w:tcPr>
          <w:p>
            <w:pPr>
              <w:spacing w:after="0"/>
              <w:rPr>
                <w:sz w:val="12"/>
                <w:szCs w:val="12"/>
                <w:color w:val="auto"/>
              </w:rPr>
            </w:pPr>
          </w:p>
        </w:tc>
        <w:tc>
          <w:tcPr>
            <w:tcW w:w="980" w:type="dxa"/>
            <w:vAlign w:val="bottom"/>
            <w:vMerge w:val="restart"/>
            <w:shd w:val="clear" w:color="auto" w:fill="F5F5F5"/>
          </w:tcPr>
          <w:p>
            <w:pPr>
              <w:jc w:val="right"/>
              <w:spacing w:after="0"/>
              <w:rPr>
                <w:sz w:val="20"/>
                <w:szCs w:val="20"/>
                <w:color w:val="auto"/>
              </w:rPr>
            </w:pPr>
            <w:r>
              <w:rPr>
                <w:rFonts w:ascii="Arial" w:cs="Arial" w:eastAsia="Arial" w:hAnsi="Arial"/>
                <w:sz w:val="13"/>
                <w:szCs w:val="13"/>
                <w:color w:val="auto"/>
              </w:rPr>
              <w:t>(29,485)</w:t>
            </w:r>
          </w:p>
        </w:tc>
        <w:tc>
          <w:tcPr>
            <w:tcW w:w="0" w:type="dxa"/>
            <w:vAlign w:val="bottom"/>
          </w:tcPr>
          <w:p>
            <w:pPr>
              <w:spacing w:after="0"/>
              <w:rPr>
                <w:sz w:val="1"/>
                <w:szCs w:val="1"/>
                <w:color w:val="auto"/>
              </w:rPr>
            </w:pPr>
          </w:p>
        </w:tc>
      </w:tr>
      <w:tr>
        <w:trPr>
          <w:trHeight w:val="188"/>
        </w:trPr>
        <w:tc>
          <w:tcPr>
            <w:tcW w:w="2460" w:type="dxa"/>
            <w:vAlign w:val="bottom"/>
            <w:shd w:val="clear" w:color="auto" w:fill="F5F5F5"/>
          </w:tcPr>
          <w:p>
            <w:pPr>
              <w:ind w:left="140"/>
              <w:spacing w:after="0"/>
              <w:rPr>
                <w:sz w:val="20"/>
                <w:szCs w:val="20"/>
                <w:color w:val="auto"/>
              </w:rPr>
            </w:pPr>
            <w:r>
              <w:rPr>
                <w:rFonts w:ascii="Arial" w:cs="Arial" w:eastAsia="Arial" w:hAnsi="Arial"/>
                <w:sz w:val="13"/>
                <w:szCs w:val="13"/>
                <w:color w:val="auto"/>
              </w:rPr>
              <w:t>issuances and exercises</w:t>
            </w:r>
          </w:p>
        </w:tc>
        <w:tc>
          <w:tcPr>
            <w:tcW w:w="1000" w:type="dxa"/>
            <w:vAlign w:val="bottom"/>
            <w:vMerge w:val="continue"/>
            <w:shd w:val="clear" w:color="auto" w:fill="F5F5F5"/>
          </w:tcPr>
          <w:p>
            <w:pPr>
              <w:spacing w:after="0"/>
              <w:rPr>
                <w:sz w:val="16"/>
                <w:szCs w:val="16"/>
                <w:color w:val="auto"/>
              </w:rPr>
            </w:pPr>
          </w:p>
        </w:tc>
        <w:tc>
          <w:tcPr>
            <w:tcW w:w="140" w:type="dxa"/>
            <w:vAlign w:val="bottom"/>
            <w:shd w:val="clear" w:color="auto" w:fill="F5F5F5"/>
          </w:tcPr>
          <w:p>
            <w:pPr>
              <w:spacing w:after="0"/>
              <w:rPr>
                <w:sz w:val="16"/>
                <w:szCs w:val="16"/>
                <w:color w:val="auto"/>
              </w:rPr>
            </w:pPr>
          </w:p>
        </w:tc>
        <w:tc>
          <w:tcPr>
            <w:tcW w:w="560" w:type="dxa"/>
            <w:vAlign w:val="bottom"/>
            <w:vMerge w:val="continue"/>
            <w:shd w:val="clear" w:color="auto" w:fill="F5F5F5"/>
          </w:tcPr>
          <w:p>
            <w:pPr>
              <w:spacing w:after="0"/>
              <w:rPr>
                <w:sz w:val="16"/>
                <w:szCs w:val="16"/>
                <w:color w:val="auto"/>
              </w:rPr>
            </w:pPr>
          </w:p>
        </w:tc>
        <w:tc>
          <w:tcPr>
            <w:tcW w:w="200" w:type="dxa"/>
            <w:vAlign w:val="bottom"/>
            <w:shd w:val="clear" w:color="auto" w:fill="F5F5F5"/>
          </w:tcPr>
          <w:p>
            <w:pPr>
              <w:spacing w:after="0"/>
              <w:rPr>
                <w:sz w:val="16"/>
                <w:szCs w:val="16"/>
                <w:color w:val="auto"/>
              </w:rPr>
            </w:pPr>
          </w:p>
        </w:tc>
        <w:tc>
          <w:tcPr>
            <w:tcW w:w="820" w:type="dxa"/>
            <w:vAlign w:val="bottom"/>
            <w:vMerge w:val="continue"/>
            <w:shd w:val="clear" w:color="auto" w:fill="F5F5F5"/>
          </w:tcPr>
          <w:p>
            <w:pPr>
              <w:spacing w:after="0"/>
              <w:rPr>
                <w:sz w:val="16"/>
                <w:szCs w:val="16"/>
                <w:color w:val="auto"/>
              </w:rPr>
            </w:pPr>
          </w:p>
        </w:tc>
        <w:tc>
          <w:tcPr>
            <w:tcW w:w="200" w:type="dxa"/>
            <w:vAlign w:val="bottom"/>
            <w:shd w:val="clear" w:color="auto" w:fill="F5F5F5"/>
          </w:tcPr>
          <w:p>
            <w:pPr>
              <w:spacing w:after="0"/>
              <w:rPr>
                <w:sz w:val="16"/>
                <w:szCs w:val="16"/>
                <w:color w:val="auto"/>
              </w:rPr>
            </w:pPr>
          </w:p>
        </w:tc>
        <w:tc>
          <w:tcPr>
            <w:tcW w:w="840" w:type="dxa"/>
            <w:vAlign w:val="bottom"/>
            <w:vMerge w:val="continue"/>
            <w:shd w:val="clear" w:color="auto" w:fill="F5F5F5"/>
          </w:tcPr>
          <w:p>
            <w:pPr>
              <w:spacing w:after="0"/>
              <w:rPr>
                <w:sz w:val="16"/>
                <w:szCs w:val="16"/>
                <w:color w:val="auto"/>
              </w:rPr>
            </w:pPr>
          </w:p>
        </w:tc>
        <w:tc>
          <w:tcPr>
            <w:tcW w:w="180" w:type="dxa"/>
            <w:vAlign w:val="bottom"/>
            <w:shd w:val="clear" w:color="auto" w:fill="F5F5F5"/>
          </w:tcPr>
          <w:p>
            <w:pPr>
              <w:spacing w:after="0"/>
              <w:rPr>
                <w:sz w:val="16"/>
                <w:szCs w:val="16"/>
                <w:color w:val="auto"/>
              </w:rPr>
            </w:pPr>
          </w:p>
        </w:tc>
        <w:tc>
          <w:tcPr>
            <w:tcW w:w="860" w:type="dxa"/>
            <w:vAlign w:val="bottom"/>
            <w:vMerge w:val="continue"/>
            <w:shd w:val="clear" w:color="auto" w:fill="F5F5F5"/>
          </w:tcPr>
          <w:p>
            <w:pPr>
              <w:spacing w:after="0"/>
              <w:rPr>
                <w:sz w:val="16"/>
                <w:szCs w:val="16"/>
                <w:color w:val="auto"/>
              </w:rPr>
            </w:pPr>
          </w:p>
        </w:tc>
        <w:tc>
          <w:tcPr>
            <w:tcW w:w="220" w:type="dxa"/>
            <w:vAlign w:val="bottom"/>
            <w:shd w:val="clear" w:color="auto" w:fill="F5F5F5"/>
          </w:tcPr>
          <w:p>
            <w:pPr>
              <w:spacing w:after="0"/>
              <w:rPr>
                <w:sz w:val="16"/>
                <w:szCs w:val="16"/>
                <w:color w:val="auto"/>
              </w:rPr>
            </w:pPr>
          </w:p>
        </w:tc>
        <w:tc>
          <w:tcPr>
            <w:tcW w:w="840" w:type="dxa"/>
            <w:vAlign w:val="bottom"/>
            <w:vMerge w:val="continue"/>
            <w:shd w:val="clear" w:color="auto" w:fill="F5F5F5"/>
          </w:tcPr>
          <w:p>
            <w:pPr>
              <w:spacing w:after="0"/>
              <w:rPr>
                <w:sz w:val="16"/>
                <w:szCs w:val="16"/>
                <w:color w:val="auto"/>
              </w:rPr>
            </w:pPr>
          </w:p>
        </w:tc>
        <w:tc>
          <w:tcPr>
            <w:tcW w:w="760" w:type="dxa"/>
            <w:vAlign w:val="bottom"/>
            <w:vMerge w:val="continue"/>
            <w:shd w:val="clear" w:color="auto" w:fill="F5F5F5"/>
          </w:tcPr>
          <w:p>
            <w:pPr>
              <w:spacing w:after="0"/>
              <w:rPr>
                <w:sz w:val="16"/>
                <w:szCs w:val="16"/>
                <w:color w:val="auto"/>
              </w:rPr>
            </w:pPr>
          </w:p>
        </w:tc>
        <w:tc>
          <w:tcPr>
            <w:tcW w:w="160" w:type="dxa"/>
            <w:vAlign w:val="bottom"/>
            <w:shd w:val="clear" w:color="auto" w:fill="F5F5F5"/>
          </w:tcPr>
          <w:p>
            <w:pPr>
              <w:spacing w:after="0"/>
              <w:rPr>
                <w:sz w:val="16"/>
                <w:szCs w:val="16"/>
                <w:color w:val="auto"/>
              </w:rPr>
            </w:pPr>
          </w:p>
        </w:tc>
        <w:tc>
          <w:tcPr>
            <w:tcW w:w="900" w:type="dxa"/>
            <w:vAlign w:val="bottom"/>
            <w:vMerge w:val="continue"/>
            <w:shd w:val="clear" w:color="auto" w:fill="F5F5F5"/>
          </w:tcPr>
          <w:p>
            <w:pPr>
              <w:spacing w:after="0"/>
              <w:rPr>
                <w:sz w:val="16"/>
                <w:szCs w:val="16"/>
                <w:color w:val="auto"/>
              </w:rPr>
            </w:pPr>
          </w:p>
        </w:tc>
        <w:tc>
          <w:tcPr>
            <w:tcW w:w="120" w:type="dxa"/>
            <w:vAlign w:val="bottom"/>
            <w:shd w:val="clear" w:color="auto" w:fill="F5F5F5"/>
          </w:tcPr>
          <w:p>
            <w:pPr>
              <w:spacing w:after="0"/>
              <w:rPr>
                <w:sz w:val="16"/>
                <w:szCs w:val="16"/>
                <w:color w:val="auto"/>
              </w:rPr>
            </w:pPr>
          </w:p>
        </w:tc>
        <w:tc>
          <w:tcPr>
            <w:tcW w:w="980" w:type="dxa"/>
            <w:vAlign w:val="bottom"/>
            <w:vMerge w:val="continue"/>
            <w:shd w:val="clear" w:color="auto" w:fill="F5F5F5"/>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460" w:type="dxa"/>
            <w:vAlign w:val="bottom"/>
          </w:tcPr>
          <w:p>
            <w:pPr>
              <w:ind w:left="140"/>
              <w:spacing w:after="0"/>
              <w:rPr>
                <w:sz w:val="20"/>
                <w:szCs w:val="20"/>
                <w:color w:val="auto"/>
              </w:rPr>
            </w:pPr>
            <w:r>
              <w:rPr>
                <w:rFonts w:ascii="Arial" w:cs="Arial" w:eastAsia="Arial" w:hAnsi="Arial"/>
                <w:sz w:val="13"/>
                <w:szCs w:val="13"/>
                <w:color w:val="auto"/>
              </w:rPr>
              <w:t>Share-based compensation expense</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40,122</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40,122</w:t>
            </w:r>
          </w:p>
        </w:tc>
        <w:tc>
          <w:tcPr>
            <w:tcW w:w="0" w:type="dxa"/>
            <w:vAlign w:val="bottom"/>
          </w:tcPr>
          <w:p>
            <w:pPr>
              <w:spacing w:after="0"/>
              <w:rPr>
                <w:sz w:val="1"/>
                <w:szCs w:val="1"/>
                <w:color w:val="auto"/>
              </w:rPr>
            </w:pPr>
          </w:p>
        </w:tc>
      </w:tr>
      <w:tr>
        <w:trPr>
          <w:trHeight w:val="142"/>
        </w:trPr>
        <w:tc>
          <w:tcPr>
            <w:tcW w:w="2460" w:type="dxa"/>
            <w:vAlign w:val="bottom"/>
            <w:shd w:val="clear" w:color="auto" w:fill="F5F5F5"/>
          </w:tcPr>
          <w:p>
            <w:pPr>
              <w:ind w:left="140"/>
              <w:spacing w:after="0" w:line="142" w:lineRule="exact"/>
              <w:rPr>
                <w:sz w:val="20"/>
                <w:szCs w:val="20"/>
                <w:color w:val="auto"/>
              </w:rPr>
            </w:pPr>
            <w:r>
              <w:rPr>
                <w:rFonts w:ascii="Arial" w:cs="Arial" w:eastAsia="Arial" w:hAnsi="Arial"/>
                <w:sz w:val="13"/>
                <w:szCs w:val="13"/>
                <w:color w:val="auto"/>
              </w:rPr>
              <w:t>Derivative financial instruments, net of</w:t>
            </w:r>
          </w:p>
        </w:tc>
        <w:tc>
          <w:tcPr>
            <w:tcW w:w="1000" w:type="dxa"/>
            <w:vAlign w:val="bottom"/>
            <w:vMerge w:val="restart"/>
            <w:shd w:val="clear" w:color="auto" w:fill="F5F5F5"/>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F5F5F5"/>
          </w:tcPr>
          <w:p>
            <w:pPr>
              <w:spacing w:after="0"/>
              <w:rPr>
                <w:sz w:val="12"/>
                <w:szCs w:val="12"/>
                <w:color w:val="auto"/>
              </w:rPr>
            </w:pPr>
          </w:p>
        </w:tc>
        <w:tc>
          <w:tcPr>
            <w:tcW w:w="560" w:type="dxa"/>
            <w:vAlign w:val="bottom"/>
            <w:vMerge w:val="restart"/>
            <w:shd w:val="clear" w:color="auto" w:fill="F5F5F5"/>
          </w:tcPr>
          <w:p>
            <w:pPr>
              <w:jc w:val="right"/>
              <w:ind w:right="13"/>
              <w:spacing w:after="0"/>
              <w:rPr>
                <w:sz w:val="20"/>
                <w:szCs w:val="20"/>
                <w:color w:val="auto"/>
              </w:rPr>
            </w:pPr>
            <w:r>
              <w:rPr>
                <w:rFonts w:ascii="Arial" w:cs="Arial" w:eastAsia="Arial" w:hAnsi="Arial"/>
                <w:sz w:val="13"/>
                <w:szCs w:val="13"/>
                <w:color w:val="auto"/>
              </w:rPr>
              <w:t>—</w:t>
            </w:r>
          </w:p>
        </w:tc>
        <w:tc>
          <w:tcPr>
            <w:tcW w:w="200" w:type="dxa"/>
            <w:vAlign w:val="bottom"/>
            <w:shd w:val="clear" w:color="auto" w:fill="F5F5F5"/>
          </w:tcPr>
          <w:p>
            <w:pPr>
              <w:spacing w:after="0"/>
              <w:rPr>
                <w:sz w:val="12"/>
                <w:szCs w:val="12"/>
                <w:color w:val="auto"/>
              </w:rPr>
            </w:pPr>
          </w:p>
        </w:tc>
        <w:tc>
          <w:tcPr>
            <w:tcW w:w="820" w:type="dxa"/>
            <w:vAlign w:val="bottom"/>
            <w:vMerge w:val="restart"/>
            <w:shd w:val="clear" w:color="auto" w:fill="F5F5F5"/>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F5F5F5"/>
          </w:tcPr>
          <w:p>
            <w:pPr>
              <w:spacing w:after="0"/>
              <w:rPr>
                <w:sz w:val="12"/>
                <w:szCs w:val="12"/>
                <w:color w:val="auto"/>
              </w:rPr>
            </w:pPr>
          </w:p>
        </w:tc>
        <w:tc>
          <w:tcPr>
            <w:tcW w:w="840" w:type="dxa"/>
            <w:vAlign w:val="bottom"/>
            <w:vMerge w:val="restart"/>
            <w:shd w:val="clear" w:color="auto" w:fill="F5F5F5"/>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F5F5F5"/>
          </w:tcPr>
          <w:p>
            <w:pPr>
              <w:spacing w:after="0"/>
              <w:rPr>
                <w:sz w:val="12"/>
                <w:szCs w:val="12"/>
                <w:color w:val="auto"/>
              </w:rPr>
            </w:pPr>
          </w:p>
        </w:tc>
        <w:tc>
          <w:tcPr>
            <w:tcW w:w="860" w:type="dxa"/>
            <w:vAlign w:val="bottom"/>
            <w:vMerge w:val="restart"/>
            <w:shd w:val="clear" w:color="auto" w:fill="F5F5F5"/>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F5F5F5"/>
          </w:tcPr>
          <w:p>
            <w:pPr>
              <w:spacing w:after="0"/>
              <w:rPr>
                <w:sz w:val="12"/>
                <w:szCs w:val="12"/>
                <w:color w:val="auto"/>
              </w:rPr>
            </w:pPr>
          </w:p>
        </w:tc>
        <w:tc>
          <w:tcPr>
            <w:tcW w:w="840" w:type="dxa"/>
            <w:vAlign w:val="bottom"/>
            <w:vMerge w:val="restart"/>
            <w:shd w:val="clear" w:color="auto" w:fill="F5F5F5"/>
          </w:tcPr>
          <w:p>
            <w:pPr>
              <w:jc w:val="right"/>
              <w:ind w:right="13"/>
              <w:spacing w:after="0"/>
              <w:rPr>
                <w:sz w:val="20"/>
                <w:szCs w:val="20"/>
                <w:color w:val="auto"/>
              </w:rPr>
            </w:pPr>
            <w:r>
              <w:rPr>
                <w:rFonts w:ascii="Arial" w:cs="Arial" w:eastAsia="Arial" w:hAnsi="Arial"/>
                <w:sz w:val="13"/>
                <w:szCs w:val="13"/>
                <w:color w:val="auto"/>
              </w:rPr>
              <w:t>5,438</w:t>
            </w:r>
          </w:p>
        </w:tc>
        <w:tc>
          <w:tcPr>
            <w:tcW w:w="760" w:type="dxa"/>
            <w:vAlign w:val="bottom"/>
            <w:vMerge w:val="restart"/>
            <w:shd w:val="clear" w:color="auto" w:fill="F5F5F5"/>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F5F5F5"/>
          </w:tcPr>
          <w:p>
            <w:pPr>
              <w:spacing w:after="0"/>
              <w:rPr>
                <w:sz w:val="12"/>
                <w:szCs w:val="12"/>
                <w:color w:val="auto"/>
              </w:rPr>
            </w:pPr>
          </w:p>
        </w:tc>
        <w:tc>
          <w:tcPr>
            <w:tcW w:w="900" w:type="dxa"/>
            <w:vAlign w:val="bottom"/>
            <w:vMerge w:val="restart"/>
            <w:shd w:val="clear" w:color="auto" w:fill="F5F5F5"/>
          </w:tcPr>
          <w:p>
            <w:pPr>
              <w:jc w:val="right"/>
              <w:ind w:right="13"/>
              <w:spacing w:after="0"/>
              <w:rPr>
                <w:sz w:val="20"/>
                <w:szCs w:val="20"/>
                <w:color w:val="auto"/>
              </w:rPr>
            </w:pPr>
            <w:r>
              <w:rPr>
                <w:rFonts w:ascii="Arial" w:cs="Arial" w:eastAsia="Arial" w:hAnsi="Arial"/>
                <w:sz w:val="13"/>
                <w:szCs w:val="13"/>
                <w:color w:val="auto"/>
              </w:rPr>
              <w:t>—</w:t>
            </w:r>
          </w:p>
        </w:tc>
        <w:tc>
          <w:tcPr>
            <w:tcW w:w="120" w:type="dxa"/>
            <w:vAlign w:val="bottom"/>
            <w:shd w:val="clear" w:color="auto" w:fill="F5F5F5"/>
          </w:tcPr>
          <w:p>
            <w:pPr>
              <w:spacing w:after="0"/>
              <w:rPr>
                <w:sz w:val="12"/>
                <w:szCs w:val="12"/>
                <w:color w:val="auto"/>
              </w:rPr>
            </w:pPr>
          </w:p>
        </w:tc>
        <w:tc>
          <w:tcPr>
            <w:tcW w:w="980" w:type="dxa"/>
            <w:vAlign w:val="bottom"/>
            <w:vMerge w:val="restart"/>
            <w:shd w:val="clear" w:color="auto" w:fill="F5F5F5"/>
          </w:tcPr>
          <w:p>
            <w:pPr>
              <w:jc w:val="right"/>
              <w:spacing w:after="0"/>
              <w:rPr>
                <w:sz w:val="20"/>
                <w:szCs w:val="20"/>
                <w:color w:val="auto"/>
              </w:rPr>
            </w:pPr>
            <w:r>
              <w:rPr>
                <w:rFonts w:ascii="Arial" w:cs="Arial" w:eastAsia="Arial" w:hAnsi="Arial"/>
                <w:sz w:val="13"/>
                <w:szCs w:val="13"/>
                <w:color w:val="auto"/>
              </w:rPr>
              <w:t>5,438</w:t>
            </w:r>
          </w:p>
        </w:tc>
        <w:tc>
          <w:tcPr>
            <w:tcW w:w="0" w:type="dxa"/>
            <w:vAlign w:val="bottom"/>
          </w:tcPr>
          <w:p>
            <w:pPr>
              <w:spacing w:after="0"/>
              <w:rPr>
                <w:sz w:val="1"/>
                <w:szCs w:val="1"/>
                <w:color w:val="auto"/>
              </w:rPr>
            </w:pPr>
          </w:p>
        </w:tc>
      </w:tr>
      <w:tr>
        <w:trPr>
          <w:trHeight w:val="188"/>
        </w:trPr>
        <w:tc>
          <w:tcPr>
            <w:tcW w:w="2460" w:type="dxa"/>
            <w:vAlign w:val="bottom"/>
            <w:shd w:val="clear" w:color="auto" w:fill="F5F5F5"/>
          </w:tcPr>
          <w:p>
            <w:pPr>
              <w:ind w:left="140"/>
              <w:spacing w:after="0"/>
              <w:rPr>
                <w:sz w:val="20"/>
                <w:szCs w:val="20"/>
                <w:color w:val="auto"/>
              </w:rPr>
            </w:pPr>
            <w:r>
              <w:rPr>
                <w:rFonts w:ascii="Arial" w:cs="Arial" w:eastAsia="Arial" w:hAnsi="Arial"/>
                <w:sz w:val="13"/>
                <w:szCs w:val="13"/>
                <w:color w:val="auto"/>
              </w:rPr>
              <w:t>tax</w:t>
            </w:r>
          </w:p>
        </w:tc>
        <w:tc>
          <w:tcPr>
            <w:tcW w:w="1000" w:type="dxa"/>
            <w:vAlign w:val="bottom"/>
            <w:vMerge w:val="continue"/>
            <w:shd w:val="clear" w:color="auto" w:fill="F5F5F5"/>
          </w:tcPr>
          <w:p>
            <w:pPr>
              <w:spacing w:after="0"/>
              <w:rPr>
                <w:sz w:val="16"/>
                <w:szCs w:val="16"/>
                <w:color w:val="auto"/>
              </w:rPr>
            </w:pPr>
          </w:p>
        </w:tc>
        <w:tc>
          <w:tcPr>
            <w:tcW w:w="140" w:type="dxa"/>
            <w:vAlign w:val="bottom"/>
            <w:shd w:val="clear" w:color="auto" w:fill="F5F5F5"/>
          </w:tcPr>
          <w:p>
            <w:pPr>
              <w:spacing w:after="0"/>
              <w:rPr>
                <w:sz w:val="16"/>
                <w:szCs w:val="16"/>
                <w:color w:val="auto"/>
              </w:rPr>
            </w:pPr>
          </w:p>
        </w:tc>
        <w:tc>
          <w:tcPr>
            <w:tcW w:w="560" w:type="dxa"/>
            <w:vAlign w:val="bottom"/>
            <w:vMerge w:val="continue"/>
            <w:shd w:val="clear" w:color="auto" w:fill="F5F5F5"/>
          </w:tcPr>
          <w:p>
            <w:pPr>
              <w:spacing w:after="0"/>
              <w:rPr>
                <w:sz w:val="16"/>
                <w:szCs w:val="16"/>
                <w:color w:val="auto"/>
              </w:rPr>
            </w:pPr>
          </w:p>
        </w:tc>
        <w:tc>
          <w:tcPr>
            <w:tcW w:w="200" w:type="dxa"/>
            <w:vAlign w:val="bottom"/>
            <w:shd w:val="clear" w:color="auto" w:fill="F5F5F5"/>
          </w:tcPr>
          <w:p>
            <w:pPr>
              <w:spacing w:after="0"/>
              <w:rPr>
                <w:sz w:val="16"/>
                <w:szCs w:val="16"/>
                <w:color w:val="auto"/>
              </w:rPr>
            </w:pPr>
          </w:p>
        </w:tc>
        <w:tc>
          <w:tcPr>
            <w:tcW w:w="820" w:type="dxa"/>
            <w:vAlign w:val="bottom"/>
            <w:vMerge w:val="continue"/>
            <w:shd w:val="clear" w:color="auto" w:fill="F5F5F5"/>
          </w:tcPr>
          <w:p>
            <w:pPr>
              <w:spacing w:after="0"/>
              <w:rPr>
                <w:sz w:val="16"/>
                <w:szCs w:val="16"/>
                <w:color w:val="auto"/>
              </w:rPr>
            </w:pPr>
          </w:p>
        </w:tc>
        <w:tc>
          <w:tcPr>
            <w:tcW w:w="200" w:type="dxa"/>
            <w:vAlign w:val="bottom"/>
            <w:shd w:val="clear" w:color="auto" w:fill="F5F5F5"/>
          </w:tcPr>
          <w:p>
            <w:pPr>
              <w:spacing w:after="0"/>
              <w:rPr>
                <w:sz w:val="16"/>
                <w:szCs w:val="16"/>
                <w:color w:val="auto"/>
              </w:rPr>
            </w:pPr>
          </w:p>
        </w:tc>
        <w:tc>
          <w:tcPr>
            <w:tcW w:w="840" w:type="dxa"/>
            <w:vAlign w:val="bottom"/>
            <w:vMerge w:val="continue"/>
            <w:shd w:val="clear" w:color="auto" w:fill="F5F5F5"/>
          </w:tcPr>
          <w:p>
            <w:pPr>
              <w:spacing w:after="0"/>
              <w:rPr>
                <w:sz w:val="16"/>
                <w:szCs w:val="16"/>
                <w:color w:val="auto"/>
              </w:rPr>
            </w:pPr>
          </w:p>
        </w:tc>
        <w:tc>
          <w:tcPr>
            <w:tcW w:w="180" w:type="dxa"/>
            <w:vAlign w:val="bottom"/>
            <w:shd w:val="clear" w:color="auto" w:fill="F5F5F5"/>
          </w:tcPr>
          <w:p>
            <w:pPr>
              <w:spacing w:after="0"/>
              <w:rPr>
                <w:sz w:val="16"/>
                <w:szCs w:val="16"/>
                <w:color w:val="auto"/>
              </w:rPr>
            </w:pPr>
          </w:p>
        </w:tc>
        <w:tc>
          <w:tcPr>
            <w:tcW w:w="860" w:type="dxa"/>
            <w:vAlign w:val="bottom"/>
            <w:vMerge w:val="continue"/>
            <w:shd w:val="clear" w:color="auto" w:fill="F5F5F5"/>
          </w:tcPr>
          <w:p>
            <w:pPr>
              <w:spacing w:after="0"/>
              <w:rPr>
                <w:sz w:val="16"/>
                <w:szCs w:val="16"/>
                <w:color w:val="auto"/>
              </w:rPr>
            </w:pPr>
          </w:p>
        </w:tc>
        <w:tc>
          <w:tcPr>
            <w:tcW w:w="220" w:type="dxa"/>
            <w:vAlign w:val="bottom"/>
            <w:shd w:val="clear" w:color="auto" w:fill="F5F5F5"/>
          </w:tcPr>
          <w:p>
            <w:pPr>
              <w:spacing w:after="0"/>
              <w:rPr>
                <w:sz w:val="16"/>
                <w:szCs w:val="16"/>
                <w:color w:val="auto"/>
              </w:rPr>
            </w:pPr>
          </w:p>
        </w:tc>
        <w:tc>
          <w:tcPr>
            <w:tcW w:w="840" w:type="dxa"/>
            <w:vAlign w:val="bottom"/>
            <w:vMerge w:val="continue"/>
            <w:shd w:val="clear" w:color="auto" w:fill="F5F5F5"/>
          </w:tcPr>
          <w:p>
            <w:pPr>
              <w:spacing w:after="0"/>
              <w:rPr>
                <w:sz w:val="16"/>
                <w:szCs w:val="16"/>
                <w:color w:val="auto"/>
              </w:rPr>
            </w:pPr>
          </w:p>
        </w:tc>
        <w:tc>
          <w:tcPr>
            <w:tcW w:w="760" w:type="dxa"/>
            <w:vAlign w:val="bottom"/>
            <w:vMerge w:val="continue"/>
            <w:shd w:val="clear" w:color="auto" w:fill="F5F5F5"/>
          </w:tcPr>
          <w:p>
            <w:pPr>
              <w:spacing w:after="0"/>
              <w:rPr>
                <w:sz w:val="16"/>
                <w:szCs w:val="16"/>
                <w:color w:val="auto"/>
              </w:rPr>
            </w:pPr>
          </w:p>
        </w:tc>
        <w:tc>
          <w:tcPr>
            <w:tcW w:w="160" w:type="dxa"/>
            <w:vAlign w:val="bottom"/>
            <w:shd w:val="clear" w:color="auto" w:fill="F5F5F5"/>
          </w:tcPr>
          <w:p>
            <w:pPr>
              <w:spacing w:after="0"/>
              <w:rPr>
                <w:sz w:val="16"/>
                <w:szCs w:val="16"/>
                <w:color w:val="auto"/>
              </w:rPr>
            </w:pPr>
          </w:p>
        </w:tc>
        <w:tc>
          <w:tcPr>
            <w:tcW w:w="900" w:type="dxa"/>
            <w:vAlign w:val="bottom"/>
            <w:vMerge w:val="continue"/>
            <w:shd w:val="clear" w:color="auto" w:fill="F5F5F5"/>
          </w:tcPr>
          <w:p>
            <w:pPr>
              <w:spacing w:after="0"/>
              <w:rPr>
                <w:sz w:val="16"/>
                <w:szCs w:val="16"/>
                <w:color w:val="auto"/>
              </w:rPr>
            </w:pPr>
          </w:p>
        </w:tc>
        <w:tc>
          <w:tcPr>
            <w:tcW w:w="120" w:type="dxa"/>
            <w:vAlign w:val="bottom"/>
            <w:shd w:val="clear" w:color="auto" w:fill="F5F5F5"/>
          </w:tcPr>
          <w:p>
            <w:pPr>
              <w:spacing w:after="0"/>
              <w:rPr>
                <w:sz w:val="16"/>
                <w:szCs w:val="16"/>
                <w:color w:val="auto"/>
              </w:rPr>
            </w:pPr>
          </w:p>
        </w:tc>
        <w:tc>
          <w:tcPr>
            <w:tcW w:w="980" w:type="dxa"/>
            <w:vAlign w:val="bottom"/>
            <w:vMerge w:val="continue"/>
            <w:shd w:val="clear" w:color="auto" w:fill="F5F5F5"/>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460" w:type="dxa"/>
            <w:vAlign w:val="bottom"/>
          </w:tcPr>
          <w:p>
            <w:pPr>
              <w:ind w:left="140"/>
              <w:spacing w:after="0" w:line="136" w:lineRule="exact"/>
              <w:rPr>
                <w:sz w:val="20"/>
                <w:szCs w:val="20"/>
                <w:color w:val="auto"/>
              </w:rPr>
            </w:pPr>
            <w:r>
              <w:rPr>
                <w:rFonts w:ascii="Arial" w:cs="Arial" w:eastAsia="Arial" w:hAnsi="Arial"/>
                <w:sz w:val="13"/>
                <w:szCs w:val="13"/>
                <w:color w:val="auto"/>
              </w:rPr>
              <w:t>Foreign currency translation</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6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(3,879)</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90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(3,879)</w:t>
            </w:r>
          </w:p>
        </w:tc>
        <w:tc>
          <w:tcPr>
            <w:tcW w:w="0" w:type="dxa"/>
            <w:vAlign w:val="bottom"/>
          </w:tcPr>
          <w:p>
            <w:pPr>
              <w:spacing w:after="0"/>
              <w:rPr>
                <w:sz w:val="1"/>
                <w:szCs w:val="1"/>
                <w:color w:val="auto"/>
              </w:rPr>
            </w:pPr>
          </w:p>
        </w:tc>
      </w:tr>
      <w:tr>
        <w:trPr>
          <w:trHeight w:val="182"/>
        </w:trPr>
        <w:tc>
          <w:tcPr>
            <w:tcW w:w="2460" w:type="dxa"/>
            <w:vAlign w:val="bottom"/>
          </w:tcPr>
          <w:p>
            <w:pPr>
              <w:ind w:left="140"/>
              <w:spacing w:after="0"/>
              <w:rPr>
                <w:sz w:val="20"/>
                <w:szCs w:val="20"/>
                <w:color w:val="auto"/>
              </w:rPr>
            </w:pPr>
            <w:r>
              <w:rPr>
                <w:rFonts w:ascii="Arial" w:cs="Arial" w:eastAsia="Arial" w:hAnsi="Arial"/>
                <w:sz w:val="13"/>
                <w:szCs w:val="13"/>
                <w:color w:val="auto"/>
              </w:rPr>
              <w:t>adjustments, net of tax</w:t>
            </w:r>
          </w:p>
        </w:tc>
        <w:tc>
          <w:tcPr>
            <w:tcW w:w="10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60" w:type="dxa"/>
            <w:vAlign w:val="bottom"/>
            <w:shd w:val="clear" w:color="auto" w:fill="F5F5F5"/>
          </w:tcPr>
          <w:p>
            <w:pPr>
              <w:ind w:left="140"/>
              <w:spacing w:after="0" w:line="142" w:lineRule="exact"/>
              <w:rPr>
                <w:sz w:val="20"/>
                <w:szCs w:val="20"/>
                <w:color w:val="auto"/>
              </w:rPr>
            </w:pPr>
            <w:r>
              <w:rPr>
                <w:rFonts w:ascii="Arial" w:cs="Arial" w:eastAsia="Arial" w:hAnsi="Arial"/>
                <w:sz w:val="13"/>
                <w:szCs w:val="13"/>
                <w:color w:val="auto"/>
              </w:rPr>
              <w:t>Distribution to noncontrolling</w:t>
            </w:r>
          </w:p>
        </w:tc>
        <w:tc>
          <w:tcPr>
            <w:tcW w:w="1000" w:type="dxa"/>
            <w:vAlign w:val="bottom"/>
            <w:vMerge w:val="restart"/>
            <w:shd w:val="clear" w:color="auto" w:fill="F5F5F5"/>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F5F5F5"/>
          </w:tcPr>
          <w:p>
            <w:pPr>
              <w:spacing w:after="0"/>
              <w:rPr>
                <w:sz w:val="12"/>
                <w:szCs w:val="12"/>
                <w:color w:val="auto"/>
              </w:rPr>
            </w:pPr>
          </w:p>
        </w:tc>
        <w:tc>
          <w:tcPr>
            <w:tcW w:w="560" w:type="dxa"/>
            <w:vAlign w:val="bottom"/>
            <w:vMerge w:val="restart"/>
            <w:shd w:val="clear" w:color="auto" w:fill="F5F5F5"/>
          </w:tcPr>
          <w:p>
            <w:pPr>
              <w:jc w:val="right"/>
              <w:ind w:right="13"/>
              <w:spacing w:after="0"/>
              <w:rPr>
                <w:sz w:val="20"/>
                <w:szCs w:val="20"/>
                <w:color w:val="auto"/>
              </w:rPr>
            </w:pPr>
            <w:r>
              <w:rPr>
                <w:rFonts w:ascii="Arial" w:cs="Arial" w:eastAsia="Arial" w:hAnsi="Arial"/>
                <w:sz w:val="13"/>
                <w:szCs w:val="13"/>
                <w:color w:val="auto"/>
              </w:rPr>
              <w:t>—</w:t>
            </w:r>
          </w:p>
        </w:tc>
        <w:tc>
          <w:tcPr>
            <w:tcW w:w="200" w:type="dxa"/>
            <w:vAlign w:val="bottom"/>
            <w:shd w:val="clear" w:color="auto" w:fill="F5F5F5"/>
          </w:tcPr>
          <w:p>
            <w:pPr>
              <w:spacing w:after="0"/>
              <w:rPr>
                <w:sz w:val="12"/>
                <w:szCs w:val="12"/>
                <w:color w:val="auto"/>
              </w:rPr>
            </w:pPr>
          </w:p>
        </w:tc>
        <w:tc>
          <w:tcPr>
            <w:tcW w:w="820" w:type="dxa"/>
            <w:vAlign w:val="bottom"/>
            <w:vMerge w:val="restart"/>
            <w:shd w:val="clear" w:color="auto" w:fill="F5F5F5"/>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F5F5F5"/>
          </w:tcPr>
          <w:p>
            <w:pPr>
              <w:spacing w:after="0"/>
              <w:rPr>
                <w:sz w:val="12"/>
                <w:szCs w:val="12"/>
                <w:color w:val="auto"/>
              </w:rPr>
            </w:pPr>
          </w:p>
        </w:tc>
        <w:tc>
          <w:tcPr>
            <w:tcW w:w="840" w:type="dxa"/>
            <w:vAlign w:val="bottom"/>
            <w:vMerge w:val="restart"/>
            <w:shd w:val="clear" w:color="auto" w:fill="F5F5F5"/>
          </w:tcPr>
          <w:p>
            <w:pPr>
              <w:jc w:val="right"/>
              <w:spacing w:after="0"/>
              <w:rPr>
                <w:sz w:val="20"/>
                <w:szCs w:val="20"/>
                <w:color w:val="auto"/>
              </w:rPr>
            </w:pPr>
            <w:r>
              <w:rPr>
                <w:rFonts w:ascii="Arial" w:cs="Arial" w:eastAsia="Arial" w:hAnsi="Arial"/>
                <w:sz w:val="13"/>
                <w:szCs w:val="13"/>
                <w:color w:val="auto"/>
              </w:rPr>
              <w:t>(4,191)</w:t>
            </w:r>
          </w:p>
        </w:tc>
        <w:tc>
          <w:tcPr>
            <w:tcW w:w="180" w:type="dxa"/>
            <w:vAlign w:val="bottom"/>
            <w:shd w:val="clear" w:color="auto" w:fill="F5F5F5"/>
          </w:tcPr>
          <w:p>
            <w:pPr>
              <w:spacing w:after="0"/>
              <w:rPr>
                <w:sz w:val="12"/>
                <w:szCs w:val="12"/>
                <w:color w:val="auto"/>
              </w:rPr>
            </w:pPr>
          </w:p>
        </w:tc>
        <w:tc>
          <w:tcPr>
            <w:tcW w:w="860" w:type="dxa"/>
            <w:vAlign w:val="bottom"/>
            <w:vMerge w:val="restart"/>
            <w:shd w:val="clear" w:color="auto" w:fill="F5F5F5"/>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F5F5F5"/>
          </w:tcPr>
          <w:p>
            <w:pPr>
              <w:spacing w:after="0"/>
              <w:rPr>
                <w:sz w:val="12"/>
                <w:szCs w:val="12"/>
                <w:color w:val="auto"/>
              </w:rPr>
            </w:pPr>
          </w:p>
        </w:tc>
        <w:tc>
          <w:tcPr>
            <w:tcW w:w="840" w:type="dxa"/>
            <w:vAlign w:val="bottom"/>
            <w:vMerge w:val="restart"/>
            <w:shd w:val="clear" w:color="auto" w:fill="F5F5F5"/>
          </w:tcPr>
          <w:p>
            <w:pPr>
              <w:jc w:val="right"/>
              <w:ind w:right="13"/>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F5F5F5"/>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F5F5F5"/>
          </w:tcPr>
          <w:p>
            <w:pPr>
              <w:spacing w:after="0"/>
              <w:rPr>
                <w:sz w:val="12"/>
                <w:szCs w:val="12"/>
                <w:color w:val="auto"/>
              </w:rPr>
            </w:pPr>
          </w:p>
        </w:tc>
        <w:tc>
          <w:tcPr>
            <w:tcW w:w="900" w:type="dxa"/>
            <w:vAlign w:val="bottom"/>
            <w:vMerge w:val="restart"/>
            <w:shd w:val="clear" w:color="auto" w:fill="F5F5F5"/>
          </w:tcPr>
          <w:p>
            <w:pPr>
              <w:jc w:val="right"/>
              <w:ind w:right="13"/>
              <w:spacing w:after="0"/>
              <w:rPr>
                <w:sz w:val="20"/>
                <w:szCs w:val="20"/>
                <w:color w:val="auto"/>
              </w:rPr>
            </w:pPr>
            <w:r>
              <w:rPr>
                <w:rFonts w:ascii="Arial" w:cs="Arial" w:eastAsia="Arial" w:hAnsi="Arial"/>
                <w:sz w:val="13"/>
                <w:szCs w:val="13"/>
                <w:color w:val="auto"/>
              </w:rPr>
              <w:t>—</w:t>
            </w:r>
          </w:p>
        </w:tc>
        <w:tc>
          <w:tcPr>
            <w:tcW w:w="120" w:type="dxa"/>
            <w:vAlign w:val="bottom"/>
            <w:shd w:val="clear" w:color="auto" w:fill="F5F5F5"/>
          </w:tcPr>
          <w:p>
            <w:pPr>
              <w:spacing w:after="0"/>
              <w:rPr>
                <w:sz w:val="12"/>
                <w:szCs w:val="12"/>
                <w:color w:val="auto"/>
              </w:rPr>
            </w:pPr>
          </w:p>
        </w:tc>
        <w:tc>
          <w:tcPr>
            <w:tcW w:w="980" w:type="dxa"/>
            <w:vAlign w:val="bottom"/>
            <w:vMerge w:val="restart"/>
            <w:shd w:val="clear" w:color="auto" w:fill="F5F5F5"/>
          </w:tcPr>
          <w:p>
            <w:pPr>
              <w:jc w:val="right"/>
              <w:spacing w:after="0"/>
              <w:rPr>
                <w:sz w:val="20"/>
                <w:szCs w:val="20"/>
                <w:color w:val="auto"/>
              </w:rPr>
            </w:pPr>
            <w:r>
              <w:rPr>
                <w:rFonts w:ascii="Arial" w:cs="Arial" w:eastAsia="Arial" w:hAnsi="Arial"/>
                <w:sz w:val="13"/>
                <w:szCs w:val="13"/>
                <w:color w:val="auto"/>
              </w:rPr>
              <w:t>(4,191)</w:t>
            </w:r>
          </w:p>
        </w:tc>
        <w:tc>
          <w:tcPr>
            <w:tcW w:w="0" w:type="dxa"/>
            <w:vAlign w:val="bottom"/>
          </w:tcPr>
          <w:p>
            <w:pPr>
              <w:spacing w:after="0"/>
              <w:rPr>
                <w:sz w:val="1"/>
                <w:szCs w:val="1"/>
                <w:color w:val="auto"/>
              </w:rPr>
            </w:pPr>
          </w:p>
        </w:tc>
      </w:tr>
      <w:tr>
        <w:trPr>
          <w:trHeight w:val="188"/>
        </w:trPr>
        <w:tc>
          <w:tcPr>
            <w:tcW w:w="2460" w:type="dxa"/>
            <w:vAlign w:val="bottom"/>
            <w:shd w:val="clear" w:color="auto" w:fill="F5F5F5"/>
          </w:tcPr>
          <w:p>
            <w:pPr>
              <w:ind w:left="140"/>
              <w:spacing w:after="0"/>
              <w:rPr>
                <w:sz w:val="20"/>
                <w:szCs w:val="20"/>
                <w:color w:val="auto"/>
              </w:rPr>
            </w:pPr>
            <w:r>
              <w:rPr>
                <w:rFonts w:ascii="Arial" w:cs="Arial" w:eastAsia="Arial" w:hAnsi="Arial"/>
                <w:sz w:val="13"/>
                <w:szCs w:val="13"/>
                <w:color w:val="auto"/>
              </w:rPr>
              <w:t>interests, net</w:t>
            </w:r>
          </w:p>
        </w:tc>
        <w:tc>
          <w:tcPr>
            <w:tcW w:w="1000" w:type="dxa"/>
            <w:vAlign w:val="bottom"/>
            <w:tcBorders>
              <w:bottom w:val="single" w:sz="8" w:color="auto"/>
            </w:tcBorders>
            <w:vMerge w:val="continue"/>
            <w:shd w:val="clear" w:color="auto" w:fill="F5F5F5"/>
          </w:tcPr>
          <w:p>
            <w:pPr>
              <w:spacing w:after="0"/>
              <w:rPr>
                <w:sz w:val="16"/>
                <w:szCs w:val="16"/>
                <w:color w:val="auto"/>
              </w:rPr>
            </w:pPr>
          </w:p>
        </w:tc>
        <w:tc>
          <w:tcPr>
            <w:tcW w:w="140" w:type="dxa"/>
            <w:vAlign w:val="bottom"/>
            <w:tcBorders>
              <w:bottom w:val="single" w:sz="8" w:color="auto"/>
            </w:tcBorders>
            <w:shd w:val="clear" w:color="auto" w:fill="F5F5F5"/>
          </w:tcPr>
          <w:p>
            <w:pPr>
              <w:spacing w:after="0"/>
              <w:rPr>
                <w:sz w:val="16"/>
                <w:szCs w:val="16"/>
                <w:color w:val="auto"/>
              </w:rPr>
            </w:pPr>
          </w:p>
        </w:tc>
        <w:tc>
          <w:tcPr>
            <w:tcW w:w="560" w:type="dxa"/>
            <w:vAlign w:val="bottom"/>
            <w:tcBorders>
              <w:bottom w:val="single" w:sz="8" w:color="auto"/>
            </w:tcBorders>
            <w:vMerge w:val="continue"/>
            <w:shd w:val="clear" w:color="auto" w:fill="F5F5F5"/>
          </w:tcPr>
          <w:p>
            <w:pPr>
              <w:spacing w:after="0"/>
              <w:rPr>
                <w:sz w:val="16"/>
                <w:szCs w:val="16"/>
                <w:color w:val="auto"/>
              </w:rPr>
            </w:pPr>
          </w:p>
        </w:tc>
        <w:tc>
          <w:tcPr>
            <w:tcW w:w="200" w:type="dxa"/>
            <w:vAlign w:val="bottom"/>
            <w:tcBorders>
              <w:bottom w:val="single" w:sz="8" w:color="auto"/>
            </w:tcBorders>
            <w:shd w:val="clear" w:color="auto" w:fill="F5F5F5"/>
          </w:tcPr>
          <w:p>
            <w:pPr>
              <w:spacing w:after="0"/>
              <w:rPr>
                <w:sz w:val="16"/>
                <w:szCs w:val="16"/>
                <w:color w:val="auto"/>
              </w:rPr>
            </w:pPr>
          </w:p>
        </w:tc>
        <w:tc>
          <w:tcPr>
            <w:tcW w:w="820" w:type="dxa"/>
            <w:vAlign w:val="bottom"/>
            <w:tcBorders>
              <w:bottom w:val="single" w:sz="8" w:color="auto"/>
            </w:tcBorders>
            <w:vMerge w:val="continue"/>
            <w:shd w:val="clear" w:color="auto" w:fill="F5F5F5"/>
          </w:tcPr>
          <w:p>
            <w:pPr>
              <w:spacing w:after="0"/>
              <w:rPr>
                <w:sz w:val="16"/>
                <w:szCs w:val="16"/>
                <w:color w:val="auto"/>
              </w:rPr>
            </w:pPr>
          </w:p>
        </w:tc>
        <w:tc>
          <w:tcPr>
            <w:tcW w:w="200" w:type="dxa"/>
            <w:vAlign w:val="bottom"/>
            <w:tcBorders>
              <w:bottom w:val="single" w:sz="8" w:color="auto"/>
            </w:tcBorders>
            <w:shd w:val="clear" w:color="auto" w:fill="F5F5F5"/>
          </w:tcPr>
          <w:p>
            <w:pPr>
              <w:spacing w:after="0"/>
              <w:rPr>
                <w:sz w:val="16"/>
                <w:szCs w:val="16"/>
                <w:color w:val="auto"/>
              </w:rPr>
            </w:pPr>
          </w:p>
        </w:tc>
        <w:tc>
          <w:tcPr>
            <w:tcW w:w="840" w:type="dxa"/>
            <w:vAlign w:val="bottom"/>
            <w:tcBorders>
              <w:bottom w:val="single" w:sz="8" w:color="auto"/>
            </w:tcBorders>
            <w:vMerge w:val="continue"/>
            <w:shd w:val="clear" w:color="auto" w:fill="F5F5F5"/>
          </w:tcPr>
          <w:p>
            <w:pPr>
              <w:spacing w:after="0"/>
              <w:rPr>
                <w:sz w:val="16"/>
                <w:szCs w:val="16"/>
                <w:color w:val="auto"/>
              </w:rPr>
            </w:pPr>
          </w:p>
        </w:tc>
        <w:tc>
          <w:tcPr>
            <w:tcW w:w="180" w:type="dxa"/>
            <w:vAlign w:val="bottom"/>
            <w:tcBorders>
              <w:bottom w:val="single" w:sz="8" w:color="auto"/>
            </w:tcBorders>
            <w:shd w:val="clear" w:color="auto" w:fill="F5F5F5"/>
          </w:tcPr>
          <w:p>
            <w:pPr>
              <w:spacing w:after="0"/>
              <w:rPr>
                <w:sz w:val="16"/>
                <w:szCs w:val="16"/>
                <w:color w:val="auto"/>
              </w:rPr>
            </w:pPr>
          </w:p>
        </w:tc>
        <w:tc>
          <w:tcPr>
            <w:tcW w:w="860" w:type="dxa"/>
            <w:vAlign w:val="bottom"/>
            <w:tcBorders>
              <w:bottom w:val="single" w:sz="8" w:color="auto"/>
            </w:tcBorders>
            <w:vMerge w:val="continue"/>
            <w:shd w:val="clear" w:color="auto" w:fill="F5F5F5"/>
          </w:tcPr>
          <w:p>
            <w:pPr>
              <w:spacing w:after="0"/>
              <w:rPr>
                <w:sz w:val="16"/>
                <w:szCs w:val="16"/>
                <w:color w:val="auto"/>
              </w:rPr>
            </w:pPr>
          </w:p>
        </w:tc>
        <w:tc>
          <w:tcPr>
            <w:tcW w:w="220" w:type="dxa"/>
            <w:vAlign w:val="bottom"/>
            <w:tcBorders>
              <w:bottom w:val="single" w:sz="8" w:color="auto"/>
            </w:tcBorders>
            <w:shd w:val="clear" w:color="auto" w:fill="F5F5F5"/>
          </w:tcPr>
          <w:p>
            <w:pPr>
              <w:spacing w:after="0"/>
              <w:rPr>
                <w:sz w:val="16"/>
                <w:szCs w:val="16"/>
                <w:color w:val="auto"/>
              </w:rPr>
            </w:pPr>
          </w:p>
        </w:tc>
        <w:tc>
          <w:tcPr>
            <w:tcW w:w="840" w:type="dxa"/>
            <w:vAlign w:val="bottom"/>
            <w:tcBorders>
              <w:bottom w:val="single" w:sz="8" w:color="auto"/>
            </w:tcBorders>
            <w:vMerge w:val="continue"/>
            <w:shd w:val="clear" w:color="auto" w:fill="F5F5F5"/>
          </w:tcPr>
          <w:p>
            <w:pPr>
              <w:spacing w:after="0"/>
              <w:rPr>
                <w:sz w:val="16"/>
                <w:szCs w:val="16"/>
                <w:color w:val="auto"/>
              </w:rPr>
            </w:pPr>
          </w:p>
        </w:tc>
        <w:tc>
          <w:tcPr>
            <w:tcW w:w="760" w:type="dxa"/>
            <w:vAlign w:val="bottom"/>
            <w:tcBorders>
              <w:bottom w:val="single" w:sz="8" w:color="auto"/>
            </w:tcBorders>
            <w:vMerge w:val="continue"/>
            <w:shd w:val="clear" w:color="auto" w:fill="F5F5F5"/>
          </w:tcPr>
          <w:p>
            <w:pPr>
              <w:spacing w:after="0"/>
              <w:rPr>
                <w:sz w:val="16"/>
                <w:szCs w:val="16"/>
                <w:color w:val="auto"/>
              </w:rPr>
            </w:pPr>
          </w:p>
        </w:tc>
        <w:tc>
          <w:tcPr>
            <w:tcW w:w="160" w:type="dxa"/>
            <w:vAlign w:val="bottom"/>
            <w:tcBorders>
              <w:bottom w:val="single" w:sz="8" w:color="auto"/>
            </w:tcBorders>
            <w:shd w:val="clear" w:color="auto" w:fill="F5F5F5"/>
          </w:tcPr>
          <w:p>
            <w:pPr>
              <w:spacing w:after="0"/>
              <w:rPr>
                <w:sz w:val="16"/>
                <w:szCs w:val="16"/>
                <w:color w:val="auto"/>
              </w:rPr>
            </w:pPr>
          </w:p>
        </w:tc>
        <w:tc>
          <w:tcPr>
            <w:tcW w:w="900" w:type="dxa"/>
            <w:vAlign w:val="bottom"/>
            <w:tcBorders>
              <w:bottom w:val="single" w:sz="8" w:color="auto"/>
            </w:tcBorders>
            <w:vMerge w:val="continue"/>
            <w:shd w:val="clear" w:color="auto" w:fill="F5F5F5"/>
          </w:tcPr>
          <w:p>
            <w:pPr>
              <w:spacing w:after="0"/>
              <w:rPr>
                <w:sz w:val="16"/>
                <w:szCs w:val="16"/>
                <w:color w:val="auto"/>
              </w:rPr>
            </w:pPr>
          </w:p>
        </w:tc>
        <w:tc>
          <w:tcPr>
            <w:tcW w:w="120" w:type="dxa"/>
            <w:vAlign w:val="bottom"/>
            <w:tcBorders>
              <w:bottom w:val="single" w:sz="8" w:color="auto"/>
            </w:tcBorders>
            <w:shd w:val="clear" w:color="auto" w:fill="F5F5F5"/>
          </w:tcPr>
          <w:p>
            <w:pPr>
              <w:spacing w:after="0"/>
              <w:rPr>
                <w:sz w:val="16"/>
                <w:szCs w:val="16"/>
                <w:color w:val="auto"/>
              </w:rPr>
            </w:pPr>
          </w:p>
        </w:tc>
        <w:tc>
          <w:tcPr>
            <w:tcW w:w="980" w:type="dxa"/>
            <w:vAlign w:val="bottom"/>
            <w:tcBorders>
              <w:bottom w:val="single" w:sz="8" w:color="auto"/>
            </w:tcBorders>
            <w:vMerge w:val="continue"/>
            <w:shd w:val="clear" w:color="auto" w:fill="F5F5F5"/>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460" w:type="dxa"/>
            <w:vAlign w:val="bottom"/>
            <w:tcBorders>
              <w:bottom w:val="single" w:sz="8" w:color="F5F5F5"/>
            </w:tcBorders>
          </w:tcPr>
          <w:p>
            <w:pPr>
              <w:ind w:left="20"/>
              <w:spacing w:after="0"/>
              <w:rPr>
                <w:sz w:val="20"/>
                <w:szCs w:val="20"/>
                <w:color w:val="auto"/>
              </w:rPr>
            </w:pPr>
            <w:r>
              <w:rPr>
                <w:rFonts w:ascii="Arial" w:cs="Arial" w:eastAsia="Arial" w:hAnsi="Arial"/>
                <w:sz w:val="13"/>
                <w:szCs w:val="13"/>
                <w:color w:val="auto"/>
              </w:rPr>
              <w:t>Balance, February 3, 2024</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50,500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1,033</w:t>
            </w:r>
          </w:p>
        </w:tc>
        <w:tc>
          <w:tcPr>
            <w:tcW w:w="2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421,609</w:t>
            </w: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14,827</w:t>
            </w:r>
          </w:p>
        </w:tc>
        <w:tc>
          <w:tcPr>
            <w:tcW w:w="1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2,643,629</w:t>
            </w:r>
          </w:p>
        </w:tc>
        <w:tc>
          <w:tcPr>
            <w:tcW w:w="2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(135,968)</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52,800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(1,895,143)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1,049,987</w:t>
            </w:r>
          </w:p>
        </w:tc>
        <w:tc>
          <w:tcPr>
            <w:tcW w:w="0" w:type="dxa"/>
            <w:vAlign w:val="bottom"/>
          </w:tcPr>
          <w:p>
            <w:pPr>
              <w:spacing w:after="0"/>
              <w:rPr>
                <w:sz w:val="1"/>
                <w:szCs w:val="1"/>
                <w:color w:val="auto"/>
              </w:rPr>
            </w:pPr>
          </w:p>
        </w:tc>
      </w:tr>
      <w:tr>
        <w:trPr>
          <w:trHeight w:val="188"/>
        </w:trPr>
        <w:tc>
          <w:tcPr>
            <w:tcW w:w="2460" w:type="dxa"/>
            <w:vAlign w:val="bottom"/>
            <w:shd w:val="clear" w:color="auto" w:fill="F5F5F5"/>
          </w:tcPr>
          <w:p>
            <w:pPr>
              <w:ind w:left="140"/>
              <w:spacing w:after="0"/>
              <w:rPr>
                <w:sz w:val="20"/>
                <w:szCs w:val="20"/>
                <w:color w:val="auto"/>
              </w:rPr>
            </w:pPr>
            <w:r>
              <w:rPr>
                <w:rFonts w:ascii="Arial" w:cs="Arial" w:eastAsia="Arial" w:hAnsi="Arial"/>
                <w:sz w:val="13"/>
                <w:szCs w:val="13"/>
                <w:color w:val="auto"/>
              </w:rPr>
              <w:t>Net income</w:t>
            </w:r>
          </w:p>
        </w:tc>
        <w:tc>
          <w:tcPr>
            <w:tcW w:w="1000" w:type="dxa"/>
            <w:vAlign w:val="bottom"/>
            <w:shd w:val="clear" w:color="auto" w:fill="F5F5F5"/>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F5F5F5"/>
          </w:tcPr>
          <w:p>
            <w:pPr>
              <w:spacing w:after="0"/>
              <w:rPr>
                <w:sz w:val="16"/>
                <w:szCs w:val="16"/>
                <w:color w:val="auto"/>
              </w:rPr>
            </w:pPr>
          </w:p>
        </w:tc>
        <w:tc>
          <w:tcPr>
            <w:tcW w:w="560" w:type="dxa"/>
            <w:vAlign w:val="bottom"/>
            <w:shd w:val="clear" w:color="auto" w:fill="F5F5F5"/>
          </w:tcPr>
          <w:p>
            <w:pPr>
              <w:jc w:val="right"/>
              <w:ind w:right="13"/>
              <w:spacing w:after="0"/>
              <w:rPr>
                <w:sz w:val="20"/>
                <w:szCs w:val="20"/>
                <w:color w:val="auto"/>
              </w:rPr>
            </w:pPr>
            <w:r>
              <w:rPr>
                <w:rFonts w:ascii="Arial" w:cs="Arial" w:eastAsia="Arial" w:hAnsi="Arial"/>
                <w:sz w:val="13"/>
                <w:szCs w:val="13"/>
                <w:color w:val="auto"/>
              </w:rPr>
              <w:t>—</w:t>
            </w:r>
          </w:p>
        </w:tc>
        <w:tc>
          <w:tcPr>
            <w:tcW w:w="200" w:type="dxa"/>
            <w:vAlign w:val="bottom"/>
            <w:shd w:val="clear" w:color="auto" w:fill="F5F5F5"/>
          </w:tcPr>
          <w:p>
            <w:pPr>
              <w:spacing w:after="0"/>
              <w:rPr>
                <w:sz w:val="16"/>
                <w:szCs w:val="16"/>
                <w:color w:val="auto"/>
              </w:rPr>
            </w:pPr>
          </w:p>
        </w:tc>
        <w:tc>
          <w:tcPr>
            <w:tcW w:w="820" w:type="dxa"/>
            <w:vAlign w:val="bottom"/>
            <w:shd w:val="clear" w:color="auto" w:fill="F5F5F5"/>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F5F5F5"/>
          </w:tcPr>
          <w:p>
            <w:pPr>
              <w:spacing w:after="0"/>
              <w:rPr>
                <w:sz w:val="16"/>
                <w:szCs w:val="16"/>
                <w:color w:val="auto"/>
              </w:rPr>
            </w:pPr>
          </w:p>
        </w:tc>
        <w:tc>
          <w:tcPr>
            <w:tcW w:w="840" w:type="dxa"/>
            <w:vAlign w:val="bottom"/>
            <w:shd w:val="clear" w:color="auto" w:fill="F5F5F5"/>
          </w:tcPr>
          <w:p>
            <w:pPr>
              <w:jc w:val="right"/>
              <w:spacing w:after="0"/>
              <w:rPr>
                <w:sz w:val="20"/>
                <w:szCs w:val="20"/>
                <w:color w:val="auto"/>
              </w:rPr>
            </w:pPr>
            <w:r>
              <w:rPr>
                <w:rFonts w:ascii="Arial" w:cs="Arial" w:eastAsia="Arial" w:hAnsi="Arial"/>
                <w:sz w:val="13"/>
                <w:szCs w:val="13"/>
                <w:color w:val="auto"/>
              </w:rPr>
              <w:t>7,793</w:t>
            </w:r>
          </w:p>
        </w:tc>
        <w:tc>
          <w:tcPr>
            <w:tcW w:w="180" w:type="dxa"/>
            <w:vAlign w:val="bottom"/>
            <w:shd w:val="clear" w:color="auto" w:fill="F5F5F5"/>
          </w:tcPr>
          <w:p>
            <w:pPr>
              <w:spacing w:after="0"/>
              <w:rPr>
                <w:sz w:val="16"/>
                <w:szCs w:val="16"/>
                <w:color w:val="auto"/>
              </w:rPr>
            </w:pPr>
          </w:p>
        </w:tc>
        <w:tc>
          <w:tcPr>
            <w:tcW w:w="860" w:type="dxa"/>
            <w:vAlign w:val="bottom"/>
            <w:shd w:val="clear" w:color="auto" w:fill="F5F5F5"/>
          </w:tcPr>
          <w:p>
            <w:pPr>
              <w:jc w:val="right"/>
              <w:spacing w:after="0"/>
              <w:rPr>
                <w:sz w:val="20"/>
                <w:szCs w:val="20"/>
                <w:color w:val="auto"/>
              </w:rPr>
            </w:pPr>
            <w:r>
              <w:rPr>
                <w:rFonts w:ascii="Arial" w:cs="Arial" w:eastAsia="Arial" w:hAnsi="Arial"/>
                <w:sz w:val="13"/>
                <w:szCs w:val="13"/>
                <w:color w:val="auto"/>
              </w:rPr>
              <w:t>566,223</w:t>
            </w:r>
          </w:p>
        </w:tc>
        <w:tc>
          <w:tcPr>
            <w:tcW w:w="220" w:type="dxa"/>
            <w:vAlign w:val="bottom"/>
            <w:shd w:val="clear" w:color="auto" w:fill="F5F5F5"/>
          </w:tcPr>
          <w:p>
            <w:pPr>
              <w:spacing w:after="0"/>
              <w:rPr>
                <w:sz w:val="16"/>
                <w:szCs w:val="16"/>
                <w:color w:val="auto"/>
              </w:rPr>
            </w:pPr>
          </w:p>
        </w:tc>
        <w:tc>
          <w:tcPr>
            <w:tcW w:w="840" w:type="dxa"/>
            <w:vAlign w:val="bottom"/>
            <w:shd w:val="clear" w:color="auto" w:fill="F5F5F5"/>
          </w:tcPr>
          <w:p>
            <w:pPr>
              <w:jc w:val="right"/>
              <w:ind w:right="13"/>
              <w:spacing w:after="0"/>
              <w:rPr>
                <w:sz w:val="20"/>
                <w:szCs w:val="20"/>
                <w:color w:val="auto"/>
              </w:rPr>
            </w:pPr>
            <w:r>
              <w:rPr>
                <w:rFonts w:ascii="Arial" w:cs="Arial" w:eastAsia="Arial" w:hAnsi="Arial"/>
                <w:sz w:val="13"/>
                <w:szCs w:val="13"/>
                <w:color w:val="auto"/>
              </w:rPr>
              <w:t>—</w:t>
            </w:r>
          </w:p>
        </w:tc>
        <w:tc>
          <w:tcPr>
            <w:tcW w:w="760" w:type="dxa"/>
            <w:vAlign w:val="bottom"/>
            <w:shd w:val="clear" w:color="auto" w:fill="F5F5F5"/>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F5F5F5"/>
          </w:tcPr>
          <w:p>
            <w:pPr>
              <w:spacing w:after="0"/>
              <w:rPr>
                <w:sz w:val="16"/>
                <w:szCs w:val="16"/>
                <w:color w:val="auto"/>
              </w:rPr>
            </w:pPr>
          </w:p>
        </w:tc>
        <w:tc>
          <w:tcPr>
            <w:tcW w:w="900" w:type="dxa"/>
            <w:vAlign w:val="bottom"/>
            <w:shd w:val="clear" w:color="auto" w:fill="F5F5F5"/>
          </w:tcPr>
          <w:p>
            <w:pPr>
              <w:jc w:val="right"/>
              <w:ind w:right="13"/>
              <w:spacing w:after="0"/>
              <w:rPr>
                <w:sz w:val="20"/>
                <w:szCs w:val="20"/>
                <w:color w:val="auto"/>
              </w:rPr>
            </w:pPr>
            <w:r>
              <w:rPr>
                <w:rFonts w:ascii="Arial" w:cs="Arial" w:eastAsia="Arial" w:hAnsi="Arial"/>
                <w:sz w:val="13"/>
                <w:szCs w:val="13"/>
                <w:color w:val="auto"/>
              </w:rPr>
              <w:t>—</w:t>
            </w:r>
          </w:p>
        </w:tc>
        <w:tc>
          <w:tcPr>
            <w:tcW w:w="120" w:type="dxa"/>
            <w:vAlign w:val="bottom"/>
            <w:shd w:val="clear" w:color="auto" w:fill="F5F5F5"/>
          </w:tcPr>
          <w:p>
            <w:pPr>
              <w:spacing w:after="0"/>
              <w:rPr>
                <w:sz w:val="16"/>
                <w:szCs w:val="16"/>
                <w:color w:val="auto"/>
              </w:rPr>
            </w:pPr>
          </w:p>
        </w:tc>
        <w:tc>
          <w:tcPr>
            <w:tcW w:w="980" w:type="dxa"/>
            <w:vAlign w:val="bottom"/>
            <w:shd w:val="clear" w:color="auto" w:fill="F5F5F5"/>
          </w:tcPr>
          <w:p>
            <w:pPr>
              <w:jc w:val="right"/>
              <w:spacing w:after="0"/>
              <w:rPr>
                <w:sz w:val="20"/>
                <w:szCs w:val="20"/>
                <w:color w:val="auto"/>
              </w:rPr>
            </w:pPr>
            <w:r>
              <w:rPr>
                <w:rFonts w:ascii="Arial" w:cs="Arial" w:eastAsia="Arial" w:hAnsi="Arial"/>
                <w:sz w:val="13"/>
                <w:szCs w:val="13"/>
                <w:color w:val="auto"/>
              </w:rPr>
              <w:t>574,016</w:t>
            </w:r>
          </w:p>
        </w:tc>
        <w:tc>
          <w:tcPr>
            <w:tcW w:w="0" w:type="dxa"/>
            <w:vAlign w:val="bottom"/>
          </w:tcPr>
          <w:p>
            <w:pPr>
              <w:spacing w:after="0"/>
              <w:rPr>
                <w:sz w:val="1"/>
                <w:szCs w:val="1"/>
                <w:color w:val="auto"/>
              </w:rPr>
            </w:pPr>
          </w:p>
        </w:tc>
      </w:tr>
      <w:tr>
        <w:trPr>
          <w:trHeight w:val="189"/>
        </w:trPr>
        <w:tc>
          <w:tcPr>
            <w:tcW w:w="2460" w:type="dxa"/>
            <w:vAlign w:val="bottom"/>
          </w:tcPr>
          <w:p>
            <w:pPr>
              <w:ind w:left="140"/>
              <w:spacing w:after="0" w:line="189" w:lineRule="exact"/>
              <w:rPr>
                <w:sz w:val="20"/>
                <w:szCs w:val="20"/>
                <w:color w:val="auto"/>
              </w:rPr>
            </w:pPr>
            <w:r>
              <w:rPr>
                <w:rFonts w:ascii="Arial" w:cs="Arial" w:eastAsia="Arial" w:hAnsi="Arial"/>
                <w:sz w:val="13"/>
                <w:szCs w:val="13"/>
                <w:color w:val="auto"/>
              </w:rPr>
              <w:t>Purchase of common stock</w:t>
            </w:r>
            <w:r>
              <w:rPr>
                <w:rFonts w:ascii="Arial" w:cs="Arial" w:eastAsia="Arial" w:hAnsi="Arial"/>
                <w:sz w:val="17"/>
                <w:szCs w:val="17"/>
                <w:color w:val="auto"/>
                <w:vertAlign w:val="superscript"/>
              </w:rPr>
              <w:t>(1)</w:t>
            </w:r>
          </w:p>
        </w:tc>
        <w:tc>
          <w:tcPr>
            <w:tcW w:w="1000" w:type="dxa"/>
            <w:vAlign w:val="bottom"/>
          </w:tcPr>
          <w:p>
            <w:pPr>
              <w:jc w:val="right"/>
              <w:spacing w:after="0"/>
              <w:rPr>
                <w:sz w:val="20"/>
                <w:szCs w:val="20"/>
                <w:color w:val="auto"/>
              </w:rPr>
            </w:pPr>
            <w:r>
              <w:rPr>
                <w:rFonts w:ascii="Arial" w:cs="Arial" w:eastAsia="Arial" w:hAnsi="Arial"/>
                <w:sz w:val="13"/>
                <w:szCs w:val="13"/>
                <w:color w:val="auto"/>
              </w:rPr>
              <w:t>(1,615)</w:t>
            </w:r>
          </w:p>
        </w:tc>
        <w:tc>
          <w:tcPr>
            <w:tcW w:w="140" w:type="dxa"/>
            <w:vAlign w:val="bottom"/>
          </w:tcPr>
          <w:p>
            <w:pPr>
              <w:spacing w:after="0"/>
              <w:rPr>
                <w:sz w:val="16"/>
                <w:szCs w:val="16"/>
                <w:color w:val="auto"/>
              </w:rPr>
            </w:pPr>
          </w:p>
        </w:tc>
        <w:tc>
          <w:tcPr>
            <w:tcW w:w="5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1,615</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(231,031)</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(231,031)</w:t>
            </w:r>
          </w:p>
        </w:tc>
        <w:tc>
          <w:tcPr>
            <w:tcW w:w="0" w:type="dxa"/>
            <w:vAlign w:val="bottom"/>
          </w:tcPr>
          <w:p>
            <w:pPr>
              <w:spacing w:after="0"/>
              <w:rPr>
                <w:sz w:val="1"/>
                <w:szCs w:val="1"/>
                <w:color w:val="auto"/>
              </w:rPr>
            </w:pPr>
          </w:p>
        </w:tc>
      </w:tr>
      <w:tr>
        <w:trPr>
          <w:trHeight w:val="136"/>
        </w:trPr>
        <w:tc>
          <w:tcPr>
            <w:tcW w:w="2460" w:type="dxa"/>
            <w:vAlign w:val="bottom"/>
            <w:shd w:val="clear" w:color="auto" w:fill="F5F5F5"/>
          </w:tcPr>
          <w:p>
            <w:pPr>
              <w:ind w:left="140"/>
              <w:spacing w:after="0" w:line="136" w:lineRule="exact"/>
              <w:rPr>
                <w:sz w:val="20"/>
                <w:szCs w:val="20"/>
                <w:color w:val="auto"/>
              </w:rPr>
            </w:pPr>
            <w:r>
              <w:rPr>
                <w:rFonts w:ascii="Arial" w:cs="Arial" w:eastAsia="Arial" w:hAnsi="Arial"/>
                <w:sz w:val="13"/>
                <w:szCs w:val="13"/>
                <w:color w:val="auto"/>
              </w:rPr>
              <w:t>Share-based compensation</w:t>
            </w:r>
          </w:p>
        </w:tc>
        <w:tc>
          <w:tcPr>
            <w:tcW w:w="1000" w:type="dxa"/>
            <w:vAlign w:val="bottom"/>
            <w:vMerge w:val="restart"/>
            <w:shd w:val="clear" w:color="auto" w:fill="F5F5F5"/>
          </w:tcPr>
          <w:p>
            <w:pPr>
              <w:jc w:val="right"/>
              <w:spacing w:after="0"/>
              <w:rPr>
                <w:sz w:val="20"/>
                <w:szCs w:val="20"/>
                <w:color w:val="auto"/>
              </w:rPr>
            </w:pPr>
            <w:r>
              <w:rPr>
                <w:rFonts w:ascii="Arial" w:cs="Arial" w:eastAsia="Arial" w:hAnsi="Arial"/>
                <w:sz w:val="13"/>
                <w:szCs w:val="13"/>
                <w:color w:val="auto"/>
              </w:rPr>
              <w:t>850</w:t>
            </w:r>
          </w:p>
        </w:tc>
        <w:tc>
          <w:tcPr>
            <w:tcW w:w="140" w:type="dxa"/>
            <w:vAlign w:val="bottom"/>
            <w:shd w:val="clear" w:color="auto" w:fill="F5F5F5"/>
          </w:tcPr>
          <w:p>
            <w:pPr>
              <w:spacing w:after="0"/>
              <w:rPr>
                <w:sz w:val="11"/>
                <w:szCs w:val="11"/>
                <w:color w:val="auto"/>
              </w:rPr>
            </w:pPr>
          </w:p>
        </w:tc>
        <w:tc>
          <w:tcPr>
            <w:tcW w:w="560" w:type="dxa"/>
            <w:vAlign w:val="bottom"/>
            <w:vMerge w:val="restart"/>
            <w:shd w:val="clear" w:color="auto" w:fill="F5F5F5"/>
          </w:tcPr>
          <w:p>
            <w:pPr>
              <w:jc w:val="right"/>
              <w:ind w:right="13"/>
              <w:spacing w:after="0"/>
              <w:rPr>
                <w:sz w:val="20"/>
                <w:szCs w:val="20"/>
                <w:color w:val="auto"/>
              </w:rPr>
            </w:pPr>
            <w:r>
              <w:rPr>
                <w:rFonts w:ascii="Arial" w:cs="Arial" w:eastAsia="Arial" w:hAnsi="Arial"/>
                <w:sz w:val="13"/>
                <w:szCs w:val="13"/>
                <w:color w:val="auto"/>
              </w:rPr>
              <w:t>—</w:t>
            </w:r>
          </w:p>
        </w:tc>
        <w:tc>
          <w:tcPr>
            <w:tcW w:w="200" w:type="dxa"/>
            <w:vAlign w:val="bottom"/>
            <w:shd w:val="clear" w:color="auto" w:fill="F5F5F5"/>
          </w:tcPr>
          <w:p>
            <w:pPr>
              <w:spacing w:after="0"/>
              <w:rPr>
                <w:sz w:val="11"/>
                <w:szCs w:val="11"/>
                <w:color w:val="auto"/>
              </w:rPr>
            </w:pPr>
          </w:p>
        </w:tc>
        <w:tc>
          <w:tcPr>
            <w:tcW w:w="820" w:type="dxa"/>
            <w:vAlign w:val="bottom"/>
            <w:vMerge w:val="restart"/>
            <w:shd w:val="clear" w:color="auto" w:fill="F5F5F5"/>
          </w:tcPr>
          <w:p>
            <w:pPr>
              <w:jc w:val="right"/>
              <w:spacing w:after="0"/>
              <w:rPr>
                <w:sz w:val="20"/>
                <w:szCs w:val="20"/>
                <w:color w:val="auto"/>
              </w:rPr>
            </w:pPr>
            <w:r>
              <w:rPr>
                <w:rFonts w:ascii="Arial" w:cs="Arial" w:eastAsia="Arial" w:hAnsi="Arial"/>
                <w:sz w:val="13"/>
                <w:szCs w:val="13"/>
                <w:color w:val="auto"/>
              </w:rPr>
              <w:t>(37,364)</w:t>
            </w:r>
          </w:p>
        </w:tc>
        <w:tc>
          <w:tcPr>
            <w:tcW w:w="200" w:type="dxa"/>
            <w:vAlign w:val="bottom"/>
            <w:shd w:val="clear" w:color="auto" w:fill="F5F5F5"/>
          </w:tcPr>
          <w:p>
            <w:pPr>
              <w:spacing w:after="0"/>
              <w:rPr>
                <w:sz w:val="11"/>
                <w:szCs w:val="11"/>
                <w:color w:val="auto"/>
              </w:rPr>
            </w:pPr>
          </w:p>
        </w:tc>
        <w:tc>
          <w:tcPr>
            <w:tcW w:w="840" w:type="dxa"/>
            <w:vAlign w:val="bottom"/>
            <w:vMerge w:val="restart"/>
            <w:shd w:val="clear" w:color="auto" w:fill="F5F5F5"/>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F5F5F5"/>
          </w:tcPr>
          <w:p>
            <w:pPr>
              <w:spacing w:after="0"/>
              <w:rPr>
                <w:sz w:val="11"/>
                <w:szCs w:val="11"/>
                <w:color w:val="auto"/>
              </w:rPr>
            </w:pPr>
          </w:p>
        </w:tc>
        <w:tc>
          <w:tcPr>
            <w:tcW w:w="860" w:type="dxa"/>
            <w:vAlign w:val="bottom"/>
            <w:vMerge w:val="restart"/>
            <w:shd w:val="clear" w:color="auto" w:fill="F5F5F5"/>
          </w:tcPr>
          <w:p>
            <w:pPr>
              <w:jc w:val="right"/>
              <w:spacing w:after="0"/>
              <w:rPr>
                <w:sz w:val="20"/>
                <w:szCs w:val="20"/>
                <w:color w:val="auto"/>
              </w:rPr>
            </w:pPr>
            <w:r>
              <w:rPr>
                <w:rFonts w:ascii="Arial" w:cs="Arial" w:eastAsia="Arial" w:hAnsi="Arial"/>
                <w:sz w:val="13"/>
                <w:szCs w:val="13"/>
                <w:color w:val="auto"/>
              </w:rPr>
              <w:t>(13,128)</w:t>
            </w:r>
          </w:p>
        </w:tc>
        <w:tc>
          <w:tcPr>
            <w:tcW w:w="220" w:type="dxa"/>
            <w:vAlign w:val="bottom"/>
            <w:shd w:val="clear" w:color="auto" w:fill="F5F5F5"/>
          </w:tcPr>
          <w:p>
            <w:pPr>
              <w:spacing w:after="0"/>
              <w:rPr>
                <w:sz w:val="11"/>
                <w:szCs w:val="11"/>
                <w:color w:val="auto"/>
              </w:rPr>
            </w:pPr>
          </w:p>
        </w:tc>
        <w:tc>
          <w:tcPr>
            <w:tcW w:w="840" w:type="dxa"/>
            <w:vAlign w:val="bottom"/>
            <w:vMerge w:val="restart"/>
            <w:shd w:val="clear" w:color="auto" w:fill="F5F5F5"/>
          </w:tcPr>
          <w:p>
            <w:pPr>
              <w:jc w:val="right"/>
              <w:ind w:right="13"/>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F5F5F5"/>
          </w:tcPr>
          <w:p>
            <w:pPr>
              <w:jc w:val="right"/>
              <w:spacing w:after="0"/>
              <w:rPr>
                <w:sz w:val="20"/>
                <w:szCs w:val="20"/>
                <w:color w:val="auto"/>
              </w:rPr>
            </w:pPr>
            <w:r>
              <w:rPr>
                <w:rFonts w:ascii="Arial" w:cs="Arial" w:eastAsia="Arial" w:hAnsi="Arial"/>
                <w:sz w:val="13"/>
                <w:szCs w:val="13"/>
                <w:color w:val="auto"/>
              </w:rPr>
              <w:t>(850)</w:t>
            </w:r>
          </w:p>
        </w:tc>
        <w:tc>
          <w:tcPr>
            <w:tcW w:w="160" w:type="dxa"/>
            <w:vAlign w:val="bottom"/>
            <w:shd w:val="clear" w:color="auto" w:fill="F5F5F5"/>
          </w:tcPr>
          <w:p>
            <w:pPr>
              <w:spacing w:after="0"/>
              <w:rPr>
                <w:sz w:val="11"/>
                <w:szCs w:val="11"/>
                <w:color w:val="auto"/>
              </w:rPr>
            </w:pPr>
          </w:p>
        </w:tc>
        <w:tc>
          <w:tcPr>
            <w:tcW w:w="900" w:type="dxa"/>
            <w:vAlign w:val="bottom"/>
            <w:vMerge w:val="restart"/>
            <w:shd w:val="clear" w:color="auto" w:fill="F5F5F5"/>
          </w:tcPr>
          <w:p>
            <w:pPr>
              <w:jc w:val="right"/>
              <w:spacing w:after="0"/>
              <w:rPr>
                <w:sz w:val="20"/>
                <w:szCs w:val="20"/>
                <w:color w:val="auto"/>
              </w:rPr>
            </w:pPr>
            <w:r>
              <w:rPr>
                <w:rFonts w:ascii="Arial" w:cs="Arial" w:eastAsia="Arial" w:hAnsi="Arial"/>
                <w:sz w:val="13"/>
                <w:szCs w:val="13"/>
                <w:color w:val="auto"/>
              </w:rPr>
              <w:t>(19,716)</w:t>
            </w:r>
          </w:p>
        </w:tc>
        <w:tc>
          <w:tcPr>
            <w:tcW w:w="120" w:type="dxa"/>
            <w:vAlign w:val="bottom"/>
            <w:shd w:val="clear" w:color="auto" w:fill="F5F5F5"/>
          </w:tcPr>
          <w:p>
            <w:pPr>
              <w:spacing w:after="0"/>
              <w:rPr>
                <w:sz w:val="11"/>
                <w:szCs w:val="11"/>
                <w:color w:val="auto"/>
              </w:rPr>
            </w:pPr>
          </w:p>
        </w:tc>
        <w:tc>
          <w:tcPr>
            <w:tcW w:w="980" w:type="dxa"/>
            <w:vAlign w:val="bottom"/>
            <w:vMerge w:val="restart"/>
            <w:shd w:val="clear" w:color="auto" w:fill="F5F5F5"/>
          </w:tcPr>
          <w:p>
            <w:pPr>
              <w:jc w:val="right"/>
              <w:spacing w:after="0"/>
              <w:rPr>
                <w:sz w:val="20"/>
                <w:szCs w:val="20"/>
                <w:color w:val="auto"/>
              </w:rPr>
            </w:pPr>
            <w:r>
              <w:rPr>
                <w:rFonts w:ascii="Arial" w:cs="Arial" w:eastAsia="Arial" w:hAnsi="Arial"/>
                <w:sz w:val="13"/>
                <w:szCs w:val="13"/>
                <w:color w:val="auto"/>
              </w:rPr>
              <w:t>(70,208)</w:t>
            </w:r>
          </w:p>
        </w:tc>
        <w:tc>
          <w:tcPr>
            <w:tcW w:w="0" w:type="dxa"/>
            <w:vAlign w:val="bottom"/>
          </w:tcPr>
          <w:p>
            <w:pPr>
              <w:spacing w:after="0"/>
              <w:rPr>
                <w:sz w:val="1"/>
                <w:szCs w:val="1"/>
                <w:color w:val="auto"/>
              </w:rPr>
            </w:pPr>
          </w:p>
        </w:tc>
      </w:tr>
      <w:tr>
        <w:trPr>
          <w:trHeight w:val="188"/>
        </w:trPr>
        <w:tc>
          <w:tcPr>
            <w:tcW w:w="2460" w:type="dxa"/>
            <w:vAlign w:val="bottom"/>
            <w:shd w:val="clear" w:color="auto" w:fill="F5F5F5"/>
          </w:tcPr>
          <w:p>
            <w:pPr>
              <w:ind w:left="140"/>
              <w:spacing w:after="0"/>
              <w:rPr>
                <w:sz w:val="20"/>
                <w:szCs w:val="20"/>
                <w:color w:val="auto"/>
              </w:rPr>
            </w:pPr>
            <w:r>
              <w:rPr>
                <w:rFonts w:ascii="Arial" w:cs="Arial" w:eastAsia="Arial" w:hAnsi="Arial"/>
                <w:sz w:val="13"/>
                <w:szCs w:val="13"/>
                <w:color w:val="auto"/>
              </w:rPr>
              <w:t>issuances and exercises</w:t>
            </w:r>
          </w:p>
        </w:tc>
        <w:tc>
          <w:tcPr>
            <w:tcW w:w="1000" w:type="dxa"/>
            <w:vAlign w:val="bottom"/>
            <w:vMerge w:val="continue"/>
            <w:shd w:val="clear" w:color="auto" w:fill="F5F5F5"/>
          </w:tcPr>
          <w:p>
            <w:pPr>
              <w:spacing w:after="0"/>
              <w:rPr>
                <w:sz w:val="16"/>
                <w:szCs w:val="16"/>
                <w:color w:val="auto"/>
              </w:rPr>
            </w:pPr>
          </w:p>
        </w:tc>
        <w:tc>
          <w:tcPr>
            <w:tcW w:w="140" w:type="dxa"/>
            <w:vAlign w:val="bottom"/>
            <w:shd w:val="clear" w:color="auto" w:fill="F5F5F5"/>
          </w:tcPr>
          <w:p>
            <w:pPr>
              <w:spacing w:after="0"/>
              <w:rPr>
                <w:sz w:val="16"/>
                <w:szCs w:val="16"/>
                <w:color w:val="auto"/>
              </w:rPr>
            </w:pPr>
          </w:p>
        </w:tc>
        <w:tc>
          <w:tcPr>
            <w:tcW w:w="560" w:type="dxa"/>
            <w:vAlign w:val="bottom"/>
            <w:vMerge w:val="continue"/>
            <w:shd w:val="clear" w:color="auto" w:fill="F5F5F5"/>
          </w:tcPr>
          <w:p>
            <w:pPr>
              <w:spacing w:after="0"/>
              <w:rPr>
                <w:sz w:val="16"/>
                <w:szCs w:val="16"/>
                <w:color w:val="auto"/>
              </w:rPr>
            </w:pPr>
          </w:p>
        </w:tc>
        <w:tc>
          <w:tcPr>
            <w:tcW w:w="200" w:type="dxa"/>
            <w:vAlign w:val="bottom"/>
            <w:shd w:val="clear" w:color="auto" w:fill="F5F5F5"/>
          </w:tcPr>
          <w:p>
            <w:pPr>
              <w:spacing w:after="0"/>
              <w:rPr>
                <w:sz w:val="16"/>
                <w:szCs w:val="16"/>
                <w:color w:val="auto"/>
              </w:rPr>
            </w:pPr>
          </w:p>
        </w:tc>
        <w:tc>
          <w:tcPr>
            <w:tcW w:w="820" w:type="dxa"/>
            <w:vAlign w:val="bottom"/>
            <w:vMerge w:val="continue"/>
            <w:shd w:val="clear" w:color="auto" w:fill="F5F5F5"/>
          </w:tcPr>
          <w:p>
            <w:pPr>
              <w:spacing w:after="0"/>
              <w:rPr>
                <w:sz w:val="16"/>
                <w:szCs w:val="16"/>
                <w:color w:val="auto"/>
              </w:rPr>
            </w:pPr>
          </w:p>
        </w:tc>
        <w:tc>
          <w:tcPr>
            <w:tcW w:w="200" w:type="dxa"/>
            <w:vAlign w:val="bottom"/>
            <w:shd w:val="clear" w:color="auto" w:fill="F5F5F5"/>
          </w:tcPr>
          <w:p>
            <w:pPr>
              <w:spacing w:after="0"/>
              <w:rPr>
                <w:sz w:val="16"/>
                <w:szCs w:val="16"/>
                <w:color w:val="auto"/>
              </w:rPr>
            </w:pPr>
          </w:p>
        </w:tc>
        <w:tc>
          <w:tcPr>
            <w:tcW w:w="840" w:type="dxa"/>
            <w:vAlign w:val="bottom"/>
            <w:vMerge w:val="continue"/>
            <w:shd w:val="clear" w:color="auto" w:fill="F5F5F5"/>
          </w:tcPr>
          <w:p>
            <w:pPr>
              <w:spacing w:after="0"/>
              <w:rPr>
                <w:sz w:val="16"/>
                <w:szCs w:val="16"/>
                <w:color w:val="auto"/>
              </w:rPr>
            </w:pPr>
          </w:p>
        </w:tc>
        <w:tc>
          <w:tcPr>
            <w:tcW w:w="180" w:type="dxa"/>
            <w:vAlign w:val="bottom"/>
            <w:shd w:val="clear" w:color="auto" w:fill="F5F5F5"/>
          </w:tcPr>
          <w:p>
            <w:pPr>
              <w:spacing w:after="0"/>
              <w:rPr>
                <w:sz w:val="16"/>
                <w:szCs w:val="16"/>
                <w:color w:val="auto"/>
              </w:rPr>
            </w:pPr>
          </w:p>
        </w:tc>
        <w:tc>
          <w:tcPr>
            <w:tcW w:w="860" w:type="dxa"/>
            <w:vAlign w:val="bottom"/>
            <w:vMerge w:val="continue"/>
            <w:shd w:val="clear" w:color="auto" w:fill="F5F5F5"/>
          </w:tcPr>
          <w:p>
            <w:pPr>
              <w:spacing w:after="0"/>
              <w:rPr>
                <w:sz w:val="16"/>
                <w:szCs w:val="16"/>
                <w:color w:val="auto"/>
              </w:rPr>
            </w:pPr>
          </w:p>
        </w:tc>
        <w:tc>
          <w:tcPr>
            <w:tcW w:w="220" w:type="dxa"/>
            <w:vAlign w:val="bottom"/>
            <w:shd w:val="clear" w:color="auto" w:fill="F5F5F5"/>
          </w:tcPr>
          <w:p>
            <w:pPr>
              <w:spacing w:after="0"/>
              <w:rPr>
                <w:sz w:val="16"/>
                <w:szCs w:val="16"/>
                <w:color w:val="auto"/>
              </w:rPr>
            </w:pPr>
          </w:p>
        </w:tc>
        <w:tc>
          <w:tcPr>
            <w:tcW w:w="840" w:type="dxa"/>
            <w:vAlign w:val="bottom"/>
            <w:vMerge w:val="continue"/>
            <w:shd w:val="clear" w:color="auto" w:fill="F5F5F5"/>
          </w:tcPr>
          <w:p>
            <w:pPr>
              <w:spacing w:after="0"/>
              <w:rPr>
                <w:sz w:val="16"/>
                <w:szCs w:val="16"/>
                <w:color w:val="auto"/>
              </w:rPr>
            </w:pPr>
          </w:p>
        </w:tc>
        <w:tc>
          <w:tcPr>
            <w:tcW w:w="760" w:type="dxa"/>
            <w:vAlign w:val="bottom"/>
            <w:vMerge w:val="continue"/>
            <w:shd w:val="clear" w:color="auto" w:fill="F5F5F5"/>
          </w:tcPr>
          <w:p>
            <w:pPr>
              <w:spacing w:after="0"/>
              <w:rPr>
                <w:sz w:val="16"/>
                <w:szCs w:val="16"/>
                <w:color w:val="auto"/>
              </w:rPr>
            </w:pPr>
          </w:p>
        </w:tc>
        <w:tc>
          <w:tcPr>
            <w:tcW w:w="160" w:type="dxa"/>
            <w:vAlign w:val="bottom"/>
            <w:shd w:val="clear" w:color="auto" w:fill="F5F5F5"/>
          </w:tcPr>
          <w:p>
            <w:pPr>
              <w:spacing w:after="0"/>
              <w:rPr>
                <w:sz w:val="16"/>
                <w:szCs w:val="16"/>
                <w:color w:val="auto"/>
              </w:rPr>
            </w:pPr>
          </w:p>
        </w:tc>
        <w:tc>
          <w:tcPr>
            <w:tcW w:w="900" w:type="dxa"/>
            <w:vAlign w:val="bottom"/>
            <w:vMerge w:val="continue"/>
            <w:shd w:val="clear" w:color="auto" w:fill="F5F5F5"/>
          </w:tcPr>
          <w:p>
            <w:pPr>
              <w:spacing w:after="0"/>
              <w:rPr>
                <w:sz w:val="16"/>
                <w:szCs w:val="16"/>
                <w:color w:val="auto"/>
              </w:rPr>
            </w:pPr>
          </w:p>
        </w:tc>
        <w:tc>
          <w:tcPr>
            <w:tcW w:w="120" w:type="dxa"/>
            <w:vAlign w:val="bottom"/>
            <w:shd w:val="clear" w:color="auto" w:fill="F5F5F5"/>
          </w:tcPr>
          <w:p>
            <w:pPr>
              <w:spacing w:after="0"/>
              <w:rPr>
                <w:sz w:val="16"/>
                <w:szCs w:val="16"/>
                <w:color w:val="auto"/>
              </w:rPr>
            </w:pPr>
          </w:p>
        </w:tc>
        <w:tc>
          <w:tcPr>
            <w:tcW w:w="980" w:type="dxa"/>
            <w:vAlign w:val="bottom"/>
            <w:vMerge w:val="continue"/>
            <w:shd w:val="clear" w:color="auto" w:fill="F5F5F5"/>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460" w:type="dxa"/>
            <w:vAlign w:val="bottom"/>
          </w:tcPr>
          <w:p>
            <w:pPr>
              <w:ind w:left="140"/>
              <w:spacing w:after="0"/>
              <w:rPr>
                <w:sz w:val="20"/>
                <w:szCs w:val="20"/>
                <w:color w:val="auto"/>
              </w:rPr>
            </w:pPr>
            <w:r>
              <w:rPr>
                <w:rFonts w:ascii="Arial" w:cs="Arial" w:eastAsia="Arial" w:hAnsi="Arial"/>
                <w:sz w:val="13"/>
                <w:szCs w:val="13"/>
                <w:color w:val="auto"/>
              </w:rPr>
              <w:t>Share-based compensation expense</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38,667</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38,667</w:t>
            </w:r>
          </w:p>
        </w:tc>
        <w:tc>
          <w:tcPr>
            <w:tcW w:w="0" w:type="dxa"/>
            <w:vAlign w:val="bottom"/>
          </w:tcPr>
          <w:p>
            <w:pPr>
              <w:spacing w:after="0"/>
              <w:rPr>
                <w:sz w:val="1"/>
                <w:szCs w:val="1"/>
                <w:color w:val="auto"/>
              </w:rPr>
            </w:pPr>
          </w:p>
        </w:tc>
      </w:tr>
      <w:tr>
        <w:trPr>
          <w:trHeight w:val="142"/>
        </w:trPr>
        <w:tc>
          <w:tcPr>
            <w:tcW w:w="2460" w:type="dxa"/>
            <w:vAlign w:val="bottom"/>
            <w:shd w:val="clear" w:color="auto" w:fill="F5F5F5"/>
          </w:tcPr>
          <w:p>
            <w:pPr>
              <w:ind w:left="140"/>
              <w:spacing w:after="0" w:line="142" w:lineRule="exact"/>
              <w:rPr>
                <w:sz w:val="20"/>
                <w:szCs w:val="20"/>
                <w:color w:val="auto"/>
              </w:rPr>
            </w:pPr>
            <w:r>
              <w:rPr>
                <w:rFonts w:ascii="Arial" w:cs="Arial" w:eastAsia="Arial" w:hAnsi="Arial"/>
                <w:sz w:val="13"/>
                <w:szCs w:val="13"/>
                <w:color w:val="auto"/>
              </w:rPr>
              <w:t>Derivative financial instruments, net of</w:t>
            </w:r>
          </w:p>
        </w:tc>
        <w:tc>
          <w:tcPr>
            <w:tcW w:w="1000" w:type="dxa"/>
            <w:vAlign w:val="bottom"/>
            <w:vMerge w:val="restart"/>
            <w:shd w:val="clear" w:color="auto" w:fill="F5F5F5"/>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F5F5F5"/>
          </w:tcPr>
          <w:p>
            <w:pPr>
              <w:spacing w:after="0"/>
              <w:rPr>
                <w:sz w:val="12"/>
                <w:szCs w:val="12"/>
                <w:color w:val="auto"/>
              </w:rPr>
            </w:pPr>
          </w:p>
        </w:tc>
        <w:tc>
          <w:tcPr>
            <w:tcW w:w="560" w:type="dxa"/>
            <w:vAlign w:val="bottom"/>
            <w:vMerge w:val="restart"/>
            <w:shd w:val="clear" w:color="auto" w:fill="F5F5F5"/>
          </w:tcPr>
          <w:p>
            <w:pPr>
              <w:jc w:val="right"/>
              <w:ind w:right="13"/>
              <w:spacing w:after="0"/>
              <w:rPr>
                <w:sz w:val="20"/>
                <w:szCs w:val="20"/>
                <w:color w:val="auto"/>
              </w:rPr>
            </w:pPr>
            <w:r>
              <w:rPr>
                <w:rFonts w:ascii="Arial" w:cs="Arial" w:eastAsia="Arial" w:hAnsi="Arial"/>
                <w:sz w:val="13"/>
                <w:szCs w:val="13"/>
                <w:color w:val="auto"/>
              </w:rPr>
              <w:t>—</w:t>
            </w:r>
          </w:p>
        </w:tc>
        <w:tc>
          <w:tcPr>
            <w:tcW w:w="200" w:type="dxa"/>
            <w:vAlign w:val="bottom"/>
            <w:shd w:val="clear" w:color="auto" w:fill="F5F5F5"/>
          </w:tcPr>
          <w:p>
            <w:pPr>
              <w:spacing w:after="0"/>
              <w:rPr>
                <w:sz w:val="12"/>
                <w:szCs w:val="12"/>
                <w:color w:val="auto"/>
              </w:rPr>
            </w:pPr>
          </w:p>
        </w:tc>
        <w:tc>
          <w:tcPr>
            <w:tcW w:w="820" w:type="dxa"/>
            <w:vAlign w:val="bottom"/>
            <w:vMerge w:val="restart"/>
            <w:shd w:val="clear" w:color="auto" w:fill="F5F5F5"/>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F5F5F5"/>
          </w:tcPr>
          <w:p>
            <w:pPr>
              <w:spacing w:after="0"/>
              <w:rPr>
                <w:sz w:val="12"/>
                <w:szCs w:val="12"/>
                <w:color w:val="auto"/>
              </w:rPr>
            </w:pPr>
          </w:p>
        </w:tc>
        <w:tc>
          <w:tcPr>
            <w:tcW w:w="840" w:type="dxa"/>
            <w:vAlign w:val="bottom"/>
            <w:vMerge w:val="restart"/>
            <w:shd w:val="clear" w:color="auto" w:fill="F5F5F5"/>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F5F5F5"/>
          </w:tcPr>
          <w:p>
            <w:pPr>
              <w:spacing w:after="0"/>
              <w:rPr>
                <w:sz w:val="12"/>
                <w:szCs w:val="12"/>
                <w:color w:val="auto"/>
              </w:rPr>
            </w:pPr>
          </w:p>
        </w:tc>
        <w:tc>
          <w:tcPr>
            <w:tcW w:w="860" w:type="dxa"/>
            <w:vAlign w:val="bottom"/>
            <w:vMerge w:val="restart"/>
            <w:shd w:val="clear" w:color="auto" w:fill="F5F5F5"/>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F5F5F5"/>
          </w:tcPr>
          <w:p>
            <w:pPr>
              <w:spacing w:after="0"/>
              <w:rPr>
                <w:sz w:val="12"/>
                <w:szCs w:val="12"/>
                <w:color w:val="auto"/>
              </w:rPr>
            </w:pPr>
          </w:p>
        </w:tc>
        <w:tc>
          <w:tcPr>
            <w:tcW w:w="840" w:type="dxa"/>
            <w:vAlign w:val="bottom"/>
            <w:vMerge w:val="restart"/>
            <w:shd w:val="clear" w:color="auto" w:fill="F5F5F5"/>
          </w:tcPr>
          <w:p>
            <w:pPr>
              <w:jc w:val="right"/>
              <w:ind w:right="13"/>
              <w:spacing w:after="0"/>
              <w:rPr>
                <w:sz w:val="20"/>
                <w:szCs w:val="20"/>
                <w:color w:val="auto"/>
              </w:rPr>
            </w:pPr>
            <w:r>
              <w:rPr>
                <w:rFonts w:ascii="Arial" w:cs="Arial" w:eastAsia="Arial" w:hAnsi="Arial"/>
                <w:sz w:val="13"/>
                <w:szCs w:val="13"/>
                <w:color w:val="auto"/>
              </w:rPr>
              <w:t>4,168</w:t>
            </w:r>
          </w:p>
        </w:tc>
        <w:tc>
          <w:tcPr>
            <w:tcW w:w="760" w:type="dxa"/>
            <w:vAlign w:val="bottom"/>
            <w:vMerge w:val="restart"/>
            <w:shd w:val="clear" w:color="auto" w:fill="F5F5F5"/>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F5F5F5"/>
          </w:tcPr>
          <w:p>
            <w:pPr>
              <w:spacing w:after="0"/>
              <w:rPr>
                <w:sz w:val="12"/>
                <w:szCs w:val="12"/>
                <w:color w:val="auto"/>
              </w:rPr>
            </w:pPr>
          </w:p>
        </w:tc>
        <w:tc>
          <w:tcPr>
            <w:tcW w:w="900" w:type="dxa"/>
            <w:vAlign w:val="bottom"/>
            <w:vMerge w:val="restart"/>
            <w:shd w:val="clear" w:color="auto" w:fill="F5F5F5"/>
          </w:tcPr>
          <w:p>
            <w:pPr>
              <w:jc w:val="right"/>
              <w:ind w:right="13"/>
              <w:spacing w:after="0"/>
              <w:rPr>
                <w:sz w:val="20"/>
                <w:szCs w:val="20"/>
                <w:color w:val="auto"/>
              </w:rPr>
            </w:pPr>
            <w:r>
              <w:rPr>
                <w:rFonts w:ascii="Arial" w:cs="Arial" w:eastAsia="Arial" w:hAnsi="Arial"/>
                <w:sz w:val="13"/>
                <w:szCs w:val="13"/>
                <w:color w:val="auto"/>
              </w:rPr>
              <w:t>—</w:t>
            </w:r>
          </w:p>
        </w:tc>
        <w:tc>
          <w:tcPr>
            <w:tcW w:w="120" w:type="dxa"/>
            <w:vAlign w:val="bottom"/>
            <w:shd w:val="clear" w:color="auto" w:fill="F5F5F5"/>
          </w:tcPr>
          <w:p>
            <w:pPr>
              <w:spacing w:after="0"/>
              <w:rPr>
                <w:sz w:val="12"/>
                <w:szCs w:val="12"/>
                <w:color w:val="auto"/>
              </w:rPr>
            </w:pPr>
          </w:p>
        </w:tc>
        <w:tc>
          <w:tcPr>
            <w:tcW w:w="980" w:type="dxa"/>
            <w:vAlign w:val="bottom"/>
            <w:vMerge w:val="restart"/>
            <w:shd w:val="clear" w:color="auto" w:fill="F5F5F5"/>
          </w:tcPr>
          <w:p>
            <w:pPr>
              <w:jc w:val="right"/>
              <w:spacing w:after="0"/>
              <w:rPr>
                <w:sz w:val="20"/>
                <w:szCs w:val="20"/>
                <w:color w:val="auto"/>
              </w:rPr>
            </w:pPr>
            <w:r>
              <w:rPr>
                <w:rFonts w:ascii="Arial" w:cs="Arial" w:eastAsia="Arial" w:hAnsi="Arial"/>
                <w:sz w:val="13"/>
                <w:szCs w:val="13"/>
                <w:color w:val="auto"/>
              </w:rPr>
              <w:t>4,168</w:t>
            </w:r>
          </w:p>
        </w:tc>
        <w:tc>
          <w:tcPr>
            <w:tcW w:w="0" w:type="dxa"/>
            <w:vAlign w:val="bottom"/>
          </w:tcPr>
          <w:p>
            <w:pPr>
              <w:spacing w:after="0"/>
              <w:rPr>
                <w:sz w:val="1"/>
                <w:szCs w:val="1"/>
                <w:color w:val="auto"/>
              </w:rPr>
            </w:pPr>
          </w:p>
        </w:tc>
      </w:tr>
      <w:tr>
        <w:trPr>
          <w:trHeight w:val="188"/>
        </w:trPr>
        <w:tc>
          <w:tcPr>
            <w:tcW w:w="2460" w:type="dxa"/>
            <w:vAlign w:val="bottom"/>
            <w:shd w:val="clear" w:color="auto" w:fill="F5F5F5"/>
          </w:tcPr>
          <w:p>
            <w:pPr>
              <w:ind w:left="140"/>
              <w:spacing w:after="0"/>
              <w:rPr>
                <w:sz w:val="20"/>
                <w:szCs w:val="20"/>
                <w:color w:val="auto"/>
              </w:rPr>
            </w:pPr>
            <w:r>
              <w:rPr>
                <w:rFonts w:ascii="Arial" w:cs="Arial" w:eastAsia="Arial" w:hAnsi="Arial"/>
                <w:sz w:val="13"/>
                <w:szCs w:val="13"/>
                <w:color w:val="auto"/>
              </w:rPr>
              <w:t>tax</w:t>
            </w:r>
          </w:p>
        </w:tc>
        <w:tc>
          <w:tcPr>
            <w:tcW w:w="1000" w:type="dxa"/>
            <w:vAlign w:val="bottom"/>
            <w:vMerge w:val="continue"/>
            <w:shd w:val="clear" w:color="auto" w:fill="F5F5F5"/>
          </w:tcPr>
          <w:p>
            <w:pPr>
              <w:spacing w:after="0"/>
              <w:rPr>
                <w:sz w:val="16"/>
                <w:szCs w:val="16"/>
                <w:color w:val="auto"/>
              </w:rPr>
            </w:pPr>
          </w:p>
        </w:tc>
        <w:tc>
          <w:tcPr>
            <w:tcW w:w="140" w:type="dxa"/>
            <w:vAlign w:val="bottom"/>
            <w:shd w:val="clear" w:color="auto" w:fill="F5F5F5"/>
          </w:tcPr>
          <w:p>
            <w:pPr>
              <w:spacing w:after="0"/>
              <w:rPr>
                <w:sz w:val="16"/>
                <w:szCs w:val="16"/>
                <w:color w:val="auto"/>
              </w:rPr>
            </w:pPr>
          </w:p>
        </w:tc>
        <w:tc>
          <w:tcPr>
            <w:tcW w:w="560" w:type="dxa"/>
            <w:vAlign w:val="bottom"/>
            <w:vMerge w:val="continue"/>
            <w:shd w:val="clear" w:color="auto" w:fill="F5F5F5"/>
          </w:tcPr>
          <w:p>
            <w:pPr>
              <w:spacing w:after="0"/>
              <w:rPr>
                <w:sz w:val="16"/>
                <w:szCs w:val="16"/>
                <w:color w:val="auto"/>
              </w:rPr>
            </w:pPr>
          </w:p>
        </w:tc>
        <w:tc>
          <w:tcPr>
            <w:tcW w:w="200" w:type="dxa"/>
            <w:vAlign w:val="bottom"/>
            <w:shd w:val="clear" w:color="auto" w:fill="F5F5F5"/>
          </w:tcPr>
          <w:p>
            <w:pPr>
              <w:spacing w:after="0"/>
              <w:rPr>
                <w:sz w:val="16"/>
                <w:szCs w:val="16"/>
                <w:color w:val="auto"/>
              </w:rPr>
            </w:pPr>
          </w:p>
        </w:tc>
        <w:tc>
          <w:tcPr>
            <w:tcW w:w="820" w:type="dxa"/>
            <w:vAlign w:val="bottom"/>
            <w:vMerge w:val="continue"/>
            <w:shd w:val="clear" w:color="auto" w:fill="F5F5F5"/>
          </w:tcPr>
          <w:p>
            <w:pPr>
              <w:spacing w:after="0"/>
              <w:rPr>
                <w:sz w:val="16"/>
                <w:szCs w:val="16"/>
                <w:color w:val="auto"/>
              </w:rPr>
            </w:pPr>
          </w:p>
        </w:tc>
        <w:tc>
          <w:tcPr>
            <w:tcW w:w="200" w:type="dxa"/>
            <w:vAlign w:val="bottom"/>
            <w:shd w:val="clear" w:color="auto" w:fill="F5F5F5"/>
          </w:tcPr>
          <w:p>
            <w:pPr>
              <w:spacing w:after="0"/>
              <w:rPr>
                <w:sz w:val="16"/>
                <w:szCs w:val="16"/>
                <w:color w:val="auto"/>
              </w:rPr>
            </w:pPr>
          </w:p>
        </w:tc>
        <w:tc>
          <w:tcPr>
            <w:tcW w:w="840" w:type="dxa"/>
            <w:vAlign w:val="bottom"/>
            <w:vMerge w:val="continue"/>
            <w:shd w:val="clear" w:color="auto" w:fill="F5F5F5"/>
          </w:tcPr>
          <w:p>
            <w:pPr>
              <w:spacing w:after="0"/>
              <w:rPr>
                <w:sz w:val="16"/>
                <w:szCs w:val="16"/>
                <w:color w:val="auto"/>
              </w:rPr>
            </w:pPr>
          </w:p>
        </w:tc>
        <w:tc>
          <w:tcPr>
            <w:tcW w:w="180" w:type="dxa"/>
            <w:vAlign w:val="bottom"/>
            <w:shd w:val="clear" w:color="auto" w:fill="F5F5F5"/>
          </w:tcPr>
          <w:p>
            <w:pPr>
              <w:spacing w:after="0"/>
              <w:rPr>
                <w:sz w:val="16"/>
                <w:szCs w:val="16"/>
                <w:color w:val="auto"/>
              </w:rPr>
            </w:pPr>
          </w:p>
        </w:tc>
        <w:tc>
          <w:tcPr>
            <w:tcW w:w="860" w:type="dxa"/>
            <w:vAlign w:val="bottom"/>
            <w:vMerge w:val="continue"/>
            <w:shd w:val="clear" w:color="auto" w:fill="F5F5F5"/>
          </w:tcPr>
          <w:p>
            <w:pPr>
              <w:spacing w:after="0"/>
              <w:rPr>
                <w:sz w:val="16"/>
                <w:szCs w:val="16"/>
                <w:color w:val="auto"/>
              </w:rPr>
            </w:pPr>
          </w:p>
        </w:tc>
        <w:tc>
          <w:tcPr>
            <w:tcW w:w="220" w:type="dxa"/>
            <w:vAlign w:val="bottom"/>
            <w:shd w:val="clear" w:color="auto" w:fill="F5F5F5"/>
          </w:tcPr>
          <w:p>
            <w:pPr>
              <w:spacing w:after="0"/>
              <w:rPr>
                <w:sz w:val="16"/>
                <w:szCs w:val="16"/>
                <w:color w:val="auto"/>
              </w:rPr>
            </w:pPr>
          </w:p>
        </w:tc>
        <w:tc>
          <w:tcPr>
            <w:tcW w:w="840" w:type="dxa"/>
            <w:vAlign w:val="bottom"/>
            <w:vMerge w:val="continue"/>
            <w:shd w:val="clear" w:color="auto" w:fill="F5F5F5"/>
          </w:tcPr>
          <w:p>
            <w:pPr>
              <w:spacing w:after="0"/>
              <w:rPr>
                <w:sz w:val="16"/>
                <w:szCs w:val="16"/>
                <w:color w:val="auto"/>
              </w:rPr>
            </w:pPr>
          </w:p>
        </w:tc>
        <w:tc>
          <w:tcPr>
            <w:tcW w:w="760" w:type="dxa"/>
            <w:vAlign w:val="bottom"/>
            <w:vMerge w:val="continue"/>
            <w:shd w:val="clear" w:color="auto" w:fill="F5F5F5"/>
          </w:tcPr>
          <w:p>
            <w:pPr>
              <w:spacing w:after="0"/>
              <w:rPr>
                <w:sz w:val="16"/>
                <w:szCs w:val="16"/>
                <w:color w:val="auto"/>
              </w:rPr>
            </w:pPr>
          </w:p>
        </w:tc>
        <w:tc>
          <w:tcPr>
            <w:tcW w:w="160" w:type="dxa"/>
            <w:vAlign w:val="bottom"/>
            <w:shd w:val="clear" w:color="auto" w:fill="F5F5F5"/>
          </w:tcPr>
          <w:p>
            <w:pPr>
              <w:spacing w:after="0"/>
              <w:rPr>
                <w:sz w:val="16"/>
                <w:szCs w:val="16"/>
                <w:color w:val="auto"/>
              </w:rPr>
            </w:pPr>
          </w:p>
        </w:tc>
        <w:tc>
          <w:tcPr>
            <w:tcW w:w="900" w:type="dxa"/>
            <w:vAlign w:val="bottom"/>
            <w:vMerge w:val="continue"/>
            <w:shd w:val="clear" w:color="auto" w:fill="F5F5F5"/>
          </w:tcPr>
          <w:p>
            <w:pPr>
              <w:spacing w:after="0"/>
              <w:rPr>
                <w:sz w:val="16"/>
                <w:szCs w:val="16"/>
                <w:color w:val="auto"/>
              </w:rPr>
            </w:pPr>
          </w:p>
        </w:tc>
        <w:tc>
          <w:tcPr>
            <w:tcW w:w="120" w:type="dxa"/>
            <w:vAlign w:val="bottom"/>
            <w:shd w:val="clear" w:color="auto" w:fill="F5F5F5"/>
          </w:tcPr>
          <w:p>
            <w:pPr>
              <w:spacing w:after="0"/>
              <w:rPr>
                <w:sz w:val="16"/>
                <w:szCs w:val="16"/>
                <w:color w:val="auto"/>
              </w:rPr>
            </w:pPr>
          </w:p>
        </w:tc>
        <w:tc>
          <w:tcPr>
            <w:tcW w:w="980" w:type="dxa"/>
            <w:vAlign w:val="bottom"/>
            <w:vMerge w:val="continue"/>
            <w:shd w:val="clear" w:color="auto" w:fill="F5F5F5"/>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460" w:type="dxa"/>
            <w:vAlign w:val="bottom"/>
          </w:tcPr>
          <w:p>
            <w:pPr>
              <w:ind w:left="140"/>
              <w:spacing w:after="0" w:line="136" w:lineRule="exact"/>
              <w:rPr>
                <w:sz w:val="20"/>
                <w:szCs w:val="20"/>
                <w:color w:val="auto"/>
              </w:rPr>
            </w:pPr>
            <w:r>
              <w:rPr>
                <w:rFonts w:ascii="Arial" w:cs="Arial" w:eastAsia="Arial" w:hAnsi="Arial"/>
                <w:sz w:val="13"/>
                <w:szCs w:val="13"/>
                <w:color w:val="auto"/>
              </w:rPr>
              <w:t>Foreign currency translation</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6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(7,351)</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90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(7,351)</w:t>
            </w:r>
          </w:p>
        </w:tc>
        <w:tc>
          <w:tcPr>
            <w:tcW w:w="0" w:type="dxa"/>
            <w:vAlign w:val="bottom"/>
          </w:tcPr>
          <w:p>
            <w:pPr>
              <w:spacing w:after="0"/>
              <w:rPr>
                <w:sz w:val="1"/>
                <w:szCs w:val="1"/>
                <w:color w:val="auto"/>
              </w:rPr>
            </w:pPr>
          </w:p>
        </w:tc>
      </w:tr>
      <w:tr>
        <w:trPr>
          <w:trHeight w:val="182"/>
        </w:trPr>
        <w:tc>
          <w:tcPr>
            <w:tcW w:w="2460" w:type="dxa"/>
            <w:vAlign w:val="bottom"/>
          </w:tcPr>
          <w:p>
            <w:pPr>
              <w:ind w:left="140"/>
              <w:spacing w:after="0"/>
              <w:rPr>
                <w:sz w:val="20"/>
                <w:szCs w:val="20"/>
                <w:color w:val="auto"/>
              </w:rPr>
            </w:pPr>
            <w:r>
              <w:rPr>
                <w:rFonts w:ascii="Arial" w:cs="Arial" w:eastAsia="Arial" w:hAnsi="Arial"/>
                <w:sz w:val="13"/>
                <w:szCs w:val="13"/>
                <w:color w:val="auto"/>
              </w:rPr>
              <w:t>adjustments, net of tax</w:t>
            </w:r>
          </w:p>
        </w:tc>
        <w:tc>
          <w:tcPr>
            <w:tcW w:w="10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60" w:type="dxa"/>
            <w:vAlign w:val="bottom"/>
            <w:shd w:val="clear" w:color="auto" w:fill="F5F5F5"/>
          </w:tcPr>
          <w:p>
            <w:pPr>
              <w:ind w:left="140"/>
              <w:spacing w:after="0" w:line="142" w:lineRule="exact"/>
              <w:rPr>
                <w:sz w:val="20"/>
                <w:szCs w:val="20"/>
                <w:color w:val="auto"/>
              </w:rPr>
            </w:pPr>
            <w:r>
              <w:rPr>
                <w:rFonts w:ascii="Arial" w:cs="Arial" w:eastAsia="Arial" w:hAnsi="Arial"/>
                <w:sz w:val="13"/>
                <w:szCs w:val="13"/>
                <w:color w:val="auto"/>
              </w:rPr>
              <w:t>Distribution to noncontrolling</w:t>
            </w:r>
          </w:p>
        </w:tc>
        <w:tc>
          <w:tcPr>
            <w:tcW w:w="1000" w:type="dxa"/>
            <w:vAlign w:val="bottom"/>
            <w:vMerge w:val="restart"/>
            <w:shd w:val="clear" w:color="auto" w:fill="F5F5F5"/>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F5F5F5"/>
          </w:tcPr>
          <w:p>
            <w:pPr>
              <w:spacing w:after="0"/>
              <w:rPr>
                <w:sz w:val="12"/>
                <w:szCs w:val="12"/>
                <w:color w:val="auto"/>
              </w:rPr>
            </w:pPr>
          </w:p>
        </w:tc>
        <w:tc>
          <w:tcPr>
            <w:tcW w:w="560" w:type="dxa"/>
            <w:vAlign w:val="bottom"/>
            <w:vMerge w:val="restart"/>
            <w:shd w:val="clear" w:color="auto" w:fill="F5F5F5"/>
          </w:tcPr>
          <w:p>
            <w:pPr>
              <w:jc w:val="right"/>
              <w:ind w:right="13"/>
              <w:spacing w:after="0"/>
              <w:rPr>
                <w:sz w:val="20"/>
                <w:szCs w:val="20"/>
                <w:color w:val="auto"/>
              </w:rPr>
            </w:pPr>
            <w:r>
              <w:rPr>
                <w:rFonts w:ascii="Arial" w:cs="Arial" w:eastAsia="Arial" w:hAnsi="Arial"/>
                <w:sz w:val="13"/>
                <w:szCs w:val="13"/>
                <w:color w:val="auto"/>
              </w:rPr>
              <w:t>—</w:t>
            </w:r>
          </w:p>
        </w:tc>
        <w:tc>
          <w:tcPr>
            <w:tcW w:w="200" w:type="dxa"/>
            <w:vAlign w:val="bottom"/>
            <w:shd w:val="clear" w:color="auto" w:fill="F5F5F5"/>
          </w:tcPr>
          <w:p>
            <w:pPr>
              <w:spacing w:after="0"/>
              <w:rPr>
                <w:sz w:val="12"/>
                <w:szCs w:val="12"/>
                <w:color w:val="auto"/>
              </w:rPr>
            </w:pPr>
          </w:p>
        </w:tc>
        <w:tc>
          <w:tcPr>
            <w:tcW w:w="820" w:type="dxa"/>
            <w:vAlign w:val="bottom"/>
            <w:vMerge w:val="restart"/>
            <w:shd w:val="clear" w:color="auto" w:fill="F5F5F5"/>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F5F5F5"/>
          </w:tcPr>
          <w:p>
            <w:pPr>
              <w:spacing w:after="0"/>
              <w:rPr>
                <w:sz w:val="12"/>
                <w:szCs w:val="12"/>
                <w:color w:val="auto"/>
              </w:rPr>
            </w:pPr>
          </w:p>
        </w:tc>
        <w:tc>
          <w:tcPr>
            <w:tcW w:w="840" w:type="dxa"/>
            <w:vAlign w:val="bottom"/>
            <w:vMerge w:val="restart"/>
            <w:shd w:val="clear" w:color="auto" w:fill="F5F5F5"/>
          </w:tcPr>
          <w:p>
            <w:pPr>
              <w:jc w:val="right"/>
              <w:spacing w:after="0"/>
              <w:rPr>
                <w:sz w:val="20"/>
                <w:szCs w:val="20"/>
                <w:color w:val="auto"/>
              </w:rPr>
            </w:pPr>
            <w:r>
              <w:rPr>
                <w:rFonts w:ascii="Arial" w:cs="Arial" w:eastAsia="Arial" w:hAnsi="Arial"/>
                <w:sz w:val="13"/>
                <w:szCs w:val="13"/>
                <w:color w:val="auto"/>
              </w:rPr>
              <w:t>(6,925)</w:t>
            </w:r>
          </w:p>
        </w:tc>
        <w:tc>
          <w:tcPr>
            <w:tcW w:w="180" w:type="dxa"/>
            <w:vAlign w:val="bottom"/>
            <w:shd w:val="clear" w:color="auto" w:fill="F5F5F5"/>
          </w:tcPr>
          <w:p>
            <w:pPr>
              <w:spacing w:after="0"/>
              <w:rPr>
                <w:sz w:val="12"/>
                <w:szCs w:val="12"/>
                <w:color w:val="auto"/>
              </w:rPr>
            </w:pPr>
          </w:p>
        </w:tc>
        <w:tc>
          <w:tcPr>
            <w:tcW w:w="860" w:type="dxa"/>
            <w:vAlign w:val="bottom"/>
            <w:vMerge w:val="restart"/>
            <w:shd w:val="clear" w:color="auto" w:fill="F5F5F5"/>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F5F5F5"/>
          </w:tcPr>
          <w:p>
            <w:pPr>
              <w:spacing w:after="0"/>
              <w:rPr>
                <w:sz w:val="12"/>
                <w:szCs w:val="12"/>
                <w:color w:val="auto"/>
              </w:rPr>
            </w:pPr>
          </w:p>
        </w:tc>
        <w:tc>
          <w:tcPr>
            <w:tcW w:w="840" w:type="dxa"/>
            <w:vAlign w:val="bottom"/>
            <w:vMerge w:val="restart"/>
            <w:shd w:val="clear" w:color="auto" w:fill="F5F5F5"/>
          </w:tcPr>
          <w:p>
            <w:pPr>
              <w:jc w:val="right"/>
              <w:ind w:right="13"/>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F5F5F5"/>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F5F5F5"/>
          </w:tcPr>
          <w:p>
            <w:pPr>
              <w:spacing w:after="0"/>
              <w:rPr>
                <w:sz w:val="12"/>
                <w:szCs w:val="12"/>
                <w:color w:val="auto"/>
              </w:rPr>
            </w:pPr>
          </w:p>
        </w:tc>
        <w:tc>
          <w:tcPr>
            <w:tcW w:w="900" w:type="dxa"/>
            <w:vAlign w:val="bottom"/>
            <w:vMerge w:val="restart"/>
            <w:shd w:val="clear" w:color="auto" w:fill="F5F5F5"/>
          </w:tcPr>
          <w:p>
            <w:pPr>
              <w:jc w:val="right"/>
              <w:ind w:right="13"/>
              <w:spacing w:after="0"/>
              <w:rPr>
                <w:sz w:val="20"/>
                <w:szCs w:val="20"/>
                <w:color w:val="auto"/>
              </w:rPr>
            </w:pPr>
            <w:r>
              <w:rPr>
                <w:rFonts w:ascii="Arial" w:cs="Arial" w:eastAsia="Arial" w:hAnsi="Arial"/>
                <w:sz w:val="13"/>
                <w:szCs w:val="13"/>
                <w:color w:val="auto"/>
              </w:rPr>
              <w:t>—</w:t>
            </w:r>
          </w:p>
        </w:tc>
        <w:tc>
          <w:tcPr>
            <w:tcW w:w="120" w:type="dxa"/>
            <w:vAlign w:val="bottom"/>
            <w:shd w:val="clear" w:color="auto" w:fill="F5F5F5"/>
          </w:tcPr>
          <w:p>
            <w:pPr>
              <w:spacing w:after="0"/>
              <w:rPr>
                <w:sz w:val="12"/>
                <w:szCs w:val="12"/>
                <w:color w:val="auto"/>
              </w:rPr>
            </w:pPr>
          </w:p>
        </w:tc>
        <w:tc>
          <w:tcPr>
            <w:tcW w:w="980" w:type="dxa"/>
            <w:vAlign w:val="bottom"/>
            <w:vMerge w:val="restart"/>
            <w:shd w:val="clear" w:color="auto" w:fill="F5F5F5"/>
          </w:tcPr>
          <w:p>
            <w:pPr>
              <w:jc w:val="right"/>
              <w:spacing w:after="0"/>
              <w:rPr>
                <w:sz w:val="20"/>
                <w:szCs w:val="20"/>
                <w:color w:val="auto"/>
              </w:rPr>
            </w:pPr>
            <w:r>
              <w:rPr>
                <w:rFonts w:ascii="Arial" w:cs="Arial" w:eastAsia="Arial" w:hAnsi="Arial"/>
                <w:sz w:val="13"/>
                <w:szCs w:val="13"/>
                <w:color w:val="auto"/>
              </w:rPr>
              <w:t>(6,925)</w:t>
            </w:r>
          </w:p>
        </w:tc>
        <w:tc>
          <w:tcPr>
            <w:tcW w:w="0" w:type="dxa"/>
            <w:vAlign w:val="bottom"/>
          </w:tcPr>
          <w:p>
            <w:pPr>
              <w:spacing w:after="0"/>
              <w:rPr>
                <w:sz w:val="1"/>
                <w:szCs w:val="1"/>
                <w:color w:val="auto"/>
              </w:rPr>
            </w:pPr>
          </w:p>
        </w:tc>
      </w:tr>
      <w:tr>
        <w:trPr>
          <w:trHeight w:val="188"/>
        </w:trPr>
        <w:tc>
          <w:tcPr>
            <w:tcW w:w="2460" w:type="dxa"/>
            <w:vAlign w:val="bottom"/>
            <w:shd w:val="clear" w:color="auto" w:fill="F5F5F5"/>
          </w:tcPr>
          <w:p>
            <w:pPr>
              <w:ind w:left="140"/>
              <w:spacing w:after="0"/>
              <w:rPr>
                <w:sz w:val="20"/>
                <w:szCs w:val="20"/>
                <w:color w:val="auto"/>
              </w:rPr>
            </w:pPr>
            <w:r>
              <w:rPr>
                <w:rFonts w:ascii="Arial" w:cs="Arial" w:eastAsia="Arial" w:hAnsi="Arial"/>
                <w:sz w:val="13"/>
                <w:szCs w:val="13"/>
                <w:color w:val="auto"/>
              </w:rPr>
              <w:t>interests, net</w:t>
            </w:r>
          </w:p>
        </w:tc>
        <w:tc>
          <w:tcPr>
            <w:tcW w:w="1000" w:type="dxa"/>
            <w:vAlign w:val="bottom"/>
            <w:tcBorders>
              <w:bottom w:val="single" w:sz="8" w:color="auto"/>
            </w:tcBorders>
            <w:vMerge w:val="continue"/>
            <w:shd w:val="clear" w:color="auto" w:fill="F5F5F5"/>
          </w:tcPr>
          <w:p>
            <w:pPr>
              <w:spacing w:after="0"/>
              <w:rPr>
                <w:sz w:val="16"/>
                <w:szCs w:val="16"/>
                <w:color w:val="auto"/>
              </w:rPr>
            </w:pPr>
          </w:p>
        </w:tc>
        <w:tc>
          <w:tcPr>
            <w:tcW w:w="140" w:type="dxa"/>
            <w:vAlign w:val="bottom"/>
            <w:tcBorders>
              <w:bottom w:val="single" w:sz="8" w:color="auto"/>
            </w:tcBorders>
            <w:shd w:val="clear" w:color="auto" w:fill="F5F5F5"/>
          </w:tcPr>
          <w:p>
            <w:pPr>
              <w:spacing w:after="0"/>
              <w:rPr>
                <w:sz w:val="16"/>
                <w:szCs w:val="16"/>
                <w:color w:val="auto"/>
              </w:rPr>
            </w:pPr>
          </w:p>
        </w:tc>
        <w:tc>
          <w:tcPr>
            <w:tcW w:w="560" w:type="dxa"/>
            <w:vAlign w:val="bottom"/>
            <w:tcBorders>
              <w:bottom w:val="single" w:sz="8" w:color="auto"/>
            </w:tcBorders>
            <w:vMerge w:val="continue"/>
            <w:shd w:val="clear" w:color="auto" w:fill="F5F5F5"/>
          </w:tcPr>
          <w:p>
            <w:pPr>
              <w:spacing w:after="0"/>
              <w:rPr>
                <w:sz w:val="16"/>
                <w:szCs w:val="16"/>
                <w:color w:val="auto"/>
              </w:rPr>
            </w:pPr>
          </w:p>
        </w:tc>
        <w:tc>
          <w:tcPr>
            <w:tcW w:w="200" w:type="dxa"/>
            <w:vAlign w:val="bottom"/>
            <w:tcBorders>
              <w:bottom w:val="single" w:sz="8" w:color="auto"/>
            </w:tcBorders>
            <w:shd w:val="clear" w:color="auto" w:fill="F5F5F5"/>
          </w:tcPr>
          <w:p>
            <w:pPr>
              <w:spacing w:after="0"/>
              <w:rPr>
                <w:sz w:val="16"/>
                <w:szCs w:val="16"/>
                <w:color w:val="auto"/>
              </w:rPr>
            </w:pPr>
          </w:p>
        </w:tc>
        <w:tc>
          <w:tcPr>
            <w:tcW w:w="820" w:type="dxa"/>
            <w:vAlign w:val="bottom"/>
            <w:tcBorders>
              <w:bottom w:val="single" w:sz="8" w:color="auto"/>
            </w:tcBorders>
            <w:vMerge w:val="continue"/>
            <w:shd w:val="clear" w:color="auto" w:fill="F5F5F5"/>
          </w:tcPr>
          <w:p>
            <w:pPr>
              <w:spacing w:after="0"/>
              <w:rPr>
                <w:sz w:val="16"/>
                <w:szCs w:val="16"/>
                <w:color w:val="auto"/>
              </w:rPr>
            </w:pPr>
          </w:p>
        </w:tc>
        <w:tc>
          <w:tcPr>
            <w:tcW w:w="200" w:type="dxa"/>
            <w:vAlign w:val="bottom"/>
            <w:tcBorders>
              <w:bottom w:val="single" w:sz="8" w:color="auto"/>
            </w:tcBorders>
            <w:shd w:val="clear" w:color="auto" w:fill="F5F5F5"/>
          </w:tcPr>
          <w:p>
            <w:pPr>
              <w:spacing w:after="0"/>
              <w:rPr>
                <w:sz w:val="16"/>
                <w:szCs w:val="16"/>
                <w:color w:val="auto"/>
              </w:rPr>
            </w:pPr>
          </w:p>
        </w:tc>
        <w:tc>
          <w:tcPr>
            <w:tcW w:w="840" w:type="dxa"/>
            <w:vAlign w:val="bottom"/>
            <w:tcBorders>
              <w:bottom w:val="single" w:sz="8" w:color="auto"/>
            </w:tcBorders>
            <w:vMerge w:val="continue"/>
            <w:shd w:val="clear" w:color="auto" w:fill="F5F5F5"/>
          </w:tcPr>
          <w:p>
            <w:pPr>
              <w:spacing w:after="0"/>
              <w:rPr>
                <w:sz w:val="16"/>
                <w:szCs w:val="16"/>
                <w:color w:val="auto"/>
              </w:rPr>
            </w:pPr>
          </w:p>
        </w:tc>
        <w:tc>
          <w:tcPr>
            <w:tcW w:w="180" w:type="dxa"/>
            <w:vAlign w:val="bottom"/>
            <w:tcBorders>
              <w:bottom w:val="single" w:sz="8" w:color="auto"/>
            </w:tcBorders>
            <w:shd w:val="clear" w:color="auto" w:fill="F5F5F5"/>
          </w:tcPr>
          <w:p>
            <w:pPr>
              <w:spacing w:after="0"/>
              <w:rPr>
                <w:sz w:val="16"/>
                <w:szCs w:val="16"/>
                <w:color w:val="auto"/>
              </w:rPr>
            </w:pPr>
          </w:p>
        </w:tc>
        <w:tc>
          <w:tcPr>
            <w:tcW w:w="860" w:type="dxa"/>
            <w:vAlign w:val="bottom"/>
            <w:tcBorders>
              <w:bottom w:val="single" w:sz="8" w:color="auto"/>
            </w:tcBorders>
            <w:vMerge w:val="continue"/>
            <w:shd w:val="clear" w:color="auto" w:fill="F5F5F5"/>
          </w:tcPr>
          <w:p>
            <w:pPr>
              <w:spacing w:after="0"/>
              <w:rPr>
                <w:sz w:val="16"/>
                <w:szCs w:val="16"/>
                <w:color w:val="auto"/>
              </w:rPr>
            </w:pPr>
          </w:p>
        </w:tc>
        <w:tc>
          <w:tcPr>
            <w:tcW w:w="220" w:type="dxa"/>
            <w:vAlign w:val="bottom"/>
            <w:tcBorders>
              <w:bottom w:val="single" w:sz="8" w:color="auto"/>
            </w:tcBorders>
            <w:shd w:val="clear" w:color="auto" w:fill="F5F5F5"/>
          </w:tcPr>
          <w:p>
            <w:pPr>
              <w:spacing w:after="0"/>
              <w:rPr>
                <w:sz w:val="16"/>
                <w:szCs w:val="16"/>
                <w:color w:val="auto"/>
              </w:rPr>
            </w:pPr>
          </w:p>
        </w:tc>
        <w:tc>
          <w:tcPr>
            <w:tcW w:w="840" w:type="dxa"/>
            <w:vAlign w:val="bottom"/>
            <w:tcBorders>
              <w:bottom w:val="single" w:sz="8" w:color="auto"/>
            </w:tcBorders>
            <w:vMerge w:val="continue"/>
            <w:shd w:val="clear" w:color="auto" w:fill="F5F5F5"/>
          </w:tcPr>
          <w:p>
            <w:pPr>
              <w:spacing w:after="0"/>
              <w:rPr>
                <w:sz w:val="16"/>
                <w:szCs w:val="16"/>
                <w:color w:val="auto"/>
              </w:rPr>
            </w:pPr>
          </w:p>
        </w:tc>
        <w:tc>
          <w:tcPr>
            <w:tcW w:w="760" w:type="dxa"/>
            <w:vAlign w:val="bottom"/>
            <w:tcBorders>
              <w:bottom w:val="single" w:sz="8" w:color="auto"/>
            </w:tcBorders>
            <w:vMerge w:val="continue"/>
            <w:shd w:val="clear" w:color="auto" w:fill="F5F5F5"/>
          </w:tcPr>
          <w:p>
            <w:pPr>
              <w:spacing w:after="0"/>
              <w:rPr>
                <w:sz w:val="16"/>
                <w:szCs w:val="16"/>
                <w:color w:val="auto"/>
              </w:rPr>
            </w:pPr>
          </w:p>
        </w:tc>
        <w:tc>
          <w:tcPr>
            <w:tcW w:w="160" w:type="dxa"/>
            <w:vAlign w:val="bottom"/>
            <w:tcBorders>
              <w:bottom w:val="single" w:sz="8" w:color="auto"/>
            </w:tcBorders>
            <w:shd w:val="clear" w:color="auto" w:fill="F5F5F5"/>
          </w:tcPr>
          <w:p>
            <w:pPr>
              <w:spacing w:after="0"/>
              <w:rPr>
                <w:sz w:val="16"/>
                <w:szCs w:val="16"/>
                <w:color w:val="auto"/>
              </w:rPr>
            </w:pPr>
          </w:p>
        </w:tc>
        <w:tc>
          <w:tcPr>
            <w:tcW w:w="900" w:type="dxa"/>
            <w:vAlign w:val="bottom"/>
            <w:tcBorders>
              <w:bottom w:val="single" w:sz="8" w:color="auto"/>
            </w:tcBorders>
            <w:vMerge w:val="continue"/>
            <w:shd w:val="clear" w:color="auto" w:fill="F5F5F5"/>
          </w:tcPr>
          <w:p>
            <w:pPr>
              <w:spacing w:after="0"/>
              <w:rPr>
                <w:sz w:val="16"/>
                <w:szCs w:val="16"/>
                <w:color w:val="auto"/>
              </w:rPr>
            </w:pPr>
          </w:p>
        </w:tc>
        <w:tc>
          <w:tcPr>
            <w:tcW w:w="120" w:type="dxa"/>
            <w:vAlign w:val="bottom"/>
            <w:tcBorders>
              <w:bottom w:val="single" w:sz="8" w:color="auto"/>
            </w:tcBorders>
            <w:shd w:val="clear" w:color="auto" w:fill="F5F5F5"/>
          </w:tcPr>
          <w:p>
            <w:pPr>
              <w:spacing w:after="0"/>
              <w:rPr>
                <w:sz w:val="16"/>
                <w:szCs w:val="16"/>
                <w:color w:val="auto"/>
              </w:rPr>
            </w:pPr>
          </w:p>
        </w:tc>
        <w:tc>
          <w:tcPr>
            <w:tcW w:w="980" w:type="dxa"/>
            <w:vAlign w:val="bottom"/>
            <w:tcBorders>
              <w:bottom w:val="single" w:sz="8" w:color="auto"/>
            </w:tcBorders>
            <w:vMerge w:val="continue"/>
            <w:shd w:val="clear" w:color="auto" w:fill="F5F5F5"/>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460" w:type="dxa"/>
            <w:vAlign w:val="bottom"/>
          </w:tcPr>
          <w:p>
            <w:pPr>
              <w:ind w:left="20"/>
              <w:spacing w:after="0"/>
              <w:rPr>
                <w:sz w:val="20"/>
                <w:szCs w:val="20"/>
                <w:color w:val="auto"/>
              </w:rPr>
            </w:pPr>
            <w:r>
              <w:rPr>
                <w:rFonts w:ascii="Arial" w:cs="Arial" w:eastAsia="Arial" w:hAnsi="Arial"/>
                <w:sz w:val="13"/>
                <w:szCs w:val="13"/>
                <w:color w:val="auto"/>
              </w:rPr>
              <w:t>Balance, February 1, 2025</w:t>
            </w:r>
          </w:p>
        </w:tc>
        <w:tc>
          <w:tcPr>
            <w:tcW w:w="1000" w:type="dxa"/>
            <w:vAlign w:val="bottom"/>
          </w:tcPr>
          <w:p>
            <w:pPr>
              <w:jc w:val="right"/>
              <w:spacing w:after="0"/>
              <w:rPr>
                <w:sz w:val="20"/>
                <w:szCs w:val="20"/>
                <w:color w:val="auto"/>
              </w:rPr>
            </w:pPr>
            <w:r>
              <w:rPr>
                <w:rFonts w:ascii="Arial" w:cs="Arial" w:eastAsia="Arial" w:hAnsi="Arial"/>
                <w:sz w:val="13"/>
                <w:szCs w:val="13"/>
                <w:color w:val="auto"/>
              </w:rPr>
              <w:t>49,735</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3"/>
              <w:spacing w:after="0"/>
              <w:rPr>
                <w:sz w:val="20"/>
                <w:szCs w:val="20"/>
                <w:color w:val="auto"/>
              </w:rPr>
            </w:pPr>
            <w:r>
              <w:rPr>
                <w:rFonts w:ascii="Arial" w:cs="Arial" w:eastAsia="Arial" w:hAnsi="Arial"/>
                <w:sz w:val="13"/>
                <w:szCs w:val="13"/>
                <w:color w:val="auto"/>
              </w:rPr>
              <w:t>1,033</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422,912</w:t>
            </w:r>
          </w:p>
        </w:tc>
        <w:tc>
          <w:tcPr>
            <w:tcW w:w="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15,695</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3,196,724</w:t>
            </w:r>
          </w:p>
        </w:tc>
        <w:tc>
          <w:tcPr>
            <w:tcW w:w="2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(139,151)</w:t>
            </w:r>
          </w:p>
        </w:tc>
        <w:tc>
          <w:tcPr>
            <w:tcW w:w="760" w:type="dxa"/>
            <w:vAlign w:val="bottom"/>
          </w:tcPr>
          <w:p>
            <w:pPr>
              <w:jc w:val="right"/>
              <w:spacing w:after="0"/>
              <w:rPr>
                <w:sz w:val="20"/>
                <w:szCs w:val="20"/>
                <w:color w:val="auto"/>
              </w:rPr>
            </w:pPr>
            <w:r>
              <w:rPr>
                <w:rFonts w:ascii="Arial" w:cs="Arial" w:eastAsia="Arial" w:hAnsi="Arial"/>
                <w:sz w:val="13"/>
                <w:szCs w:val="13"/>
                <w:color w:val="auto"/>
              </w:rPr>
              <w:t>53,565</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(2,145,890)</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1,351,323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797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3" w:lineRule="exact"/>
        <w:rPr>
          <w:sz w:val="20"/>
          <w:szCs w:val="20"/>
          <w:color w:val="auto"/>
        </w:rPr>
      </w:pPr>
    </w:p>
    <w:p>
      <w:pPr>
        <w:ind w:left="20"/>
        <w:spacing w:after="0"/>
        <w:tabs>
          <w:tab w:leader="none" w:pos="320" w:val="left"/>
        </w:tabs>
        <w:rPr>
          <w:sz w:val="20"/>
          <w:szCs w:val="20"/>
          <w:color w:val="auto"/>
        </w:rPr>
      </w:pPr>
      <w:r>
        <w:rPr>
          <w:rFonts w:ascii="Arial" w:cs="Arial" w:eastAsia="Arial" w:hAnsi="Arial"/>
          <w:sz w:val="9"/>
          <w:szCs w:val="9"/>
          <w:color w:val="auto"/>
        </w:rPr>
        <w:t>(1)</w:t>
      </w:r>
      <w:r>
        <w:rPr>
          <w:sz w:val="20"/>
          <w:szCs w:val="20"/>
          <w:color w:val="auto"/>
        </w:rPr>
        <w:tab/>
      </w:r>
      <w:r>
        <w:rPr>
          <w:rFonts w:ascii="Arial" w:cs="Arial" w:eastAsia="Arial" w:hAnsi="Arial"/>
          <w:sz w:val="9"/>
          <w:szCs w:val="9"/>
          <w:color w:val="auto"/>
        </w:rPr>
        <w:t>Includes excise tax on share repurchases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96"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47</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Abercrombie &amp; Fitch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gridSpan w:val="2"/>
          </w:tcPr>
          <w:p>
            <w:pPr>
              <w:ind w:left="240"/>
              <w:spacing w:after="0"/>
              <w:rPr>
                <w:sz w:val="20"/>
                <w:szCs w:val="20"/>
                <w:color w:val="auto"/>
              </w:rPr>
            </w:pPr>
            <w:r>
              <w:rPr>
                <w:rFonts w:ascii="Arial" w:cs="Arial" w:eastAsia="Arial" w:hAnsi="Arial"/>
                <w:sz w:val="14"/>
                <w:szCs w:val="14"/>
                <w:color w:val="auto"/>
              </w:rPr>
              <w:t>Fiscal 2024</w:t>
            </w:r>
          </w:p>
        </w:tc>
        <w:tc>
          <w:tcPr>
            <w:tcW w:w="340" w:type="dxa"/>
            <w:vAlign w:val="bottom"/>
          </w:tcPr>
          <w:p>
            <w:pPr>
              <w:spacing w:after="0"/>
              <w:rPr>
                <w:sz w:val="16"/>
                <w:szCs w:val="16"/>
                <w:color w:val="auto"/>
              </w:rPr>
            </w:pPr>
          </w:p>
        </w:tc>
        <w:tc>
          <w:tcPr>
            <w:tcW w:w="1100" w:type="dxa"/>
            <w:vAlign w:val="bottom"/>
            <w:gridSpan w:val="2"/>
          </w:tcPr>
          <w:p>
            <w:pPr>
              <w:ind w:left="240"/>
              <w:spacing w:after="0"/>
              <w:rPr>
                <w:sz w:val="20"/>
                <w:szCs w:val="20"/>
                <w:color w:val="auto"/>
              </w:rPr>
            </w:pPr>
            <w:r>
              <w:rPr>
                <w:rFonts w:ascii="Arial" w:cs="Arial" w:eastAsia="Arial" w:hAnsi="Arial"/>
                <w:sz w:val="14"/>
                <w:szCs w:val="14"/>
                <w:color w:val="auto"/>
              </w:rPr>
              <w:t>Fiscal 2023</w:t>
            </w:r>
          </w:p>
        </w:tc>
        <w:tc>
          <w:tcPr>
            <w:tcW w:w="3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Fiscal 2022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gridSpan w:val="5"/>
          </w:tcPr>
          <w:p>
            <w:pPr>
              <w:spacing w:after="0" w:line="149" w:lineRule="exact"/>
              <w:rPr>
                <w:sz w:val="20"/>
                <w:szCs w:val="20"/>
                <w:color w:val="auto"/>
              </w:rPr>
            </w:pPr>
            <w:r>
              <w:rPr>
                <w:rFonts w:ascii="Arial" w:cs="Arial" w:eastAsia="Arial" w:hAnsi="Arial"/>
                <w:sz w:val="14"/>
                <w:szCs w:val="14"/>
                <w:color w:val="auto"/>
              </w:rPr>
              <w:t>Operating activities</w:t>
            </w:r>
          </w:p>
        </w:tc>
        <w:tc>
          <w:tcPr>
            <w:tcW w:w="3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F5F5F5"/>
          </w:tcPr>
          <w:p>
            <w:pPr>
              <w:spacing w:after="0"/>
              <w:rPr>
                <w:sz w:val="17"/>
                <w:szCs w:val="17"/>
                <w:color w:val="auto"/>
              </w:rPr>
            </w:pPr>
          </w:p>
        </w:tc>
        <w:tc>
          <w:tcPr>
            <w:tcW w:w="7000" w:type="dxa"/>
            <w:vAlign w:val="bottom"/>
            <w:gridSpan w:val="5"/>
            <w:shd w:val="clear" w:color="auto" w:fill="F5F5F5"/>
          </w:tcPr>
          <w:p>
            <w:pPr>
              <w:spacing w:after="0"/>
              <w:rPr>
                <w:sz w:val="20"/>
                <w:szCs w:val="20"/>
                <w:color w:val="auto"/>
              </w:rPr>
            </w:pPr>
            <w:r>
              <w:rPr>
                <w:rFonts w:ascii="Arial" w:cs="Arial" w:eastAsia="Arial" w:hAnsi="Arial"/>
                <w:sz w:val="14"/>
                <w:szCs w:val="14"/>
                <w:color w:val="auto"/>
              </w:rPr>
              <w:t>Net income</w:t>
            </w:r>
          </w:p>
        </w:tc>
        <w:tc>
          <w:tcPr>
            <w:tcW w:w="340" w:type="dxa"/>
            <w:vAlign w:val="bottom"/>
            <w:shd w:val="clear" w:color="auto" w:fill="F5F5F5"/>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574,016</w:t>
            </w:r>
          </w:p>
        </w:tc>
        <w:tc>
          <w:tcPr>
            <w:tcW w:w="100" w:type="dxa"/>
            <w:vAlign w:val="bottom"/>
            <w:shd w:val="clear" w:color="auto" w:fill="F5F5F5"/>
          </w:tcPr>
          <w:p>
            <w:pPr>
              <w:spacing w:after="0"/>
              <w:rPr>
                <w:sz w:val="17"/>
                <w:szCs w:val="17"/>
                <w:color w:val="auto"/>
              </w:rPr>
            </w:pPr>
          </w:p>
        </w:tc>
        <w:tc>
          <w:tcPr>
            <w:tcW w:w="340" w:type="dxa"/>
            <w:vAlign w:val="bottom"/>
            <w:shd w:val="clear" w:color="auto" w:fill="F5F5F5"/>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335,413</w:t>
            </w:r>
          </w:p>
        </w:tc>
        <w:tc>
          <w:tcPr>
            <w:tcW w:w="100" w:type="dxa"/>
            <w:vAlign w:val="bottom"/>
            <w:shd w:val="clear" w:color="auto" w:fill="F5F5F5"/>
          </w:tcPr>
          <w:p>
            <w:pPr>
              <w:spacing w:after="0"/>
              <w:rPr>
                <w:sz w:val="17"/>
                <w:szCs w:val="17"/>
                <w:color w:val="auto"/>
              </w:rPr>
            </w:pPr>
          </w:p>
        </w:tc>
        <w:tc>
          <w:tcPr>
            <w:tcW w:w="340" w:type="dxa"/>
            <w:vAlign w:val="bottom"/>
            <w:shd w:val="clear" w:color="auto" w:fill="F5F5F5"/>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10,385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000" w:type="dxa"/>
            <w:vAlign w:val="bottom"/>
            <w:gridSpan w:val="5"/>
          </w:tcPr>
          <w:p>
            <w:pPr>
              <w:spacing w:after="0"/>
              <w:rPr>
                <w:sz w:val="20"/>
                <w:szCs w:val="20"/>
                <w:color w:val="auto"/>
              </w:rPr>
            </w:pPr>
            <w:r>
              <w:rPr>
                <w:rFonts w:ascii="Arial" w:cs="Arial" w:eastAsia="Arial" w:hAnsi="Arial"/>
                <w:sz w:val="14"/>
                <w:szCs w:val="14"/>
                <w:color w:val="auto"/>
              </w:rPr>
              <w:t>Adjustments to reconcile net income to net cash provided by (used for) operating activities:</w:t>
            </w: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F5F5F5"/>
          </w:tcPr>
          <w:p>
            <w:pPr>
              <w:spacing w:after="0"/>
              <w:rPr>
                <w:sz w:val="17"/>
                <w:szCs w:val="17"/>
                <w:color w:val="auto"/>
              </w:rPr>
            </w:pPr>
          </w:p>
        </w:tc>
        <w:tc>
          <w:tcPr>
            <w:tcW w:w="7000" w:type="dxa"/>
            <w:vAlign w:val="bottom"/>
            <w:gridSpan w:val="5"/>
            <w:shd w:val="clear" w:color="auto" w:fill="F5F5F5"/>
          </w:tcPr>
          <w:p>
            <w:pPr>
              <w:ind w:left="120"/>
              <w:spacing w:after="0"/>
              <w:rPr>
                <w:sz w:val="20"/>
                <w:szCs w:val="20"/>
                <w:color w:val="auto"/>
              </w:rPr>
            </w:pPr>
            <w:r>
              <w:rPr>
                <w:rFonts w:ascii="Arial" w:cs="Arial" w:eastAsia="Arial" w:hAnsi="Arial"/>
                <w:sz w:val="14"/>
                <w:szCs w:val="14"/>
                <w:color w:val="auto"/>
              </w:rPr>
              <w:t>Depreciation and amortization</w:t>
            </w:r>
          </w:p>
        </w:tc>
        <w:tc>
          <w:tcPr>
            <w:tcW w:w="340" w:type="dxa"/>
            <w:vAlign w:val="bottom"/>
            <w:shd w:val="clear" w:color="auto" w:fill="F5F5F5"/>
          </w:tcPr>
          <w:p>
            <w:pPr>
              <w:spacing w:after="0"/>
              <w:rPr>
                <w:sz w:val="17"/>
                <w:szCs w:val="17"/>
                <w:color w:val="auto"/>
              </w:rPr>
            </w:pPr>
          </w:p>
        </w:tc>
        <w:tc>
          <w:tcPr>
            <w:tcW w:w="100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153,773</w:t>
            </w:r>
          </w:p>
        </w:tc>
        <w:tc>
          <w:tcPr>
            <w:tcW w:w="100" w:type="dxa"/>
            <w:vAlign w:val="bottom"/>
            <w:shd w:val="clear" w:color="auto" w:fill="F5F5F5"/>
          </w:tcPr>
          <w:p>
            <w:pPr>
              <w:spacing w:after="0"/>
              <w:rPr>
                <w:sz w:val="17"/>
                <w:szCs w:val="17"/>
                <w:color w:val="auto"/>
              </w:rPr>
            </w:pPr>
          </w:p>
        </w:tc>
        <w:tc>
          <w:tcPr>
            <w:tcW w:w="340" w:type="dxa"/>
            <w:vAlign w:val="bottom"/>
            <w:shd w:val="clear" w:color="auto" w:fill="F5F5F5"/>
          </w:tcPr>
          <w:p>
            <w:pPr>
              <w:spacing w:after="0"/>
              <w:rPr>
                <w:sz w:val="17"/>
                <w:szCs w:val="17"/>
                <w:color w:val="auto"/>
              </w:rPr>
            </w:pPr>
          </w:p>
        </w:tc>
        <w:tc>
          <w:tcPr>
            <w:tcW w:w="100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141,104</w:t>
            </w:r>
          </w:p>
        </w:tc>
        <w:tc>
          <w:tcPr>
            <w:tcW w:w="100" w:type="dxa"/>
            <w:vAlign w:val="bottom"/>
            <w:shd w:val="clear" w:color="auto" w:fill="F5F5F5"/>
          </w:tcPr>
          <w:p>
            <w:pPr>
              <w:spacing w:after="0"/>
              <w:rPr>
                <w:sz w:val="17"/>
                <w:szCs w:val="17"/>
                <w:color w:val="auto"/>
              </w:rPr>
            </w:pPr>
          </w:p>
        </w:tc>
        <w:tc>
          <w:tcPr>
            <w:tcW w:w="340" w:type="dxa"/>
            <w:vAlign w:val="bottom"/>
            <w:shd w:val="clear" w:color="auto" w:fill="F5F5F5"/>
          </w:tcPr>
          <w:p>
            <w:pPr>
              <w:spacing w:after="0"/>
              <w:rPr>
                <w:sz w:val="17"/>
                <w:szCs w:val="17"/>
                <w:color w:val="auto"/>
              </w:rPr>
            </w:pPr>
          </w:p>
        </w:tc>
        <w:tc>
          <w:tcPr>
            <w:tcW w:w="10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132,243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000" w:type="dxa"/>
            <w:vAlign w:val="bottom"/>
            <w:gridSpan w:val="5"/>
          </w:tcPr>
          <w:p>
            <w:pPr>
              <w:ind w:left="120"/>
              <w:spacing w:after="0"/>
              <w:rPr>
                <w:sz w:val="20"/>
                <w:szCs w:val="20"/>
                <w:color w:val="auto"/>
              </w:rPr>
            </w:pPr>
            <w:r>
              <w:rPr>
                <w:rFonts w:ascii="Arial" w:cs="Arial" w:eastAsia="Arial" w:hAnsi="Arial"/>
                <w:sz w:val="14"/>
                <w:szCs w:val="14"/>
                <w:color w:val="auto"/>
              </w:rPr>
              <w:t>Amortization of capitalized cloud computing arrangement implementation costs</w:t>
            </w:r>
          </w:p>
        </w:tc>
        <w:tc>
          <w:tcPr>
            <w:tcW w:w="34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15,572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10,796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1,347</w:t>
            </w:r>
          </w:p>
        </w:tc>
        <w:tc>
          <w:tcPr>
            <w:tcW w:w="0" w:type="dxa"/>
            <w:vAlign w:val="bottom"/>
          </w:tcPr>
          <w:p>
            <w:pPr>
              <w:spacing w:after="0"/>
              <w:rPr>
                <w:sz w:val="1"/>
                <w:szCs w:val="1"/>
                <w:color w:val="auto"/>
              </w:rPr>
            </w:pPr>
          </w:p>
        </w:tc>
      </w:tr>
      <w:tr>
        <w:trPr>
          <w:trHeight w:val="207"/>
        </w:trPr>
        <w:tc>
          <w:tcPr>
            <w:tcW w:w="20" w:type="dxa"/>
            <w:vAlign w:val="bottom"/>
            <w:shd w:val="clear" w:color="auto" w:fill="F5F5F5"/>
          </w:tcPr>
          <w:p>
            <w:pPr>
              <w:spacing w:after="0"/>
              <w:rPr>
                <w:sz w:val="17"/>
                <w:szCs w:val="17"/>
                <w:color w:val="auto"/>
              </w:rPr>
            </w:pPr>
          </w:p>
        </w:tc>
        <w:tc>
          <w:tcPr>
            <w:tcW w:w="7000" w:type="dxa"/>
            <w:vAlign w:val="bottom"/>
            <w:gridSpan w:val="5"/>
            <w:shd w:val="clear" w:color="auto" w:fill="F5F5F5"/>
          </w:tcPr>
          <w:p>
            <w:pPr>
              <w:ind w:left="120"/>
              <w:spacing w:after="0"/>
              <w:rPr>
                <w:sz w:val="20"/>
                <w:szCs w:val="20"/>
                <w:color w:val="auto"/>
              </w:rPr>
            </w:pPr>
            <w:r>
              <w:rPr>
                <w:rFonts w:ascii="Arial" w:cs="Arial" w:eastAsia="Arial" w:hAnsi="Arial"/>
                <w:sz w:val="14"/>
                <w:szCs w:val="14"/>
                <w:color w:val="auto"/>
              </w:rPr>
              <w:t>Asset impairment</w:t>
            </w:r>
          </w:p>
        </w:tc>
        <w:tc>
          <w:tcPr>
            <w:tcW w:w="340" w:type="dxa"/>
            <w:vAlign w:val="bottom"/>
            <w:shd w:val="clear" w:color="auto" w:fill="F5F5F5"/>
          </w:tcPr>
          <w:p>
            <w:pPr>
              <w:spacing w:after="0"/>
              <w:rPr>
                <w:sz w:val="17"/>
                <w:szCs w:val="17"/>
                <w:color w:val="auto"/>
              </w:rPr>
            </w:pPr>
          </w:p>
        </w:tc>
        <w:tc>
          <w:tcPr>
            <w:tcW w:w="100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11,596</w:t>
            </w:r>
          </w:p>
        </w:tc>
        <w:tc>
          <w:tcPr>
            <w:tcW w:w="100" w:type="dxa"/>
            <w:vAlign w:val="bottom"/>
            <w:shd w:val="clear" w:color="auto" w:fill="F5F5F5"/>
          </w:tcPr>
          <w:p>
            <w:pPr>
              <w:spacing w:after="0"/>
              <w:rPr>
                <w:sz w:val="17"/>
                <w:szCs w:val="17"/>
                <w:color w:val="auto"/>
              </w:rPr>
            </w:pPr>
          </w:p>
        </w:tc>
        <w:tc>
          <w:tcPr>
            <w:tcW w:w="340" w:type="dxa"/>
            <w:vAlign w:val="bottom"/>
            <w:shd w:val="clear" w:color="auto" w:fill="F5F5F5"/>
          </w:tcPr>
          <w:p>
            <w:pPr>
              <w:spacing w:after="0"/>
              <w:rPr>
                <w:sz w:val="17"/>
                <w:szCs w:val="17"/>
                <w:color w:val="auto"/>
              </w:rPr>
            </w:pPr>
          </w:p>
        </w:tc>
        <w:tc>
          <w:tcPr>
            <w:tcW w:w="100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8,289</w:t>
            </w:r>
          </w:p>
        </w:tc>
        <w:tc>
          <w:tcPr>
            <w:tcW w:w="100" w:type="dxa"/>
            <w:vAlign w:val="bottom"/>
            <w:shd w:val="clear" w:color="auto" w:fill="F5F5F5"/>
          </w:tcPr>
          <w:p>
            <w:pPr>
              <w:spacing w:after="0"/>
              <w:rPr>
                <w:sz w:val="17"/>
                <w:szCs w:val="17"/>
                <w:color w:val="auto"/>
              </w:rPr>
            </w:pPr>
          </w:p>
        </w:tc>
        <w:tc>
          <w:tcPr>
            <w:tcW w:w="340" w:type="dxa"/>
            <w:vAlign w:val="bottom"/>
            <w:shd w:val="clear" w:color="auto" w:fill="F5F5F5"/>
          </w:tcPr>
          <w:p>
            <w:pPr>
              <w:spacing w:after="0"/>
              <w:rPr>
                <w:sz w:val="17"/>
                <w:szCs w:val="17"/>
                <w:color w:val="auto"/>
              </w:rPr>
            </w:pPr>
          </w:p>
        </w:tc>
        <w:tc>
          <w:tcPr>
            <w:tcW w:w="10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14,031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000" w:type="dxa"/>
            <w:vAlign w:val="bottom"/>
            <w:gridSpan w:val="5"/>
          </w:tcPr>
          <w:p>
            <w:pPr>
              <w:ind w:left="120"/>
              <w:spacing w:after="0"/>
              <w:rPr>
                <w:sz w:val="20"/>
                <w:szCs w:val="20"/>
                <w:color w:val="auto"/>
              </w:rPr>
            </w:pPr>
            <w:r>
              <w:rPr>
                <w:rFonts w:ascii="Arial" w:cs="Arial" w:eastAsia="Arial" w:hAnsi="Arial"/>
                <w:sz w:val="14"/>
                <w:szCs w:val="14"/>
                <w:color w:val="auto"/>
              </w:rPr>
              <w:t>Loss on disposal</w:t>
            </w:r>
          </w:p>
        </w:tc>
        <w:tc>
          <w:tcPr>
            <w:tcW w:w="34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3,440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6,408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552</w:t>
            </w:r>
          </w:p>
        </w:tc>
        <w:tc>
          <w:tcPr>
            <w:tcW w:w="0" w:type="dxa"/>
            <w:vAlign w:val="bottom"/>
          </w:tcPr>
          <w:p>
            <w:pPr>
              <w:spacing w:after="0"/>
              <w:rPr>
                <w:sz w:val="1"/>
                <w:szCs w:val="1"/>
                <w:color w:val="auto"/>
              </w:rPr>
            </w:pPr>
          </w:p>
        </w:tc>
      </w:tr>
      <w:tr>
        <w:trPr>
          <w:trHeight w:val="207"/>
        </w:trPr>
        <w:tc>
          <w:tcPr>
            <w:tcW w:w="20" w:type="dxa"/>
            <w:vAlign w:val="bottom"/>
            <w:shd w:val="clear" w:color="auto" w:fill="F5F5F5"/>
          </w:tcPr>
          <w:p>
            <w:pPr>
              <w:spacing w:after="0"/>
              <w:rPr>
                <w:sz w:val="17"/>
                <w:szCs w:val="17"/>
                <w:color w:val="auto"/>
              </w:rPr>
            </w:pPr>
          </w:p>
        </w:tc>
        <w:tc>
          <w:tcPr>
            <w:tcW w:w="7000" w:type="dxa"/>
            <w:vAlign w:val="bottom"/>
            <w:gridSpan w:val="5"/>
            <w:shd w:val="clear" w:color="auto" w:fill="F5F5F5"/>
          </w:tcPr>
          <w:p>
            <w:pPr>
              <w:ind w:left="120"/>
              <w:spacing w:after="0"/>
              <w:rPr>
                <w:sz w:val="20"/>
                <w:szCs w:val="20"/>
                <w:color w:val="auto"/>
              </w:rPr>
            </w:pPr>
            <w:r>
              <w:rPr>
                <w:rFonts w:ascii="Arial" w:cs="Arial" w:eastAsia="Arial" w:hAnsi="Arial"/>
                <w:sz w:val="14"/>
                <w:szCs w:val="14"/>
                <w:color w:val="auto"/>
              </w:rPr>
              <w:t>(Benefit) provision for deferred income taxes</w:t>
            </w:r>
          </w:p>
        </w:tc>
        <w:tc>
          <w:tcPr>
            <w:tcW w:w="340" w:type="dxa"/>
            <w:vAlign w:val="bottom"/>
            <w:shd w:val="clear" w:color="auto" w:fill="F5F5F5"/>
          </w:tcPr>
          <w:p>
            <w:pPr>
              <w:spacing w:after="0"/>
              <w:rPr>
                <w:sz w:val="17"/>
                <w:szCs w:val="17"/>
                <w:color w:val="auto"/>
              </w:rPr>
            </w:pPr>
          </w:p>
        </w:tc>
        <w:tc>
          <w:tcPr>
            <w:tcW w:w="10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(12,278)</w:t>
            </w:r>
          </w:p>
        </w:tc>
        <w:tc>
          <w:tcPr>
            <w:tcW w:w="100" w:type="dxa"/>
            <w:vAlign w:val="bottom"/>
            <w:shd w:val="clear" w:color="auto" w:fill="F5F5F5"/>
          </w:tcPr>
          <w:p>
            <w:pPr>
              <w:spacing w:after="0"/>
              <w:rPr>
                <w:sz w:val="17"/>
                <w:szCs w:val="17"/>
                <w:color w:val="auto"/>
              </w:rPr>
            </w:pPr>
          </w:p>
        </w:tc>
        <w:tc>
          <w:tcPr>
            <w:tcW w:w="340" w:type="dxa"/>
            <w:vAlign w:val="bottom"/>
            <w:shd w:val="clear" w:color="auto" w:fill="F5F5F5"/>
          </w:tcPr>
          <w:p>
            <w:pPr>
              <w:spacing w:after="0"/>
              <w:rPr>
                <w:sz w:val="17"/>
                <w:szCs w:val="17"/>
                <w:color w:val="auto"/>
              </w:rPr>
            </w:pPr>
          </w:p>
        </w:tc>
        <w:tc>
          <w:tcPr>
            <w:tcW w:w="10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(4,743)</w:t>
            </w:r>
          </w:p>
        </w:tc>
        <w:tc>
          <w:tcPr>
            <w:tcW w:w="100" w:type="dxa"/>
            <w:vAlign w:val="bottom"/>
            <w:shd w:val="clear" w:color="auto" w:fill="F5F5F5"/>
          </w:tcPr>
          <w:p>
            <w:pPr>
              <w:spacing w:after="0"/>
              <w:rPr>
                <w:sz w:val="17"/>
                <w:szCs w:val="17"/>
                <w:color w:val="auto"/>
              </w:rPr>
            </w:pPr>
          </w:p>
        </w:tc>
        <w:tc>
          <w:tcPr>
            <w:tcW w:w="340" w:type="dxa"/>
            <w:vAlign w:val="bottom"/>
            <w:shd w:val="clear" w:color="auto" w:fill="F5F5F5"/>
          </w:tcPr>
          <w:p>
            <w:pPr>
              <w:spacing w:after="0"/>
              <w:rPr>
                <w:sz w:val="17"/>
                <w:szCs w:val="17"/>
                <w:color w:val="auto"/>
              </w:rPr>
            </w:pPr>
          </w:p>
        </w:tc>
        <w:tc>
          <w:tcPr>
            <w:tcW w:w="10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11,500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000" w:type="dxa"/>
            <w:vAlign w:val="bottom"/>
            <w:gridSpan w:val="5"/>
          </w:tcPr>
          <w:p>
            <w:pPr>
              <w:ind w:left="120"/>
              <w:spacing w:after="0"/>
              <w:rPr>
                <w:sz w:val="20"/>
                <w:szCs w:val="20"/>
                <w:color w:val="auto"/>
              </w:rPr>
            </w:pPr>
            <w:r>
              <w:rPr>
                <w:rFonts w:ascii="Arial" w:cs="Arial" w:eastAsia="Arial" w:hAnsi="Arial"/>
                <w:sz w:val="14"/>
                <w:szCs w:val="14"/>
                <w:color w:val="auto"/>
              </w:rPr>
              <w:t>Share-based compensation</w:t>
            </w:r>
          </w:p>
        </w:tc>
        <w:tc>
          <w:tcPr>
            <w:tcW w:w="34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38,667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40,122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28,995</w:t>
            </w:r>
          </w:p>
        </w:tc>
        <w:tc>
          <w:tcPr>
            <w:tcW w:w="0" w:type="dxa"/>
            <w:vAlign w:val="bottom"/>
          </w:tcPr>
          <w:p>
            <w:pPr>
              <w:spacing w:after="0"/>
              <w:rPr>
                <w:sz w:val="1"/>
                <w:szCs w:val="1"/>
                <w:color w:val="auto"/>
              </w:rPr>
            </w:pPr>
          </w:p>
        </w:tc>
      </w:tr>
      <w:tr>
        <w:trPr>
          <w:trHeight w:val="207"/>
        </w:trPr>
        <w:tc>
          <w:tcPr>
            <w:tcW w:w="20" w:type="dxa"/>
            <w:vAlign w:val="bottom"/>
            <w:shd w:val="clear" w:color="auto" w:fill="F5F5F5"/>
          </w:tcPr>
          <w:p>
            <w:pPr>
              <w:spacing w:after="0"/>
              <w:rPr>
                <w:sz w:val="17"/>
                <w:szCs w:val="17"/>
                <w:color w:val="auto"/>
              </w:rPr>
            </w:pPr>
          </w:p>
        </w:tc>
        <w:tc>
          <w:tcPr>
            <w:tcW w:w="7000" w:type="dxa"/>
            <w:vAlign w:val="bottom"/>
            <w:gridSpan w:val="5"/>
            <w:shd w:val="clear" w:color="auto" w:fill="F5F5F5"/>
          </w:tcPr>
          <w:p>
            <w:pPr>
              <w:ind w:left="120"/>
              <w:spacing w:after="0"/>
              <w:rPr>
                <w:sz w:val="20"/>
                <w:szCs w:val="20"/>
                <w:color w:val="auto"/>
              </w:rPr>
            </w:pPr>
            <w:r>
              <w:rPr>
                <w:rFonts w:ascii="Arial" w:cs="Arial" w:eastAsia="Arial" w:hAnsi="Arial"/>
                <w:sz w:val="14"/>
                <w:szCs w:val="14"/>
                <w:color w:val="auto"/>
              </w:rPr>
              <w:t>Loss (gain) on extinguishment of debt</w:t>
            </w:r>
          </w:p>
        </w:tc>
        <w:tc>
          <w:tcPr>
            <w:tcW w:w="340" w:type="dxa"/>
            <w:vAlign w:val="bottom"/>
            <w:shd w:val="clear" w:color="auto" w:fill="F5F5F5"/>
          </w:tcPr>
          <w:p>
            <w:pPr>
              <w:spacing w:after="0"/>
              <w:rPr>
                <w:sz w:val="17"/>
                <w:szCs w:val="17"/>
                <w:color w:val="auto"/>
              </w:rPr>
            </w:pPr>
          </w:p>
        </w:tc>
        <w:tc>
          <w:tcPr>
            <w:tcW w:w="100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1,114</w:t>
            </w:r>
          </w:p>
        </w:tc>
        <w:tc>
          <w:tcPr>
            <w:tcW w:w="100" w:type="dxa"/>
            <w:vAlign w:val="bottom"/>
            <w:shd w:val="clear" w:color="auto" w:fill="F5F5F5"/>
          </w:tcPr>
          <w:p>
            <w:pPr>
              <w:spacing w:after="0"/>
              <w:rPr>
                <w:sz w:val="17"/>
                <w:szCs w:val="17"/>
                <w:color w:val="auto"/>
              </w:rPr>
            </w:pPr>
          </w:p>
        </w:tc>
        <w:tc>
          <w:tcPr>
            <w:tcW w:w="340" w:type="dxa"/>
            <w:vAlign w:val="bottom"/>
            <w:shd w:val="clear" w:color="auto" w:fill="F5F5F5"/>
          </w:tcPr>
          <w:p>
            <w:pPr>
              <w:spacing w:after="0"/>
              <w:rPr>
                <w:sz w:val="17"/>
                <w:szCs w:val="17"/>
                <w:color w:val="auto"/>
              </w:rPr>
            </w:pPr>
          </w:p>
        </w:tc>
        <w:tc>
          <w:tcPr>
            <w:tcW w:w="100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1,975</w:t>
            </w:r>
          </w:p>
        </w:tc>
        <w:tc>
          <w:tcPr>
            <w:tcW w:w="100" w:type="dxa"/>
            <w:vAlign w:val="bottom"/>
            <w:shd w:val="clear" w:color="auto" w:fill="F5F5F5"/>
          </w:tcPr>
          <w:p>
            <w:pPr>
              <w:spacing w:after="0"/>
              <w:rPr>
                <w:sz w:val="17"/>
                <w:szCs w:val="17"/>
                <w:color w:val="auto"/>
              </w:rPr>
            </w:pPr>
          </w:p>
        </w:tc>
        <w:tc>
          <w:tcPr>
            <w:tcW w:w="340" w:type="dxa"/>
            <w:vAlign w:val="bottom"/>
            <w:shd w:val="clear" w:color="auto" w:fill="F5F5F5"/>
          </w:tcPr>
          <w:p>
            <w:pPr>
              <w:spacing w:after="0"/>
              <w:rPr>
                <w:sz w:val="17"/>
                <w:szCs w:val="17"/>
                <w:color w:val="auto"/>
              </w:rPr>
            </w:pPr>
          </w:p>
        </w:tc>
        <w:tc>
          <w:tcPr>
            <w:tcW w:w="10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000" w:type="dxa"/>
            <w:vAlign w:val="bottom"/>
            <w:gridSpan w:val="5"/>
          </w:tcPr>
          <w:p>
            <w:pPr>
              <w:spacing w:after="0"/>
              <w:rPr>
                <w:sz w:val="20"/>
                <w:szCs w:val="20"/>
                <w:color w:val="auto"/>
              </w:rPr>
            </w:pPr>
            <w:r>
              <w:rPr>
                <w:rFonts w:ascii="Arial" w:cs="Arial" w:eastAsia="Arial" w:hAnsi="Arial"/>
                <w:sz w:val="14"/>
                <w:szCs w:val="14"/>
                <w:color w:val="auto"/>
              </w:rPr>
              <w:t>Changes in assets and liabilities</w:t>
            </w: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F5F5F5"/>
          </w:tcPr>
          <w:p>
            <w:pPr>
              <w:spacing w:after="0"/>
              <w:rPr>
                <w:sz w:val="17"/>
                <w:szCs w:val="17"/>
                <w:color w:val="auto"/>
              </w:rPr>
            </w:pPr>
          </w:p>
        </w:tc>
        <w:tc>
          <w:tcPr>
            <w:tcW w:w="7000" w:type="dxa"/>
            <w:vAlign w:val="bottom"/>
            <w:gridSpan w:val="5"/>
            <w:shd w:val="clear" w:color="auto" w:fill="F5F5F5"/>
          </w:tcPr>
          <w:p>
            <w:pPr>
              <w:ind w:left="120"/>
              <w:spacing w:after="0"/>
              <w:rPr>
                <w:sz w:val="20"/>
                <w:szCs w:val="20"/>
                <w:color w:val="auto"/>
              </w:rPr>
            </w:pPr>
            <w:r>
              <w:rPr>
                <w:rFonts w:ascii="Arial" w:cs="Arial" w:eastAsia="Arial" w:hAnsi="Arial"/>
                <w:sz w:val="14"/>
                <w:szCs w:val="14"/>
                <w:color w:val="auto"/>
              </w:rPr>
              <w:t>Inventories</w:t>
            </w:r>
          </w:p>
        </w:tc>
        <w:tc>
          <w:tcPr>
            <w:tcW w:w="340" w:type="dxa"/>
            <w:vAlign w:val="bottom"/>
            <w:shd w:val="clear" w:color="auto" w:fill="F5F5F5"/>
          </w:tcPr>
          <w:p>
            <w:pPr>
              <w:spacing w:after="0"/>
              <w:rPr>
                <w:sz w:val="17"/>
                <w:szCs w:val="17"/>
                <w:color w:val="auto"/>
              </w:rPr>
            </w:pPr>
          </w:p>
        </w:tc>
        <w:tc>
          <w:tcPr>
            <w:tcW w:w="10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(106,874)</w:t>
            </w:r>
          </w:p>
        </w:tc>
        <w:tc>
          <w:tcPr>
            <w:tcW w:w="100" w:type="dxa"/>
            <w:vAlign w:val="bottom"/>
            <w:shd w:val="clear" w:color="auto" w:fill="F5F5F5"/>
          </w:tcPr>
          <w:p>
            <w:pPr>
              <w:spacing w:after="0"/>
              <w:rPr>
                <w:sz w:val="17"/>
                <w:szCs w:val="17"/>
                <w:color w:val="auto"/>
              </w:rPr>
            </w:pPr>
          </w:p>
        </w:tc>
        <w:tc>
          <w:tcPr>
            <w:tcW w:w="340" w:type="dxa"/>
            <w:vAlign w:val="bottom"/>
            <w:shd w:val="clear" w:color="auto" w:fill="F5F5F5"/>
          </w:tcPr>
          <w:p>
            <w:pPr>
              <w:spacing w:after="0"/>
              <w:rPr>
                <w:sz w:val="17"/>
                <w:szCs w:val="17"/>
                <w:color w:val="auto"/>
              </w:rPr>
            </w:pPr>
          </w:p>
        </w:tc>
        <w:tc>
          <w:tcPr>
            <w:tcW w:w="100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35,043</w:t>
            </w:r>
          </w:p>
        </w:tc>
        <w:tc>
          <w:tcPr>
            <w:tcW w:w="100" w:type="dxa"/>
            <w:vAlign w:val="bottom"/>
            <w:shd w:val="clear" w:color="auto" w:fill="F5F5F5"/>
          </w:tcPr>
          <w:p>
            <w:pPr>
              <w:spacing w:after="0"/>
              <w:rPr>
                <w:sz w:val="17"/>
                <w:szCs w:val="17"/>
                <w:color w:val="auto"/>
              </w:rPr>
            </w:pPr>
          </w:p>
        </w:tc>
        <w:tc>
          <w:tcPr>
            <w:tcW w:w="340" w:type="dxa"/>
            <w:vAlign w:val="bottom"/>
            <w:shd w:val="clear" w:color="auto" w:fill="F5F5F5"/>
          </w:tcPr>
          <w:p>
            <w:pPr>
              <w:spacing w:after="0"/>
              <w:rPr>
                <w:sz w:val="17"/>
                <w:szCs w:val="17"/>
                <w:color w:val="auto"/>
              </w:rPr>
            </w:pPr>
          </w:p>
        </w:tc>
        <w:tc>
          <w:tcPr>
            <w:tcW w:w="10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18,505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000" w:type="dxa"/>
            <w:vAlign w:val="bottom"/>
            <w:gridSpan w:val="5"/>
          </w:tcPr>
          <w:p>
            <w:pPr>
              <w:ind w:left="120"/>
              <w:spacing w:after="0"/>
              <w:rPr>
                <w:sz w:val="20"/>
                <w:szCs w:val="20"/>
                <w:color w:val="auto"/>
              </w:rPr>
            </w:pPr>
            <w:r>
              <w:rPr>
                <w:rFonts w:ascii="Arial" w:cs="Arial" w:eastAsia="Arial" w:hAnsi="Arial"/>
                <w:sz w:val="14"/>
                <w:szCs w:val="14"/>
                <w:color w:val="auto"/>
              </w:rPr>
              <w:t>Accounts payable and accrued expenses</w:t>
            </w:r>
          </w:p>
        </w:tc>
        <w:tc>
          <w:tcPr>
            <w:tcW w:w="34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129,262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82,925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(115,152)</w:t>
            </w:r>
          </w:p>
        </w:tc>
        <w:tc>
          <w:tcPr>
            <w:tcW w:w="0" w:type="dxa"/>
            <w:vAlign w:val="bottom"/>
          </w:tcPr>
          <w:p>
            <w:pPr>
              <w:spacing w:after="0"/>
              <w:rPr>
                <w:sz w:val="1"/>
                <w:szCs w:val="1"/>
                <w:color w:val="auto"/>
              </w:rPr>
            </w:pPr>
          </w:p>
        </w:tc>
      </w:tr>
      <w:tr>
        <w:trPr>
          <w:trHeight w:val="207"/>
        </w:trPr>
        <w:tc>
          <w:tcPr>
            <w:tcW w:w="20" w:type="dxa"/>
            <w:vAlign w:val="bottom"/>
            <w:shd w:val="clear" w:color="auto" w:fill="F5F5F5"/>
          </w:tcPr>
          <w:p>
            <w:pPr>
              <w:spacing w:after="0"/>
              <w:rPr>
                <w:sz w:val="17"/>
                <w:szCs w:val="17"/>
                <w:color w:val="auto"/>
              </w:rPr>
            </w:pPr>
          </w:p>
        </w:tc>
        <w:tc>
          <w:tcPr>
            <w:tcW w:w="7000" w:type="dxa"/>
            <w:vAlign w:val="bottom"/>
            <w:gridSpan w:val="5"/>
            <w:shd w:val="clear" w:color="auto" w:fill="F5F5F5"/>
          </w:tcPr>
          <w:p>
            <w:pPr>
              <w:ind w:left="120"/>
              <w:spacing w:after="0"/>
              <w:rPr>
                <w:sz w:val="20"/>
                <w:szCs w:val="20"/>
                <w:color w:val="auto"/>
              </w:rPr>
            </w:pPr>
            <w:r>
              <w:rPr>
                <w:rFonts w:ascii="Arial" w:cs="Arial" w:eastAsia="Arial" w:hAnsi="Arial"/>
                <w:sz w:val="14"/>
                <w:szCs w:val="14"/>
                <w:color w:val="auto"/>
              </w:rPr>
              <w:t>Operating lease right-of use assets and liabilities</w:t>
            </w:r>
          </w:p>
        </w:tc>
        <w:tc>
          <w:tcPr>
            <w:tcW w:w="340" w:type="dxa"/>
            <w:vAlign w:val="bottom"/>
            <w:shd w:val="clear" w:color="auto" w:fill="F5F5F5"/>
          </w:tcPr>
          <w:p>
            <w:pPr>
              <w:spacing w:after="0"/>
              <w:rPr>
                <w:sz w:val="17"/>
                <w:szCs w:val="17"/>
                <w:color w:val="auto"/>
              </w:rPr>
            </w:pPr>
          </w:p>
        </w:tc>
        <w:tc>
          <w:tcPr>
            <w:tcW w:w="10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(3,288)</w:t>
            </w:r>
          </w:p>
        </w:tc>
        <w:tc>
          <w:tcPr>
            <w:tcW w:w="100" w:type="dxa"/>
            <w:vAlign w:val="bottom"/>
            <w:shd w:val="clear" w:color="auto" w:fill="F5F5F5"/>
          </w:tcPr>
          <w:p>
            <w:pPr>
              <w:spacing w:after="0"/>
              <w:rPr>
                <w:sz w:val="17"/>
                <w:szCs w:val="17"/>
                <w:color w:val="auto"/>
              </w:rPr>
            </w:pPr>
          </w:p>
        </w:tc>
        <w:tc>
          <w:tcPr>
            <w:tcW w:w="340" w:type="dxa"/>
            <w:vAlign w:val="bottom"/>
            <w:shd w:val="clear" w:color="auto" w:fill="F5F5F5"/>
          </w:tcPr>
          <w:p>
            <w:pPr>
              <w:spacing w:after="0"/>
              <w:rPr>
                <w:sz w:val="17"/>
                <w:szCs w:val="17"/>
                <w:color w:val="auto"/>
              </w:rPr>
            </w:pPr>
          </w:p>
        </w:tc>
        <w:tc>
          <w:tcPr>
            <w:tcW w:w="10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(55,646)</w:t>
            </w:r>
          </w:p>
        </w:tc>
        <w:tc>
          <w:tcPr>
            <w:tcW w:w="100" w:type="dxa"/>
            <w:vAlign w:val="bottom"/>
            <w:shd w:val="clear" w:color="auto" w:fill="F5F5F5"/>
          </w:tcPr>
          <w:p>
            <w:pPr>
              <w:spacing w:after="0"/>
              <w:rPr>
                <w:sz w:val="17"/>
                <w:szCs w:val="17"/>
                <w:color w:val="auto"/>
              </w:rPr>
            </w:pPr>
          </w:p>
        </w:tc>
        <w:tc>
          <w:tcPr>
            <w:tcW w:w="340" w:type="dxa"/>
            <w:vAlign w:val="bottom"/>
            <w:shd w:val="clear" w:color="auto" w:fill="F5F5F5"/>
          </w:tcPr>
          <w:p>
            <w:pPr>
              <w:spacing w:after="0"/>
              <w:rPr>
                <w:sz w:val="17"/>
                <w:szCs w:val="17"/>
                <w:color w:val="auto"/>
              </w:rPr>
            </w:pPr>
          </w:p>
        </w:tc>
        <w:tc>
          <w:tcPr>
            <w:tcW w:w="10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(18,495)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000" w:type="dxa"/>
            <w:vAlign w:val="bottom"/>
            <w:gridSpan w:val="5"/>
          </w:tcPr>
          <w:p>
            <w:pPr>
              <w:ind w:left="120"/>
              <w:spacing w:after="0"/>
              <w:rPr>
                <w:sz w:val="20"/>
                <w:szCs w:val="20"/>
                <w:color w:val="auto"/>
              </w:rPr>
            </w:pPr>
            <w:r>
              <w:rPr>
                <w:rFonts w:ascii="Arial" w:cs="Arial" w:eastAsia="Arial" w:hAnsi="Arial"/>
                <w:sz w:val="14"/>
                <w:szCs w:val="14"/>
                <w:color w:val="auto"/>
              </w:rPr>
              <w:t>Income taxes</w:t>
            </w: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(9,845)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35,806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(7,390)</w:t>
            </w:r>
          </w:p>
        </w:tc>
        <w:tc>
          <w:tcPr>
            <w:tcW w:w="0" w:type="dxa"/>
            <w:vAlign w:val="bottom"/>
          </w:tcPr>
          <w:p>
            <w:pPr>
              <w:spacing w:after="0"/>
              <w:rPr>
                <w:sz w:val="1"/>
                <w:szCs w:val="1"/>
                <w:color w:val="auto"/>
              </w:rPr>
            </w:pPr>
          </w:p>
        </w:tc>
      </w:tr>
      <w:tr>
        <w:trPr>
          <w:trHeight w:val="207"/>
        </w:trPr>
        <w:tc>
          <w:tcPr>
            <w:tcW w:w="20" w:type="dxa"/>
            <w:vAlign w:val="bottom"/>
            <w:shd w:val="clear" w:color="auto" w:fill="F5F5F5"/>
          </w:tcPr>
          <w:p>
            <w:pPr>
              <w:spacing w:after="0"/>
              <w:rPr>
                <w:sz w:val="17"/>
                <w:szCs w:val="17"/>
                <w:color w:val="auto"/>
              </w:rPr>
            </w:pPr>
          </w:p>
        </w:tc>
        <w:tc>
          <w:tcPr>
            <w:tcW w:w="7000" w:type="dxa"/>
            <w:vAlign w:val="bottom"/>
            <w:gridSpan w:val="5"/>
            <w:shd w:val="clear" w:color="auto" w:fill="F5F5F5"/>
          </w:tcPr>
          <w:p>
            <w:pPr>
              <w:ind w:left="120"/>
              <w:spacing w:after="0"/>
              <w:rPr>
                <w:sz w:val="20"/>
                <w:szCs w:val="20"/>
                <w:color w:val="auto"/>
              </w:rPr>
            </w:pPr>
            <w:r>
              <w:rPr>
                <w:rFonts w:ascii="Arial" w:cs="Arial" w:eastAsia="Arial" w:hAnsi="Arial"/>
                <w:sz w:val="14"/>
                <w:szCs w:val="14"/>
                <w:color w:val="auto"/>
              </w:rPr>
              <w:t>Other assets</w:t>
            </w:r>
          </w:p>
        </w:tc>
        <w:tc>
          <w:tcPr>
            <w:tcW w:w="340" w:type="dxa"/>
            <w:vAlign w:val="bottom"/>
            <w:shd w:val="clear" w:color="auto" w:fill="F5F5F5"/>
          </w:tcPr>
          <w:p>
            <w:pPr>
              <w:spacing w:after="0"/>
              <w:rPr>
                <w:sz w:val="17"/>
                <w:szCs w:val="17"/>
                <w:color w:val="auto"/>
              </w:rPr>
            </w:pPr>
          </w:p>
        </w:tc>
        <w:tc>
          <w:tcPr>
            <w:tcW w:w="10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(71,361)</w:t>
            </w:r>
          </w:p>
        </w:tc>
        <w:tc>
          <w:tcPr>
            <w:tcW w:w="100" w:type="dxa"/>
            <w:vAlign w:val="bottom"/>
            <w:shd w:val="clear" w:color="auto" w:fill="F5F5F5"/>
          </w:tcPr>
          <w:p>
            <w:pPr>
              <w:spacing w:after="0"/>
              <w:rPr>
                <w:sz w:val="17"/>
                <w:szCs w:val="17"/>
                <w:color w:val="auto"/>
              </w:rPr>
            </w:pPr>
          </w:p>
        </w:tc>
        <w:tc>
          <w:tcPr>
            <w:tcW w:w="340" w:type="dxa"/>
            <w:vAlign w:val="bottom"/>
            <w:shd w:val="clear" w:color="auto" w:fill="F5F5F5"/>
          </w:tcPr>
          <w:p>
            <w:pPr>
              <w:spacing w:after="0"/>
              <w:rPr>
                <w:sz w:val="17"/>
                <w:szCs w:val="17"/>
                <w:color w:val="auto"/>
              </w:rPr>
            </w:pPr>
          </w:p>
        </w:tc>
        <w:tc>
          <w:tcPr>
            <w:tcW w:w="100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22,827</w:t>
            </w:r>
          </w:p>
        </w:tc>
        <w:tc>
          <w:tcPr>
            <w:tcW w:w="100" w:type="dxa"/>
            <w:vAlign w:val="bottom"/>
            <w:shd w:val="clear" w:color="auto" w:fill="F5F5F5"/>
          </w:tcPr>
          <w:p>
            <w:pPr>
              <w:spacing w:after="0"/>
              <w:rPr>
                <w:sz w:val="17"/>
                <w:szCs w:val="17"/>
                <w:color w:val="auto"/>
              </w:rPr>
            </w:pPr>
          </w:p>
        </w:tc>
        <w:tc>
          <w:tcPr>
            <w:tcW w:w="340" w:type="dxa"/>
            <w:vAlign w:val="bottom"/>
            <w:shd w:val="clear" w:color="auto" w:fill="F5F5F5"/>
          </w:tcPr>
          <w:p>
            <w:pPr>
              <w:spacing w:after="0"/>
              <w:rPr>
                <w:sz w:val="17"/>
                <w:szCs w:val="17"/>
                <w:color w:val="auto"/>
              </w:rPr>
            </w:pPr>
          </w:p>
        </w:tc>
        <w:tc>
          <w:tcPr>
            <w:tcW w:w="10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(88,270)</w:t>
            </w:r>
          </w:p>
        </w:tc>
        <w:tc>
          <w:tcPr>
            <w:tcW w:w="0" w:type="dxa"/>
            <w:vAlign w:val="bottom"/>
          </w:tcPr>
          <w:p>
            <w:pPr>
              <w:spacing w:after="0"/>
              <w:rPr>
                <w:sz w:val="1"/>
                <w:szCs w:val="1"/>
                <w:color w:val="auto"/>
              </w:rPr>
            </w:pPr>
          </w:p>
        </w:tc>
      </w:tr>
      <w:tr>
        <w:trPr>
          <w:trHeight w:val="198"/>
        </w:trPr>
        <w:tc>
          <w:tcPr>
            <w:tcW w:w="20" w:type="dxa"/>
            <w:vAlign w:val="bottom"/>
            <w:tcBorders>
              <w:bottom w:val="single" w:sz="8" w:color="F5F5F5"/>
            </w:tcBorders>
          </w:tcPr>
          <w:p>
            <w:pPr>
              <w:spacing w:after="0"/>
              <w:rPr>
                <w:sz w:val="17"/>
                <w:szCs w:val="17"/>
                <w:color w:val="auto"/>
              </w:rPr>
            </w:pPr>
          </w:p>
        </w:tc>
        <w:tc>
          <w:tcPr>
            <w:tcW w:w="7000" w:type="dxa"/>
            <w:vAlign w:val="bottom"/>
            <w:tcBorders>
              <w:bottom w:val="single" w:sz="8" w:color="F5F5F5"/>
            </w:tcBorders>
            <w:gridSpan w:val="5"/>
          </w:tcPr>
          <w:p>
            <w:pPr>
              <w:ind w:left="120"/>
              <w:spacing w:after="0"/>
              <w:rPr>
                <w:sz w:val="20"/>
                <w:szCs w:val="20"/>
                <w:color w:val="auto"/>
              </w:rPr>
            </w:pPr>
            <w:r>
              <w:rPr>
                <w:rFonts w:ascii="Arial" w:cs="Arial" w:eastAsia="Arial" w:hAnsi="Arial"/>
                <w:sz w:val="14"/>
                <w:szCs w:val="14"/>
                <w:color w:val="auto"/>
              </w:rPr>
              <w:t>Other liabilities</w:t>
            </w: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(13,418)</w:t>
            </w:r>
          </w:p>
        </w:tc>
        <w:tc>
          <w:tcPr>
            <w:tcW w:w="100" w:type="dxa"/>
            <w:vAlign w:val="bottom"/>
            <w:tcBorders>
              <w:bottom w:val="single" w:sz="8" w:color="F5F5F5"/>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(6,897)</w:t>
            </w:r>
          </w:p>
        </w:tc>
        <w:tc>
          <w:tcPr>
            <w:tcW w:w="100" w:type="dxa"/>
            <w:vAlign w:val="bottom"/>
            <w:tcBorders>
              <w:bottom w:val="single" w:sz="8" w:color="F5F5F5"/>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9,458</w:t>
            </w:r>
          </w:p>
        </w:tc>
        <w:tc>
          <w:tcPr>
            <w:tcW w:w="0" w:type="dxa"/>
            <w:vAlign w:val="bottom"/>
          </w:tcPr>
          <w:p>
            <w:pPr>
              <w:spacing w:after="0"/>
              <w:rPr>
                <w:sz w:val="1"/>
                <w:szCs w:val="1"/>
                <w:color w:val="auto"/>
              </w:rPr>
            </w:pPr>
          </w:p>
        </w:tc>
      </w:tr>
      <w:tr>
        <w:trPr>
          <w:trHeight w:val="200"/>
        </w:trPr>
        <w:tc>
          <w:tcPr>
            <w:tcW w:w="20" w:type="dxa"/>
            <w:vAlign w:val="bottom"/>
            <w:shd w:val="clear" w:color="auto" w:fill="F5F5F5"/>
          </w:tcPr>
          <w:p>
            <w:pPr>
              <w:spacing w:after="0"/>
              <w:rPr>
                <w:sz w:val="17"/>
                <w:szCs w:val="17"/>
                <w:color w:val="auto"/>
              </w:rPr>
            </w:pPr>
          </w:p>
        </w:tc>
        <w:tc>
          <w:tcPr>
            <w:tcW w:w="7000" w:type="dxa"/>
            <w:vAlign w:val="bottom"/>
            <w:gridSpan w:val="5"/>
            <w:shd w:val="clear" w:color="auto" w:fill="F5F5F5"/>
          </w:tcPr>
          <w:p>
            <w:pPr>
              <w:spacing w:after="0"/>
              <w:rPr>
                <w:sz w:val="20"/>
                <w:szCs w:val="20"/>
                <w:color w:val="auto"/>
              </w:rPr>
            </w:pPr>
            <w:r>
              <w:rPr>
                <w:rFonts w:ascii="Arial" w:cs="Arial" w:eastAsia="Arial" w:hAnsi="Arial"/>
                <w:sz w:val="14"/>
                <w:szCs w:val="14"/>
                <w:color w:val="auto"/>
              </w:rPr>
              <w:t>Net cash provided by (used for) operating activities</w:t>
            </w:r>
          </w:p>
        </w:tc>
        <w:tc>
          <w:tcPr>
            <w:tcW w:w="340" w:type="dxa"/>
            <w:vAlign w:val="bottom"/>
            <w:tcBorders>
              <w:bottom w:val="single" w:sz="8" w:color="auto"/>
            </w:tcBorders>
            <w:shd w:val="clear" w:color="auto" w:fill="F5F5F5"/>
          </w:tcPr>
          <w:p>
            <w:pPr>
              <w:spacing w:after="0"/>
              <w:rPr>
                <w:sz w:val="17"/>
                <w:szCs w:val="17"/>
                <w:color w:val="auto"/>
              </w:rPr>
            </w:pPr>
          </w:p>
        </w:tc>
        <w:tc>
          <w:tcPr>
            <w:tcW w:w="1000" w:type="dxa"/>
            <w:vAlign w:val="bottom"/>
            <w:tcBorders>
              <w:bottom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710,376</w:t>
            </w:r>
          </w:p>
        </w:tc>
        <w:tc>
          <w:tcPr>
            <w:tcW w:w="100" w:type="dxa"/>
            <w:vAlign w:val="bottom"/>
            <w:shd w:val="clear" w:color="auto" w:fill="F5F5F5"/>
          </w:tcPr>
          <w:p>
            <w:pPr>
              <w:spacing w:after="0"/>
              <w:rPr>
                <w:sz w:val="17"/>
                <w:szCs w:val="17"/>
                <w:color w:val="auto"/>
              </w:rPr>
            </w:pPr>
          </w:p>
        </w:tc>
        <w:tc>
          <w:tcPr>
            <w:tcW w:w="340" w:type="dxa"/>
            <w:vAlign w:val="bottom"/>
            <w:tcBorders>
              <w:bottom w:val="single" w:sz="8" w:color="auto"/>
            </w:tcBorders>
            <w:shd w:val="clear" w:color="auto" w:fill="F5F5F5"/>
          </w:tcPr>
          <w:p>
            <w:pPr>
              <w:spacing w:after="0"/>
              <w:rPr>
                <w:sz w:val="17"/>
                <w:szCs w:val="17"/>
                <w:color w:val="auto"/>
              </w:rPr>
            </w:pPr>
          </w:p>
        </w:tc>
        <w:tc>
          <w:tcPr>
            <w:tcW w:w="1000" w:type="dxa"/>
            <w:vAlign w:val="bottom"/>
            <w:tcBorders>
              <w:bottom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653,422</w:t>
            </w:r>
          </w:p>
        </w:tc>
        <w:tc>
          <w:tcPr>
            <w:tcW w:w="100" w:type="dxa"/>
            <w:vAlign w:val="bottom"/>
            <w:shd w:val="clear" w:color="auto" w:fill="F5F5F5"/>
          </w:tcPr>
          <w:p>
            <w:pPr>
              <w:spacing w:after="0"/>
              <w:rPr>
                <w:sz w:val="17"/>
                <w:szCs w:val="17"/>
                <w:color w:val="auto"/>
              </w:rPr>
            </w:pPr>
          </w:p>
        </w:tc>
        <w:tc>
          <w:tcPr>
            <w:tcW w:w="340" w:type="dxa"/>
            <w:vAlign w:val="bottom"/>
            <w:tcBorders>
              <w:bottom w:val="single" w:sz="8" w:color="auto"/>
            </w:tcBorders>
            <w:shd w:val="clear" w:color="auto" w:fill="F5F5F5"/>
          </w:tcPr>
          <w:p>
            <w:pPr>
              <w:spacing w:after="0"/>
              <w:rPr>
                <w:sz w:val="17"/>
                <w:szCs w:val="17"/>
                <w:color w:val="auto"/>
              </w:rPr>
            </w:pPr>
          </w:p>
        </w:tc>
        <w:tc>
          <w:tcPr>
            <w:tcW w:w="100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(2,343)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0" w:type="dxa"/>
            <w:vAlign w:val="bottom"/>
            <w:gridSpan w:val="5"/>
          </w:tcPr>
          <w:p>
            <w:pPr>
              <w:spacing w:after="0" w:line="142" w:lineRule="exact"/>
              <w:rPr>
                <w:sz w:val="20"/>
                <w:szCs w:val="20"/>
                <w:color w:val="auto"/>
              </w:rPr>
            </w:pPr>
            <w:r>
              <w:rPr>
                <w:rFonts w:ascii="Arial" w:cs="Arial" w:eastAsia="Arial" w:hAnsi="Arial"/>
                <w:sz w:val="14"/>
                <w:szCs w:val="14"/>
                <w:color w:val="auto"/>
              </w:rPr>
              <w:t>Investing activities</w:t>
            </w: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F5F5F5"/>
          </w:tcPr>
          <w:p>
            <w:pPr>
              <w:spacing w:after="0"/>
              <w:rPr>
                <w:sz w:val="17"/>
                <w:szCs w:val="17"/>
                <w:color w:val="auto"/>
              </w:rPr>
            </w:pPr>
          </w:p>
        </w:tc>
        <w:tc>
          <w:tcPr>
            <w:tcW w:w="7000" w:type="dxa"/>
            <w:vAlign w:val="bottom"/>
            <w:gridSpan w:val="5"/>
            <w:shd w:val="clear" w:color="auto" w:fill="F5F5F5"/>
          </w:tcPr>
          <w:p>
            <w:pPr>
              <w:ind w:left="80"/>
              <w:spacing w:after="0"/>
              <w:rPr>
                <w:sz w:val="20"/>
                <w:szCs w:val="20"/>
                <w:color w:val="auto"/>
              </w:rPr>
            </w:pPr>
            <w:r>
              <w:rPr>
                <w:rFonts w:ascii="Arial" w:cs="Arial" w:eastAsia="Arial" w:hAnsi="Arial"/>
                <w:sz w:val="14"/>
                <w:szCs w:val="14"/>
                <w:color w:val="auto"/>
              </w:rPr>
              <w:t>Purchases of marketable securities</w:t>
            </w:r>
          </w:p>
        </w:tc>
        <w:tc>
          <w:tcPr>
            <w:tcW w:w="340" w:type="dxa"/>
            <w:vAlign w:val="bottom"/>
            <w:shd w:val="clear" w:color="auto" w:fill="F5F5F5"/>
          </w:tcPr>
          <w:p>
            <w:pPr>
              <w:spacing w:after="0"/>
              <w:rPr>
                <w:sz w:val="17"/>
                <w:szCs w:val="17"/>
                <w:color w:val="auto"/>
              </w:rPr>
            </w:pPr>
          </w:p>
        </w:tc>
        <w:tc>
          <w:tcPr>
            <w:tcW w:w="10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(139,600)</w:t>
            </w:r>
          </w:p>
        </w:tc>
        <w:tc>
          <w:tcPr>
            <w:tcW w:w="100" w:type="dxa"/>
            <w:vAlign w:val="bottom"/>
            <w:shd w:val="clear" w:color="auto" w:fill="F5F5F5"/>
          </w:tcPr>
          <w:p>
            <w:pPr>
              <w:spacing w:after="0"/>
              <w:rPr>
                <w:sz w:val="17"/>
                <w:szCs w:val="17"/>
                <w:color w:val="auto"/>
              </w:rPr>
            </w:pPr>
          </w:p>
        </w:tc>
        <w:tc>
          <w:tcPr>
            <w:tcW w:w="340" w:type="dxa"/>
            <w:vAlign w:val="bottom"/>
            <w:shd w:val="clear" w:color="auto" w:fill="F5F5F5"/>
          </w:tcPr>
          <w:p>
            <w:pPr>
              <w:spacing w:after="0"/>
              <w:rPr>
                <w:sz w:val="17"/>
                <w:szCs w:val="17"/>
                <w:color w:val="auto"/>
              </w:rPr>
            </w:pPr>
          </w:p>
        </w:tc>
        <w:tc>
          <w:tcPr>
            <w:tcW w:w="1100" w:type="dxa"/>
            <w:vAlign w:val="bottom"/>
            <w:gridSpan w:val="2"/>
            <w:shd w:val="clear" w:color="auto" w:fill="F5F5F5"/>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F5F5F5"/>
          </w:tcPr>
          <w:p>
            <w:pPr>
              <w:spacing w:after="0"/>
              <w:rPr>
                <w:sz w:val="17"/>
                <w:szCs w:val="17"/>
                <w:color w:val="auto"/>
              </w:rPr>
            </w:pPr>
          </w:p>
        </w:tc>
        <w:tc>
          <w:tcPr>
            <w:tcW w:w="10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000" w:type="dxa"/>
            <w:vAlign w:val="bottom"/>
            <w:gridSpan w:val="5"/>
          </w:tcPr>
          <w:p>
            <w:pPr>
              <w:ind w:left="80"/>
              <w:spacing w:after="0"/>
              <w:rPr>
                <w:sz w:val="20"/>
                <w:szCs w:val="20"/>
                <w:color w:val="auto"/>
              </w:rPr>
            </w:pPr>
            <w:r>
              <w:rPr>
                <w:rFonts w:ascii="Arial" w:cs="Arial" w:eastAsia="Arial" w:hAnsi="Arial"/>
                <w:sz w:val="14"/>
                <w:szCs w:val="14"/>
                <w:color w:val="auto"/>
              </w:rPr>
              <w:t>Proceeds from maturities of marketable securities</w:t>
            </w:r>
          </w:p>
        </w:tc>
        <w:tc>
          <w:tcPr>
            <w:tcW w:w="34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24,800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20" w:type="dxa"/>
            <w:vAlign w:val="bottom"/>
            <w:shd w:val="clear" w:color="auto" w:fill="F5F5F5"/>
          </w:tcPr>
          <w:p>
            <w:pPr>
              <w:spacing w:after="0"/>
              <w:rPr>
                <w:sz w:val="17"/>
                <w:szCs w:val="17"/>
                <w:color w:val="auto"/>
              </w:rPr>
            </w:pPr>
          </w:p>
        </w:tc>
        <w:tc>
          <w:tcPr>
            <w:tcW w:w="7000" w:type="dxa"/>
            <w:vAlign w:val="bottom"/>
            <w:gridSpan w:val="5"/>
            <w:shd w:val="clear" w:color="auto" w:fill="F5F5F5"/>
          </w:tcPr>
          <w:p>
            <w:pPr>
              <w:ind w:left="120"/>
              <w:spacing w:after="0"/>
              <w:rPr>
                <w:sz w:val="20"/>
                <w:szCs w:val="20"/>
                <w:color w:val="auto"/>
              </w:rPr>
            </w:pPr>
            <w:r>
              <w:rPr>
                <w:rFonts w:ascii="Arial" w:cs="Arial" w:eastAsia="Arial" w:hAnsi="Arial"/>
                <w:sz w:val="14"/>
                <w:szCs w:val="14"/>
                <w:color w:val="auto"/>
              </w:rPr>
              <w:t>Purchases of property and equipment</w:t>
            </w:r>
          </w:p>
        </w:tc>
        <w:tc>
          <w:tcPr>
            <w:tcW w:w="340" w:type="dxa"/>
            <w:vAlign w:val="bottom"/>
            <w:shd w:val="clear" w:color="auto" w:fill="F5F5F5"/>
          </w:tcPr>
          <w:p>
            <w:pPr>
              <w:spacing w:after="0"/>
              <w:rPr>
                <w:sz w:val="17"/>
                <w:szCs w:val="17"/>
                <w:color w:val="auto"/>
              </w:rPr>
            </w:pPr>
          </w:p>
        </w:tc>
        <w:tc>
          <w:tcPr>
            <w:tcW w:w="10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(182,903)</w:t>
            </w:r>
          </w:p>
        </w:tc>
        <w:tc>
          <w:tcPr>
            <w:tcW w:w="100" w:type="dxa"/>
            <w:vAlign w:val="bottom"/>
            <w:shd w:val="clear" w:color="auto" w:fill="F5F5F5"/>
          </w:tcPr>
          <w:p>
            <w:pPr>
              <w:spacing w:after="0"/>
              <w:rPr>
                <w:sz w:val="17"/>
                <w:szCs w:val="17"/>
                <w:color w:val="auto"/>
              </w:rPr>
            </w:pPr>
          </w:p>
        </w:tc>
        <w:tc>
          <w:tcPr>
            <w:tcW w:w="340" w:type="dxa"/>
            <w:vAlign w:val="bottom"/>
            <w:shd w:val="clear" w:color="auto" w:fill="F5F5F5"/>
          </w:tcPr>
          <w:p>
            <w:pPr>
              <w:spacing w:after="0"/>
              <w:rPr>
                <w:sz w:val="17"/>
                <w:szCs w:val="17"/>
                <w:color w:val="auto"/>
              </w:rPr>
            </w:pPr>
          </w:p>
        </w:tc>
        <w:tc>
          <w:tcPr>
            <w:tcW w:w="10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(157,797)</w:t>
            </w:r>
          </w:p>
        </w:tc>
        <w:tc>
          <w:tcPr>
            <w:tcW w:w="100" w:type="dxa"/>
            <w:vAlign w:val="bottom"/>
            <w:shd w:val="clear" w:color="auto" w:fill="F5F5F5"/>
          </w:tcPr>
          <w:p>
            <w:pPr>
              <w:spacing w:after="0"/>
              <w:rPr>
                <w:sz w:val="17"/>
                <w:szCs w:val="17"/>
                <w:color w:val="auto"/>
              </w:rPr>
            </w:pPr>
          </w:p>
        </w:tc>
        <w:tc>
          <w:tcPr>
            <w:tcW w:w="340" w:type="dxa"/>
            <w:vAlign w:val="bottom"/>
            <w:shd w:val="clear" w:color="auto" w:fill="F5F5F5"/>
          </w:tcPr>
          <w:p>
            <w:pPr>
              <w:spacing w:after="0"/>
              <w:rPr>
                <w:sz w:val="17"/>
                <w:szCs w:val="17"/>
                <w:color w:val="auto"/>
              </w:rPr>
            </w:pPr>
          </w:p>
        </w:tc>
        <w:tc>
          <w:tcPr>
            <w:tcW w:w="10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(164,566)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000" w:type="dxa"/>
            <w:vAlign w:val="bottom"/>
            <w:gridSpan w:val="5"/>
          </w:tcPr>
          <w:p>
            <w:pPr>
              <w:ind w:left="120"/>
              <w:spacing w:after="0"/>
              <w:rPr>
                <w:sz w:val="20"/>
                <w:szCs w:val="20"/>
                <w:color w:val="auto"/>
              </w:rPr>
            </w:pPr>
            <w:r>
              <w:rPr>
                <w:rFonts w:ascii="Arial" w:cs="Arial" w:eastAsia="Arial" w:hAnsi="Arial"/>
                <w:sz w:val="14"/>
                <w:szCs w:val="14"/>
                <w:color w:val="auto"/>
              </w:rPr>
              <w:t>Proceeds from the sale of property and equipment</w:t>
            </w:r>
          </w:p>
        </w:tc>
        <w:tc>
          <w:tcPr>
            <w:tcW w:w="34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615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11,891</w:t>
            </w:r>
          </w:p>
        </w:tc>
        <w:tc>
          <w:tcPr>
            <w:tcW w:w="0" w:type="dxa"/>
            <w:vAlign w:val="bottom"/>
          </w:tcPr>
          <w:p>
            <w:pPr>
              <w:spacing w:after="0"/>
              <w:rPr>
                <w:sz w:val="1"/>
                <w:szCs w:val="1"/>
                <w:color w:val="auto"/>
              </w:rPr>
            </w:pPr>
          </w:p>
        </w:tc>
      </w:tr>
      <w:tr>
        <w:trPr>
          <w:trHeight w:val="207"/>
        </w:trPr>
        <w:tc>
          <w:tcPr>
            <w:tcW w:w="20" w:type="dxa"/>
            <w:vAlign w:val="bottom"/>
            <w:shd w:val="clear" w:color="auto" w:fill="F5F5F5"/>
          </w:tcPr>
          <w:p>
            <w:pPr>
              <w:spacing w:after="0"/>
              <w:rPr>
                <w:sz w:val="17"/>
                <w:szCs w:val="17"/>
                <w:color w:val="auto"/>
              </w:rPr>
            </w:pPr>
          </w:p>
        </w:tc>
        <w:tc>
          <w:tcPr>
            <w:tcW w:w="7000" w:type="dxa"/>
            <w:vAlign w:val="bottom"/>
            <w:gridSpan w:val="5"/>
            <w:shd w:val="clear" w:color="auto" w:fill="F5F5F5"/>
          </w:tcPr>
          <w:p>
            <w:pPr>
              <w:ind w:left="120"/>
              <w:spacing w:after="0"/>
              <w:rPr>
                <w:sz w:val="20"/>
                <w:szCs w:val="20"/>
                <w:color w:val="auto"/>
              </w:rPr>
            </w:pPr>
            <w:r>
              <w:rPr>
                <w:rFonts w:ascii="Arial" w:cs="Arial" w:eastAsia="Arial" w:hAnsi="Arial"/>
                <w:sz w:val="14"/>
                <w:szCs w:val="14"/>
                <w:color w:val="auto"/>
              </w:rPr>
              <w:t>Withdrawal of funds from Rabbi Trust assets</w:t>
            </w:r>
          </w:p>
        </w:tc>
        <w:tc>
          <w:tcPr>
            <w:tcW w:w="340" w:type="dxa"/>
            <w:vAlign w:val="bottom"/>
            <w:shd w:val="clear" w:color="auto" w:fill="F5F5F5"/>
          </w:tcPr>
          <w:p>
            <w:pPr>
              <w:spacing w:after="0"/>
              <w:rPr>
                <w:sz w:val="17"/>
                <w:szCs w:val="17"/>
                <w:color w:val="auto"/>
              </w:rPr>
            </w:pPr>
          </w:p>
        </w:tc>
        <w:tc>
          <w:tcPr>
            <w:tcW w:w="1100" w:type="dxa"/>
            <w:vAlign w:val="bottom"/>
            <w:gridSpan w:val="2"/>
            <w:shd w:val="clear" w:color="auto" w:fill="F5F5F5"/>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F5F5F5"/>
          </w:tcPr>
          <w:p>
            <w:pPr>
              <w:spacing w:after="0"/>
              <w:rPr>
                <w:sz w:val="17"/>
                <w:szCs w:val="17"/>
                <w:color w:val="auto"/>
              </w:rPr>
            </w:pPr>
          </w:p>
        </w:tc>
        <w:tc>
          <w:tcPr>
            <w:tcW w:w="1100" w:type="dxa"/>
            <w:vAlign w:val="bottom"/>
            <w:gridSpan w:val="2"/>
            <w:shd w:val="clear" w:color="auto" w:fill="F5F5F5"/>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F5F5F5"/>
          </w:tcPr>
          <w:p>
            <w:pPr>
              <w:spacing w:after="0"/>
              <w:rPr>
                <w:sz w:val="17"/>
                <w:szCs w:val="17"/>
                <w:color w:val="auto"/>
              </w:rPr>
            </w:pPr>
          </w:p>
        </w:tc>
        <w:tc>
          <w:tcPr>
            <w:tcW w:w="10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12,000</w:t>
            </w:r>
          </w:p>
        </w:tc>
        <w:tc>
          <w:tcPr>
            <w:tcW w:w="0" w:type="dxa"/>
            <w:vAlign w:val="bottom"/>
          </w:tcPr>
          <w:p>
            <w:pPr>
              <w:spacing w:after="0"/>
              <w:rPr>
                <w:sz w:val="1"/>
                <w:szCs w:val="1"/>
                <w:color w:val="auto"/>
              </w:rPr>
            </w:pPr>
          </w:p>
        </w:tc>
      </w:tr>
      <w:tr>
        <w:trPr>
          <w:trHeight w:val="192"/>
        </w:trPr>
        <w:tc>
          <w:tcPr>
            <w:tcW w:w="20" w:type="dxa"/>
            <w:vAlign w:val="bottom"/>
            <w:tcBorders>
              <w:bottom w:val="single" w:sz="8" w:color="F5F5F5"/>
            </w:tcBorders>
          </w:tcPr>
          <w:p>
            <w:pPr>
              <w:spacing w:after="0"/>
              <w:rPr>
                <w:sz w:val="16"/>
                <w:szCs w:val="16"/>
                <w:color w:val="auto"/>
              </w:rPr>
            </w:pPr>
          </w:p>
        </w:tc>
        <w:tc>
          <w:tcPr>
            <w:tcW w:w="7000" w:type="dxa"/>
            <w:vAlign w:val="bottom"/>
            <w:tcBorders>
              <w:bottom w:val="single" w:sz="8" w:color="F5F5F5"/>
            </w:tcBorders>
            <w:gridSpan w:val="5"/>
          </w:tcPr>
          <w:p>
            <w:pPr>
              <w:spacing w:after="0"/>
              <w:rPr>
                <w:sz w:val="20"/>
                <w:szCs w:val="20"/>
                <w:color w:val="auto"/>
              </w:rPr>
            </w:pPr>
            <w:r>
              <w:rPr>
                <w:rFonts w:ascii="Arial" w:cs="Arial" w:eastAsia="Arial" w:hAnsi="Arial"/>
                <w:sz w:val="14"/>
                <w:szCs w:val="14"/>
                <w:color w:val="auto"/>
              </w:rPr>
              <w:t>Net cash used for investing activities</w:t>
            </w:r>
          </w:p>
        </w:tc>
        <w:tc>
          <w:tcPr>
            <w:tcW w:w="34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(297,703)</w:t>
            </w:r>
          </w:p>
        </w:tc>
        <w:tc>
          <w:tcPr>
            <w:tcW w:w="100" w:type="dxa"/>
            <w:vAlign w:val="bottom"/>
            <w:tcBorders>
              <w:bottom w:val="single" w:sz="8" w:color="F5F5F5"/>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(157,182)</w:t>
            </w:r>
          </w:p>
        </w:tc>
        <w:tc>
          <w:tcPr>
            <w:tcW w:w="100" w:type="dxa"/>
            <w:vAlign w:val="bottom"/>
            <w:tcBorders>
              <w:bottom w:val="single" w:sz="8" w:color="F5F5F5"/>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(140,675)</w:t>
            </w:r>
          </w:p>
        </w:tc>
        <w:tc>
          <w:tcPr>
            <w:tcW w:w="0" w:type="dxa"/>
            <w:vAlign w:val="bottom"/>
          </w:tcPr>
          <w:p>
            <w:pPr>
              <w:spacing w:after="0"/>
              <w:rPr>
                <w:sz w:val="1"/>
                <w:szCs w:val="1"/>
                <w:color w:val="auto"/>
              </w:rPr>
            </w:pPr>
          </w:p>
        </w:tc>
      </w:tr>
      <w:tr>
        <w:trPr>
          <w:trHeight w:val="146"/>
        </w:trPr>
        <w:tc>
          <w:tcPr>
            <w:tcW w:w="20" w:type="dxa"/>
            <w:vAlign w:val="bottom"/>
            <w:shd w:val="clear" w:color="auto" w:fill="F5F5F5"/>
          </w:tcPr>
          <w:p>
            <w:pPr>
              <w:spacing w:after="0"/>
              <w:rPr>
                <w:sz w:val="12"/>
                <w:szCs w:val="12"/>
                <w:color w:val="auto"/>
              </w:rPr>
            </w:pPr>
          </w:p>
        </w:tc>
        <w:tc>
          <w:tcPr>
            <w:tcW w:w="7000" w:type="dxa"/>
            <w:vAlign w:val="bottom"/>
            <w:gridSpan w:val="5"/>
            <w:shd w:val="clear" w:color="auto" w:fill="F5F5F5"/>
          </w:tcPr>
          <w:p>
            <w:pPr>
              <w:spacing w:after="0" w:line="146" w:lineRule="exact"/>
              <w:rPr>
                <w:sz w:val="20"/>
                <w:szCs w:val="20"/>
                <w:color w:val="auto"/>
              </w:rPr>
            </w:pPr>
            <w:r>
              <w:rPr>
                <w:rFonts w:ascii="Arial" w:cs="Arial" w:eastAsia="Arial" w:hAnsi="Arial"/>
                <w:sz w:val="14"/>
                <w:szCs w:val="14"/>
                <w:color w:val="auto"/>
              </w:rPr>
              <w:t>Financing activities</w:t>
            </w:r>
          </w:p>
        </w:tc>
        <w:tc>
          <w:tcPr>
            <w:tcW w:w="340" w:type="dxa"/>
            <w:vAlign w:val="bottom"/>
            <w:shd w:val="clear" w:color="auto" w:fill="F5F5F5"/>
          </w:tcPr>
          <w:p>
            <w:pPr>
              <w:spacing w:after="0"/>
              <w:rPr>
                <w:sz w:val="12"/>
                <w:szCs w:val="12"/>
                <w:color w:val="auto"/>
              </w:rPr>
            </w:pPr>
          </w:p>
        </w:tc>
        <w:tc>
          <w:tcPr>
            <w:tcW w:w="1000" w:type="dxa"/>
            <w:vAlign w:val="bottom"/>
            <w:shd w:val="clear" w:color="auto" w:fill="F5F5F5"/>
          </w:tcPr>
          <w:p>
            <w:pPr>
              <w:spacing w:after="0"/>
              <w:rPr>
                <w:sz w:val="12"/>
                <w:szCs w:val="12"/>
                <w:color w:val="auto"/>
              </w:rPr>
            </w:pPr>
          </w:p>
        </w:tc>
        <w:tc>
          <w:tcPr>
            <w:tcW w:w="100" w:type="dxa"/>
            <w:vAlign w:val="bottom"/>
            <w:shd w:val="clear" w:color="auto" w:fill="F5F5F5"/>
          </w:tcPr>
          <w:p>
            <w:pPr>
              <w:spacing w:after="0"/>
              <w:rPr>
                <w:sz w:val="12"/>
                <w:szCs w:val="12"/>
                <w:color w:val="auto"/>
              </w:rPr>
            </w:pPr>
          </w:p>
        </w:tc>
        <w:tc>
          <w:tcPr>
            <w:tcW w:w="340" w:type="dxa"/>
            <w:vAlign w:val="bottom"/>
            <w:shd w:val="clear" w:color="auto" w:fill="F5F5F5"/>
          </w:tcPr>
          <w:p>
            <w:pPr>
              <w:spacing w:after="0"/>
              <w:rPr>
                <w:sz w:val="12"/>
                <w:szCs w:val="12"/>
                <w:color w:val="auto"/>
              </w:rPr>
            </w:pPr>
          </w:p>
        </w:tc>
        <w:tc>
          <w:tcPr>
            <w:tcW w:w="1000" w:type="dxa"/>
            <w:vAlign w:val="bottom"/>
            <w:shd w:val="clear" w:color="auto" w:fill="F5F5F5"/>
          </w:tcPr>
          <w:p>
            <w:pPr>
              <w:spacing w:after="0"/>
              <w:rPr>
                <w:sz w:val="12"/>
                <w:szCs w:val="12"/>
                <w:color w:val="auto"/>
              </w:rPr>
            </w:pPr>
          </w:p>
        </w:tc>
        <w:tc>
          <w:tcPr>
            <w:tcW w:w="100" w:type="dxa"/>
            <w:vAlign w:val="bottom"/>
            <w:shd w:val="clear" w:color="auto" w:fill="F5F5F5"/>
          </w:tcPr>
          <w:p>
            <w:pPr>
              <w:spacing w:after="0"/>
              <w:rPr>
                <w:sz w:val="12"/>
                <w:szCs w:val="12"/>
                <w:color w:val="auto"/>
              </w:rPr>
            </w:pPr>
          </w:p>
        </w:tc>
        <w:tc>
          <w:tcPr>
            <w:tcW w:w="340" w:type="dxa"/>
            <w:vAlign w:val="bottom"/>
            <w:shd w:val="clear" w:color="auto" w:fill="F5F5F5"/>
          </w:tcPr>
          <w:p>
            <w:pPr>
              <w:spacing w:after="0"/>
              <w:rPr>
                <w:sz w:val="12"/>
                <w:szCs w:val="12"/>
                <w:color w:val="auto"/>
              </w:rPr>
            </w:pPr>
          </w:p>
        </w:tc>
        <w:tc>
          <w:tcPr>
            <w:tcW w:w="1000" w:type="dxa"/>
            <w:vAlign w:val="bottom"/>
            <w:shd w:val="clear" w:color="auto" w:fill="F5F5F5"/>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F5F5F5"/>
            </w:tcBorders>
            <w:shd w:val="clear" w:color="auto" w:fill="F5F5F5"/>
          </w:tcPr>
          <w:p>
            <w:pPr>
              <w:spacing w:after="0" w:line="20" w:lineRule="exact"/>
              <w:rPr>
                <w:sz w:val="1"/>
                <w:szCs w:val="1"/>
                <w:color w:val="auto"/>
              </w:rPr>
            </w:pPr>
          </w:p>
        </w:tc>
        <w:tc>
          <w:tcPr>
            <w:tcW w:w="1180" w:type="dxa"/>
            <w:vAlign w:val="bottom"/>
            <w:tcBorders>
              <w:top w:val="single" w:sz="8" w:color="auto"/>
            </w:tcBorders>
            <w:shd w:val="clear" w:color="auto" w:fill="F5F5F5"/>
          </w:tcPr>
          <w:p>
            <w:pPr>
              <w:spacing w:after="0" w:line="20" w:lineRule="exact"/>
              <w:rPr>
                <w:sz w:val="1"/>
                <w:szCs w:val="1"/>
                <w:color w:val="auto"/>
              </w:rPr>
            </w:pPr>
          </w:p>
        </w:tc>
        <w:tc>
          <w:tcPr>
            <w:tcW w:w="40" w:type="dxa"/>
            <w:vAlign w:val="bottom"/>
            <w:tcBorders>
              <w:top w:val="single" w:sz="8" w:color="auto"/>
            </w:tcBorders>
            <w:shd w:val="clear" w:color="auto" w:fill="F5F5F5"/>
          </w:tcPr>
          <w:p>
            <w:pPr>
              <w:spacing w:after="0" w:line="20" w:lineRule="exact"/>
              <w:rPr>
                <w:sz w:val="1"/>
                <w:szCs w:val="1"/>
                <w:color w:val="auto"/>
              </w:rPr>
            </w:pPr>
          </w:p>
        </w:tc>
        <w:tc>
          <w:tcPr>
            <w:tcW w:w="2000" w:type="dxa"/>
            <w:vAlign w:val="bottom"/>
            <w:tcBorders>
              <w:top w:val="single" w:sz="8" w:color="F5F5F5"/>
            </w:tcBorders>
            <w:shd w:val="clear" w:color="auto" w:fill="F5F5F5"/>
          </w:tcPr>
          <w:p>
            <w:pPr>
              <w:spacing w:after="0" w:line="20" w:lineRule="exact"/>
              <w:rPr>
                <w:sz w:val="1"/>
                <w:szCs w:val="1"/>
                <w:color w:val="auto"/>
              </w:rPr>
            </w:pPr>
          </w:p>
        </w:tc>
        <w:tc>
          <w:tcPr>
            <w:tcW w:w="280" w:type="dxa"/>
            <w:vAlign w:val="bottom"/>
            <w:tcBorders>
              <w:top w:val="single" w:sz="8" w:color="F5F5F5"/>
            </w:tcBorders>
            <w:shd w:val="clear" w:color="auto" w:fill="F5F5F5"/>
          </w:tcPr>
          <w:p>
            <w:pPr>
              <w:spacing w:after="0" w:line="20" w:lineRule="exact"/>
              <w:rPr>
                <w:sz w:val="1"/>
                <w:szCs w:val="1"/>
                <w:color w:val="auto"/>
              </w:rPr>
            </w:pPr>
          </w:p>
        </w:tc>
        <w:tc>
          <w:tcPr>
            <w:tcW w:w="3500" w:type="dxa"/>
            <w:vAlign w:val="bottom"/>
            <w:tcBorders>
              <w:top w:val="single" w:sz="8" w:color="F5F5F5"/>
            </w:tcBorders>
            <w:shd w:val="clear" w:color="auto" w:fill="F5F5F5"/>
          </w:tcPr>
          <w:p>
            <w:pPr>
              <w:spacing w:after="0" w:line="20" w:lineRule="exact"/>
              <w:rPr>
                <w:sz w:val="1"/>
                <w:szCs w:val="1"/>
                <w:color w:val="auto"/>
              </w:rPr>
            </w:pPr>
          </w:p>
        </w:tc>
        <w:tc>
          <w:tcPr>
            <w:tcW w:w="340" w:type="dxa"/>
            <w:vAlign w:val="bottom"/>
            <w:tcBorders>
              <w:top w:val="single" w:sz="8" w:color="F5F5F5"/>
            </w:tcBorders>
            <w:shd w:val="clear" w:color="auto" w:fill="F5F5F5"/>
          </w:tcPr>
          <w:p>
            <w:pPr>
              <w:spacing w:after="0" w:line="20" w:lineRule="exact"/>
              <w:rPr>
                <w:sz w:val="1"/>
                <w:szCs w:val="1"/>
                <w:color w:val="auto"/>
              </w:rPr>
            </w:pPr>
          </w:p>
        </w:tc>
        <w:tc>
          <w:tcPr>
            <w:tcW w:w="1000" w:type="dxa"/>
            <w:vAlign w:val="bottom"/>
            <w:tcBorders>
              <w:top w:val="single" w:sz="8" w:color="F5F5F5"/>
            </w:tcBorders>
            <w:shd w:val="clear" w:color="auto" w:fill="F5F5F5"/>
          </w:tcPr>
          <w:p>
            <w:pPr>
              <w:spacing w:after="0" w:line="20" w:lineRule="exact"/>
              <w:rPr>
                <w:sz w:val="1"/>
                <w:szCs w:val="1"/>
                <w:color w:val="auto"/>
              </w:rPr>
            </w:pPr>
          </w:p>
        </w:tc>
        <w:tc>
          <w:tcPr>
            <w:tcW w:w="100" w:type="dxa"/>
            <w:vAlign w:val="bottom"/>
            <w:tcBorders>
              <w:top w:val="single" w:sz="8" w:color="F5F5F5"/>
            </w:tcBorders>
            <w:shd w:val="clear" w:color="auto" w:fill="F5F5F5"/>
          </w:tcPr>
          <w:p>
            <w:pPr>
              <w:spacing w:after="0" w:line="20" w:lineRule="exact"/>
              <w:rPr>
                <w:sz w:val="1"/>
                <w:szCs w:val="1"/>
                <w:color w:val="auto"/>
              </w:rPr>
            </w:pPr>
          </w:p>
        </w:tc>
        <w:tc>
          <w:tcPr>
            <w:tcW w:w="340" w:type="dxa"/>
            <w:vAlign w:val="bottom"/>
            <w:tcBorders>
              <w:top w:val="single" w:sz="8" w:color="F5F5F5"/>
            </w:tcBorders>
            <w:shd w:val="clear" w:color="auto" w:fill="F5F5F5"/>
          </w:tcPr>
          <w:p>
            <w:pPr>
              <w:spacing w:after="0" w:line="20" w:lineRule="exact"/>
              <w:rPr>
                <w:sz w:val="1"/>
                <w:szCs w:val="1"/>
                <w:color w:val="auto"/>
              </w:rPr>
            </w:pPr>
          </w:p>
        </w:tc>
        <w:tc>
          <w:tcPr>
            <w:tcW w:w="1000" w:type="dxa"/>
            <w:vAlign w:val="bottom"/>
            <w:tcBorders>
              <w:top w:val="single" w:sz="8" w:color="F5F5F5"/>
            </w:tcBorders>
            <w:shd w:val="clear" w:color="auto" w:fill="F5F5F5"/>
          </w:tcPr>
          <w:p>
            <w:pPr>
              <w:spacing w:after="0" w:line="20" w:lineRule="exact"/>
              <w:rPr>
                <w:sz w:val="1"/>
                <w:szCs w:val="1"/>
                <w:color w:val="auto"/>
              </w:rPr>
            </w:pPr>
          </w:p>
        </w:tc>
        <w:tc>
          <w:tcPr>
            <w:tcW w:w="100" w:type="dxa"/>
            <w:vAlign w:val="bottom"/>
            <w:tcBorders>
              <w:top w:val="single" w:sz="8" w:color="F5F5F5"/>
            </w:tcBorders>
            <w:shd w:val="clear" w:color="auto" w:fill="F5F5F5"/>
          </w:tcPr>
          <w:p>
            <w:pPr>
              <w:spacing w:after="0" w:line="20" w:lineRule="exact"/>
              <w:rPr>
                <w:sz w:val="1"/>
                <w:szCs w:val="1"/>
                <w:color w:val="auto"/>
              </w:rPr>
            </w:pPr>
          </w:p>
        </w:tc>
        <w:tc>
          <w:tcPr>
            <w:tcW w:w="340" w:type="dxa"/>
            <w:vAlign w:val="bottom"/>
            <w:tcBorders>
              <w:top w:val="single" w:sz="8" w:color="F5F5F5"/>
            </w:tcBorders>
            <w:shd w:val="clear" w:color="auto" w:fill="F5F5F5"/>
          </w:tcPr>
          <w:p>
            <w:pPr>
              <w:spacing w:after="0" w:line="20" w:lineRule="exact"/>
              <w:rPr>
                <w:sz w:val="1"/>
                <w:szCs w:val="1"/>
                <w:color w:val="auto"/>
              </w:rPr>
            </w:pPr>
          </w:p>
        </w:tc>
        <w:tc>
          <w:tcPr>
            <w:tcW w:w="1000" w:type="dxa"/>
            <w:vAlign w:val="bottom"/>
            <w:tcBorders>
              <w:top w:val="single" w:sz="8" w:color="F5F5F5"/>
            </w:tcBorders>
            <w:shd w:val="clear" w:color="auto" w:fill="F5F5F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7000" w:type="dxa"/>
            <w:vAlign w:val="bottom"/>
            <w:gridSpan w:val="5"/>
          </w:tcPr>
          <w:p>
            <w:pPr>
              <w:ind w:left="120"/>
              <w:spacing w:after="0"/>
              <w:rPr>
                <w:sz w:val="20"/>
                <w:szCs w:val="20"/>
                <w:color w:val="auto"/>
              </w:rPr>
            </w:pPr>
            <w:r>
              <w:rPr>
                <w:rFonts w:ascii="Arial" w:cs="Arial" w:eastAsia="Arial" w:hAnsi="Arial"/>
                <w:sz w:val="14"/>
                <w:szCs w:val="14"/>
                <w:color w:val="auto"/>
              </w:rPr>
              <w:t>Repayment/redemption of senior secured notes</w:t>
            </w: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(223,331)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(77,972)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(7,862)</w:t>
            </w:r>
          </w:p>
        </w:tc>
        <w:tc>
          <w:tcPr>
            <w:tcW w:w="0" w:type="dxa"/>
            <w:vAlign w:val="bottom"/>
          </w:tcPr>
          <w:p>
            <w:pPr>
              <w:spacing w:after="0"/>
              <w:rPr>
                <w:sz w:val="1"/>
                <w:szCs w:val="1"/>
                <w:color w:val="auto"/>
              </w:rPr>
            </w:pPr>
          </w:p>
        </w:tc>
      </w:tr>
      <w:tr>
        <w:trPr>
          <w:trHeight w:val="207"/>
        </w:trPr>
        <w:tc>
          <w:tcPr>
            <w:tcW w:w="20" w:type="dxa"/>
            <w:vAlign w:val="bottom"/>
            <w:shd w:val="clear" w:color="auto" w:fill="F5F5F5"/>
          </w:tcPr>
          <w:p>
            <w:pPr>
              <w:spacing w:after="0"/>
              <w:rPr>
                <w:sz w:val="17"/>
                <w:szCs w:val="17"/>
                <w:color w:val="auto"/>
              </w:rPr>
            </w:pPr>
          </w:p>
        </w:tc>
        <w:tc>
          <w:tcPr>
            <w:tcW w:w="7000" w:type="dxa"/>
            <w:vAlign w:val="bottom"/>
            <w:gridSpan w:val="5"/>
            <w:shd w:val="clear" w:color="auto" w:fill="F5F5F5"/>
          </w:tcPr>
          <w:p>
            <w:pPr>
              <w:ind w:left="120"/>
              <w:spacing w:after="0"/>
              <w:rPr>
                <w:sz w:val="20"/>
                <w:szCs w:val="20"/>
                <w:color w:val="auto"/>
              </w:rPr>
            </w:pPr>
            <w:r>
              <w:rPr>
                <w:rFonts w:ascii="Arial" w:cs="Arial" w:eastAsia="Arial" w:hAnsi="Arial"/>
                <w:sz w:val="14"/>
                <w:szCs w:val="14"/>
                <w:color w:val="auto"/>
              </w:rPr>
              <w:t>Payment of debt modification costs and fees</w:t>
            </w:r>
          </w:p>
        </w:tc>
        <w:tc>
          <w:tcPr>
            <w:tcW w:w="340" w:type="dxa"/>
            <w:vAlign w:val="bottom"/>
            <w:shd w:val="clear" w:color="auto" w:fill="F5F5F5"/>
          </w:tcPr>
          <w:p>
            <w:pPr>
              <w:spacing w:after="0"/>
              <w:rPr>
                <w:sz w:val="17"/>
                <w:szCs w:val="17"/>
                <w:color w:val="auto"/>
              </w:rPr>
            </w:pPr>
          </w:p>
        </w:tc>
        <w:tc>
          <w:tcPr>
            <w:tcW w:w="10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(3,291)</w:t>
            </w:r>
          </w:p>
        </w:tc>
        <w:tc>
          <w:tcPr>
            <w:tcW w:w="100" w:type="dxa"/>
            <w:vAlign w:val="bottom"/>
            <w:shd w:val="clear" w:color="auto" w:fill="F5F5F5"/>
          </w:tcPr>
          <w:p>
            <w:pPr>
              <w:spacing w:after="0"/>
              <w:rPr>
                <w:sz w:val="17"/>
                <w:szCs w:val="17"/>
                <w:color w:val="auto"/>
              </w:rPr>
            </w:pPr>
          </w:p>
        </w:tc>
        <w:tc>
          <w:tcPr>
            <w:tcW w:w="340" w:type="dxa"/>
            <w:vAlign w:val="bottom"/>
            <w:shd w:val="clear" w:color="auto" w:fill="F5F5F5"/>
          </w:tcPr>
          <w:p>
            <w:pPr>
              <w:spacing w:after="0"/>
              <w:rPr>
                <w:sz w:val="17"/>
                <w:szCs w:val="17"/>
                <w:color w:val="auto"/>
              </w:rPr>
            </w:pPr>
          </w:p>
        </w:tc>
        <w:tc>
          <w:tcPr>
            <w:tcW w:w="10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F5F5F5"/>
          </w:tcPr>
          <w:p>
            <w:pPr>
              <w:spacing w:after="0"/>
              <w:rPr>
                <w:sz w:val="17"/>
                <w:szCs w:val="17"/>
                <w:color w:val="auto"/>
              </w:rPr>
            </w:pPr>
          </w:p>
        </w:tc>
        <w:tc>
          <w:tcPr>
            <w:tcW w:w="340" w:type="dxa"/>
            <w:vAlign w:val="bottom"/>
            <w:shd w:val="clear" w:color="auto" w:fill="F5F5F5"/>
          </w:tcPr>
          <w:p>
            <w:pPr>
              <w:spacing w:after="0"/>
              <w:rPr>
                <w:sz w:val="17"/>
                <w:szCs w:val="17"/>
                <w:color w:val="auto"/>
              </w:rPr>
            </w:pPr>
          </w:p>
        </w:tc>
        <w:tc>
          <w:tcPr>
            <w:tcW w:w="10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000" w:type="dxa"/>
            <w:vAlign w:val="bottom"/>
            <w:gridSpan w:val="5"/>
          </w:tcPr>
          <w:p>
            <w:pPr>
              <w:ind w:left="120"/>
              <w:spacing w:after="0"/>
              <w:rPr>
                <w:sz w:val="20"/>
                <w:szCs w:val="20"/>
                <w:color w:val="auto"/>
              </w:rPr>
            </w:pPr>
            <w:r>
              <w:rPr>
                <w:rFonts w:ascii="Arial" w:cs="Arial" w:eastAsia="Arial" w:hAnsi="Arial"/>
                <w:sz w:val="14"/>
                <w:szCs w:val="14"/>
                <w:color w:val="auto"/>
              </w:rPr>
              <w:t>Purchases of common stock</w:t>
            </w: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(229,807)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(125,775)</w:t>
            </w:r>
          </w:p>
        </w:tc>
        <w:tc>
          <w:tcPr>
            <w:tcW w:w="0" w:type="dxa"/>
            <w:vAlign w:val="bottom"/>
          </w:tcPr>
          <w:p>
            <w:pPr>
              <w:spacing w:after="0"/>
              <w:rPr>
                <w:sz w:val="1"/>
                <w:szCs w:val="1"/>
                <w:color w:val="auto"/>
              </w:rPr>
            </w:pPr>
          </w:p>
        </w:tc>
      </w:tr>
      <w:tr>
        <w:trPr>
          <w:trHeight w:val="207"/>
        </w:trPr>
        <w:tc>
          <w:tcPr>
            <w:tcW w:w="20" w:type="dxa"/>
            <w:vAlign w:val="bottom"/>
            <w:shd w:val="clear" w:color="auto" w:fill="F5F5F5"/>
          </w:tcPr>
          <w:p>
            <w:pPr>
              <w:spacing w:after="0"/>
              <w:rPr>
                <w:sz w:val="17"/>
                <w:szCs w:val="17"/>
                <w:color w:val="auto"/>
              </w:rPr>
            </w:pPr>
          </w:p>
        </w:tc>
        <w:tc>
          <w:tcPr>
            <w:tcW w:w="7000" w:type="dxa"/>
            <w:vAlign w:val="bottom"/>
            <w:gridSpan w:val="5"/>
            <w:shd w:val="clear" w:color="auto" w:fill="F5F5F5"/>
          </w:tcPr>
          <w:p>
            <w:pPr>
              <w:ind w:left="80"/>
              <w:spacing w:after="0"/>
              <w:rPr>
                <w:sz w:val="20"/>
                <w:szCs w:val="20"/>
                <w:color w:val="auto"/>
              </w:rPr>
            </w:pPr>
            <w:r>
              <w:rPr>
                <w:rFonts w:ascii="Arial" w:cs="Arial" w:eastAsia="Arial" w:hAnsi="Arial"/>
                <w:sz w:val="14"/>
                <w:szCs w:val="14"/>
                <w:color w:val="auto"/>
              </w:rPr>
              <w:t>Acquisition of Common stock for tax withholding obligations</w:t>
            </w:r>
          </w:p>
        </w:tc>
        <w:tc>
          <w:tcPr>
            <w:tcW w:w="340" w:type="dxa"/>
            <w:vAlign w:val="bottom"/>
            <w:shd w:val="clear" w:color="auto" w:fill="F5F5F5"/>
          </w:tcPr>
          <w:p>
            <w:pPr>
              <w:spacing w:after="0"/>
              <w:rPr>
                <w:sz w:val="17"/>
                <w:szCs w:val="17"/>
                <w:color w:val="auto"/>
              </w:rPr>
            </w:pPr>
          </w:p>
        </w:tc>
        <w:tc>
          <w:tcPr>
            <w:tcW w:w="10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(70,208)</w:t>
            </w:r>
          </w:p>
        </w:tc>
        <w:tc>
          <w:tcPr>
            <w:tcW w:w="100" w:type="dxa"/>
            <w:vAlign w:val="bottom"/>
            <w:shd w:val="clear" w:color="auto" w:fill="F5F5F5"/>
          </w:tcPr>
          <w:p>
            <w:pPr>
              <w:spacing w:after="0"/>
              <w:rPr>
                <w:sz w:val="17"/>
                <w:szCs w:val="17"/>
                <w:color w:val="auto"/>
              </w:rPr>
            </w:pPr>
          </w:p>
        </w:tc>
        <w:tc>
          <w:tcPr>
            <w:tcW w:w="340" w:type="dxa"/>
            <w:vAlign w:val="bottom"/>
            <w:shd w:val="clear" w:color="auto" w:fill="F5F5F5"/>
          </w:tcPr>
          <w:p>
            <w:pPr>
              <w:spacing w:after="0"/>
              <w:rPr>
                <w:sz w:val="17"/>
                <w:szCs w:val="17"/>
                <w:color w:val="auto"/>
              </w:rPr>
            </w:pPr>
          </w:p>
        </w:tc>
        <w:tc>
          <w:tcPr>
            <w:tcW w:w="10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(29,485)</w:t>
            </w:r>
          </w:p>
        </w:tc>
        <w:tc>
          <w:tcPr>
            <w:tcW w:w="100" w:type="dxa"/>
            <w:vAlign w:val="bottom"/>
            <w:shd w:val="clear" w:color="auto" w:fill="F5F5F5"/>
          </w:tcPr>
          <w:p>
            <w:pPr>
              <w:spacing w:after="0"/>
              <w:rPr>
                <w:sz w:val="17"/>
                <w:szCs w:val="17"/>
                <w:color w:val="auto"/>
              </w:rPr>
            </w:pPr>
          </w:p>
        </w:tc>
        <w:tc>
          <w:tcPr>
            <w:tcW w:w="340" w:type="dxa"/>
            <w:vAlign w:val="bottom"/>
            <w:shd w:val="clear" w:color="auto" w:fill="F5F5F5"/>
          </w:tcPr>
          <w:p>
            <w:pPr>
              <w:spacing w:after="0"/>
              <w:rPr>
                <w:sz w:val="17"/>
                <w:szCs w:val="17"/>
                <w:color w:val="auto"/>
              </w:rPr>
            </w:pPr>
          </w:p>
        </w:tc>
        <w:tc>
          <w:tcPr>
            <w:tcW w:w="10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(14,464)</w:t>
            </w:r>
          </w:p>
        </w:tc>
        <w:tc>
          <w:tcPr>
            <w:tcW w:w="0" w:type="dxa"/>
            <w:vAlign w:val="bottom"/>
          </w:tcPr>
          <w:p>
            <w:pPr>
              <w:spacing w:after="0"/>
              <w:rPr>
                <w:sz w:val="1"/>
                <w:szCs w:val="1"/>
                <w:color w:val="auto"/>
              </w:rPr>
            </w:pPr>
          </w:p>
        </w:tc>
      </w:tr>
      <w:tr>
        <w:trPr>
          <w:trHeight w:val="198"/>
        </w:trPr>
        <w:tc>
          <w:tcPr>
            <w:tcW w:w="20" w:type="dxa"/>
            <w:vAlign w:val="bottom"/>
            <w:tcBorders>
              <w:bottom w:val="single" w:sz="8" w:color="F5F5F5"/>
            </w:tcBorders>
          </w:tcPr>
          <w:p>
            <w:pPr>
              <w:spacing w:after="0"/>
              <w:rPr>
                <w:sz w:val="17"/>
                <w:szCs w:val="17"/>
                <w:color w:val="auto"/>
              </w:rPr>
            </w:pPr>
          </w:p>
        </w:tc>
        <w:tc>
          <w:tcPr>
            <w:tcW w:w="7000" w:type="dxa"/>
            <w:vAlign w:val="bottom"/>
            <w:tcBorders>
              <w:bottom w:val="single" w:sz="8" w:color="F5F5F5"/>
            </w:tcBorders>
            <w:gridSpan w:val="5"/>
          </w:tcPr>
          <w:p>
            <w:pPr>
              <w:ind w:left="120"/>
              <w:spacing w:after="0"/>
              <w:rPr>
                <w:sz w:val="20"/>
                <w:szCs w:val="20"/>
                <w:color w:val="auto"/>
              </w:rPr>
            </w:pPr>
            <w:r>
              <w:rPr>
                <w:rFonts w:ascii="Arial" w:cs="Arial" w:eastAsia="Arial" w:hAnsi="Arial"/>
                <w:sz w:val="14"/>
                <w:szCs w:val="14"/>
                <w:color w:val="auto"/>
              </w:rPr>
              <w:t>Other financing activities</w:t>
            </w: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(8,240)</w:t>
            </w:r>
          </w:p>
        </w:tc>
        <w:tc>
          <w:tcPr>
            <w:tcW w:w="100" w:type="dxa"/>
            <w:vAlign w:val="bottom"/>
            <w:tcBorders>
              <w:bottom w:val="single" w:sz="8" w:color="F5F5F5"/>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(3,564)</w:t>
            </w:r>
          </w:p>
        </w:tc>
        <w:tc>
          <w:tcPr>
            <w:tcW w:w="100" w:type="dxa"/>
            <w:vAlign w:val="bottom"/>
            <w:tcBorders>
              <w:bottom w:val="single" w:sz="8" w:color="F5F5F5"/>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(7,047)</w:t>
            </w:r>
          </w:p>
        </w:tc>
        <w:tc>
          <w:tcPr>
            <w:tcW w:w="0" w:type="dxa"/>
            <w:vAlign w:val="bottom"/>
          </w:tcPr>
          <w:p>
            <w:pPr>
              <w:spacing w:after="0"/>
              <w:rPr>
                <w:sz w:val="1"/>
                <w:szCs w:val="1"/>
                <w:color w:val="auto"/>
              </w:rPr>
            </w:pPr>
          </w:p>
        </w:tc>
      </w:tr>
      <w:tr>
        <w:trPr>
          <w:trHeight w:val="200"/>
        </w:trPr>
        <w:tc>
          <w:tcPr>
            <w:tcW w:w="20" w:type="dxa"/>
            <w:vAlign w:val="bottom"/>
            <w:shd w:val="clear" w:color="auto" w:fill="F5F5F5"/>
          </w:tcPr>
          <w:p>
            <w:pPr>
              <w:spacing w:after="0"/>
              <w:rPr>
                <w:sz w:val="17"/>
                <w:szCs w:val="17"/>
                <w:color w:val="auto"/>
              </w:rPr>
            </w:pPr>
          </w:p>
        </w:tc>
        <w:tc>
          <w:tcPr>
            <w:tcW w:w="7000" w:type="dxa"/>
            <w:vAlign w:val="bottom"/>
            <w:gridSpan w:val="5"/>
            <w:shd w:val="clear" w:color="auto" w:fill="F5F5F5"/>
          </w:tcPr>
          <w:p>
            <w:pPr>
              <w:spacing w:after="0"/>
              <w:rPr>
                <w:sz w:val="20"/>
                <w:szCs w:val="20"/>
                <w:color w:val="auto"/>
              </w:rPr>
            </w:pPr>
            <w:r>
              <w:rPr>
                <w:rFonts w:ascii="Arial" w:cs="Arial" w:eastAsia="Arial" w:hAnsi="Arial"/>
                <w:sz w:val="14"/>
                <w:szCs w:val="14"/>
                <w:color w:val="auto"/>
              </w:rPr>
              <w:t>Net cash used for financing activities</w:t>
            </w:r>
          </w:p>
        </w:tc>
        <w:tc>
          <w:tcPr>
            <w:tcW w:w="340" w:type="dxa"/>
            <w:vAlign w:val="bottom"/>
            <w:tcBorders>
              <w:bottom w:val="single" w:sz="8" w:color="auto"/>
            </w:tcBorders>
            <w:shd w:val="clear" w:color="auto" w:fill="F5F5F5"/>
          </w:tcPr>
          <w:p>
            <w:pPr>
              <w:spacing w:after="0"/>
              <w:rPr>
                <w:sz w:val="17"/>
                <w:szCs w:val="17"/>
                <w:color w:val="auto"/>
              </w:rPr>
            </w:pPr>
          </w:p>
        </w:tc>
        <w:tc>
          <w:tcPr>
            <w:tcW w:w="100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(534,877)</w:t>
            </w:r>
          </w:p>
        </w:tc>
        <w:tc>
          <w:tcPr>
            <w:tcW w:w="100" w:type="dxa"/>
            <w:vAlign w:val="bottom"/>
            <w:shd w:val="clear" w:color="auto" w:fill="F5F5F5"/>
          </w:tcPr>
          <w:p>
            <w:pPr>
              <w:spacing w:after="0"/>
              <w:rPr>
                <w:sz w:val="17"/>
                <w:szCs w:val="17"/>
                <w:color w:val="auto"/>
              </w:rPr>
            </w:pPr>
          </w:p>
        </w:tc>
        <w:tc>
          <w:tcPr>
            <w:tcW w:w="340" w:type="dxa"/>
            <w:vAlign w:val="bottom"/>
            <w:tcBorders>
              <w:bottom w:val="single" w:sz="8" w:color="auto"/>
            </w:tcBorders>
            <w:shd w:val="clear" w:color="auto" w:fill="F5F5F5"/>
          </w:tcPr>
          <w:p>
            <w:pPr>
              <w:spacing w:after="0"/>
              <w:rPr>
                <w:sz w:val="17"/>
                <w:szCs w:val="17"/>
                <w:color w:val="auto"/>
              </w:rPr>
            </w:pPr>
          </w:p>
        </w:tc>
        <w:tc>
          <w:tcPr>
            <w:tcW w:w="100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(111,201)</w:t>
            </w:r>
          </w:p>
        </w:tc>
        <w:tc>
          <w:tcPr>
            <w:tcW w:w="100" w:type="dxa"/>
            <w:vAlign w:val="bottom"/>
            <w:shd w:val="clear" w:color="auto" w:fill="F5F5F5"/>
          </w:tcPr>
          <w:p>
            <w:pPr>
              <w:spacing w:after="0"/>
              <w:rPr>
                <w:sz w:val="17"/>
                <w:szCs w:val="17"/>
                <w:color w:val="auto"/>
              </w:rPr>
            </w:pPr>
          </w:p>
        </w:tc>
        <w:tc>
          <w:tcPr>
            <w:tcW w:w="340" w:type="dxa"/>
            <w:vAlign w:val="bottom"/>
            <w:tcBorders>
              <w:bottom w:val="single" w:sz="8" w:color="auto"/>
            </w:tcBorders>
            <w:shd w:val="clear" w:color="auto" w:fill="F5F5F5"/>
          </w:tcPr>
          <w:p>
            <w:pPr>
              <w:spacing w:after="0"/>
              <w:rPr>
                <w:sz w:val="17"/>
                <w:szCs w:val="17"/>
                <w:color w:val="auto"/>
              </w:rPr>
            </w:pPr>
          </w:p>
        </w:tc>
        <w:tc>
          <w:tcPr>
            <w:tcW w:w="100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(155,329)</w:t>
            </w:r>
          </w:p>
        </w:tc>
        <w:tc>
          <w:tcPr>
            <w:tcW w:w="0" w:type="dxa"/>
            <w:vAlign w:val="bottom"/>
          </w:tcPr>
          <w:p>
            <w:pPr>
              <w:spacing w:after="0"/>
              <w:rPr>
                <w:sz w:val="1"/>
                <w:szCs w:val="1"/>
                <w:color w:val="auto"/>
              </w:rPr>
            </w:pPr>
          </w:p>
        </w:tc>
      </w:tr>
      <w:tr>
        <w:trPr>
          <w:trHeight w:val="192"/>
        </w:trPr>
        <w:tc>
          <w:tcPr>
            <w:tcW w:w="20" w:type="dxa"/>
            <w:vAlign w:val="bottom"/>
            <w:tcBorders>
              <w:bottom w:val="single" w:sz="8" w:color="F5F5F5"/>
            </w:tcBorders>
          </w:tcPr>
          <w:p>
            <w:pPr>
              <w:spacing w:after="0"/>
              <w:rPr>
                <w:sz w:val="16"/>
                <w:szCs w:val="16"/>
                <w:color w:val="auto"/>
              </w:rPr>
            </w:pPr>
          </w:p>
        </w:tc>
        <w:tc>
          <w:tcPr>
            <w:tcW w:w="7000" w:type="dxa"/>
            <w:vAlign w:val="bottom"/>
            <w:tcBorders>
              <w:bottom w:val="single" w:sz="8" w:color="F5F5F5"/>
            </w:tcBorders>
            <w:gridSpan w:val="5"/>
          </w:tcPr>
          <w:p>
            <w:pPr>
              <w:spacing w:after="0"/>
              <w:rPr>
                <w:sz w:val="20"/>
                <w:szCs w:val="20"/>
                <w:color w:val="auto"/>
              </w:rPr>
            </w:pPr>
            <w:r>
              <w:rPr>
                <w:rFonts w:ascii="Arial" w:cs="Arial" w:eastAsia="Arial" w:hAnsi="Arial"/>
                <w:sz w:val="14"/>
                <w:szCs w:val="14"/>
                <w:color w:val="auto"/>
              </w:rPr>
              <w:t>Effect of foreign currency exchange rates on cash</w:t>
            </w: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(7,086)</w:t>
            </w:r>
          </w:p>
        </w:tc>
        <w:tc>
          <w:tcPr>
            <w:tcW w:w="100" w:type="dxa"/>
            <w:vAlign w:val="bottom"/>
            <w:tcBorders>
              <w:bottom w:val="single" w:sz="8" w:color="F5F5F5"/>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(2,923)</w:t>
            </w:r>
          </w:p>
        </w:tc>
        <w:tc>
          <w:tcPr>
            <w:tcW w:w="100" w:type="dxa"/>
            <w:vAlign w:val="bottom"/>
            <w:tcBorders>
              <w:bottom w:val="single" w:sz="8" w:color="F5F5F5"/>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(8,452)</w:t>
            </w:r>
          </w:p>
        </w:tc>
        <w:tc>
          <w:tcPr>
            <w:tcW w:w="0" w:type="dxa"/>
            <w:vAlign w:val="bottom"/>
          </w:tcPr>
          <w:p>
            <w:pPr>
              <w:spacing w:after="0"/>
              <w:rPr>
                <w:sz w:val="1"/>
                <w:szCs w:val="1"/>
                <w:color w:val="auto"/>
              </w:rPr>
            </w:pPr>
          </w:p>
        </w:tc>
      </w:tr>
      <w:tr>
        <w:trPr>
          <w:trHeight w:val="200"/>
        </w:trPr>
        <w:tc>
          <w:tcPr>
            <w:tcW w:w="20" w:type="dxa"/>
            <w:vAlign w:val="bottom"/>
            <w:shd w:val="clear" w:color="auto" w:fill="F5F5F5"/>
          </w:tcPr>
          <w:p>
            <w:pPr>
              <w:spacing w:after="0"/>
              <w:rPr>
                <w:sz w:val="17"/>
                <w:szCs w:val="17"/>
                <w:color w:val="auto"/>
              </w:rPr>
            </w:pPr>
          </w:p>
        </w:tc>
        <w:tc>
          <w:tcPr>
            <w:tcW w:w="7000" w:type="dxa"/>
            <w:vAlign w:val="bottom"/>
            <w:gridSpan w:val="5"/>
            <w:shd w:val="clear" w:color="auto" w:fill="F5F5F5"/>
          </w:tcPr>
          <w:p>
            <w:pPr>
              <w:spacing w:after="0"/>
              <w:rPr>
                <w:sz w:val="20"/>
                <w:szCs w:val="20"/>
                <w:color w:val="auto"/>
              </w:rPr>
            </w:pPr>
            <w:r>
              <w:rPr>
                <w:rFonts w:ascii="Arial" w:cs="Arial" w:eastAsia="Arial" w:hAnsi="Arial"/>
                <w:sz w:val="14"/>
                <w:szCs w:val="14"/>
                <w:color w:val="auto"/>
              </w:rPr>
              <w:t>Net (decrease) increase in cash and equivalents, and restricted cash and equivalents</w:t>
            </w:r>
          </w:p>
        </w:tc>
        <w:tc>
          <w:tcPr>
            <w:tcW w:w="340" w:type="dxa"/>
            <w:vAlign w:val="bottom"/>
            <w:shd w:val="clear" w:color="auto" w:fill="F5F5F5"/>
          </w:tcPr>
          <w:p>
            <w:pPr>
              <w:spacing w:after="0"/>
              <w:rPr>
                <w:sz w:val="17"/>
                <w:szCs w:val="17"/>
                <w:color w:val="auto"/>
              </w:rPr>
            </w:pPr>
          </w:p>
        </w:tc>
        <w:tc>
          <w:tcPr>
            <w:tcW w:w="10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(129,290)</w:t>
            </w:r>
          </w:p>
        </w:tc>
        <w:tc>
          <w:tcPr>
            <w:tcW w:w="100" w:type="dxa"/>
            <w:vAlign w:val="bottom"/>
            <w:shd w:val="clear" w:color="auto" w:fill="F5F5F5"/>
          </w:tcPr>
          <w:p>
            <w:pPr>
              <w:spacing w:after="0"/>
              <w:rPr>
                <w:sz w:val="17"/>
                <w:szCs w:val="17"/>
                <w:color w:val="auto"/>
              </w:rPr>
            </w:pPr>
          </w:p>
        </w:tc>
        <w:tc>
          <w:tcPr>
            <w:tcW w:w="340" w:type="dxa"/>
            <w:vAlign w:val="bottom"/>
            <w:shd w:val="clear" w:color="auto" w:fill="F5F5F5"/>
          </w:tcPr>
          <w:p>
            <w:pPr>
              <w:spacing w:after="0"/>
              <w:rPr>
                <w:sz w:val="17"/>
                <w:szCs w:val="17"/>
                <w:color w:val="auto"/>
              </w:rPr>
            </w:pPr>
          </w:p>
        </w:tc>
        <w:tc>
          <w:tcPr>
            <w:tcW w:w="100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382,116</w:t>
            </w:r>
          </w:p>
        </w:tc>
        <w:tc>
          <w:tcPr>
            <w:tcW w:w="100" w:type="dxa"/>
            <w:vAlign w:val="bottom"/>
            <w:shd w:val="clear" w:color="auto" w:fill="F5F5F5"/>
          </w:tcPr>
          <w:p>
            <w:pPr>
              <w:spacing w:after="0"/>
              <w:rPr>
                <w:sz w:val="17"/>
                <w:szCs w:val="17"/>
                <w:color w:val="auto"/>
              </w:rPr>
            </w:pPr>
          </w:p>
        </w:tc>
        <w:tc>
          <w:tcPr>
            <w:tcW w:w="340" w:type="dxa"/>
            <w:vAlign w:val="bottom"/>
            <w:shd w:val="clear" w:color="auto" w:fill="F5F5F5"/>
          </w:tcPr>
          <w:p>
            <w:pPr>
              <w:spacing w:after="0"/>
              <w:rPr>
                <w:sz w:val="17"/>
                <w:szCs w:val="17"/>
                <w:color w:val="auto"/>
              </w:rPr>
            </w:pPr>
          </w:p>
        </w:tc>
        <w:tc>
          <w:tcPr>
            <w:tcW w:w="10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(306,799)</w:t>
            </w:r>
          </w:p>
        </w:tc>
        <w:tc>
          <w:tcPr>
            <w:tcW w:w="0" w:type="dxa"/>
            <w:vAlign w:val="bottom"/>
          </w:tcPr>
          <w:p>
            <w:pPr>
              <w:spacing w:after="0"/>
              <w:rPr>
                <w:sz w:val="1"/>
                <w:szCs w:val="1"/>
                <w:color w:val="auto"/>
              </w:rPr>
            </w:pPr>
          </w:p>
        </w:tc>
      </w:tr>
      <w:tr>
        <w:trPr>
          <w:trHeight w:val="199"/>
        </w:trPr>
        <w:tc>
          <w:tcPr>
            <w:tcW w:w="20" w:type="dxa"/>
            <w:vAlign w:val="bottom"/>
            <w:tcBorders>
              <w:bottom w:val="single" w:sz="8" w:color="F5F5F5"/>
            </w:tcBorders>
          </w:tcPr>
          <w:p>
            <w:pPr>
              <w:spacing w:after="0"/>
              <w:rPr>
                <w:sz w:val="17"/>
                <w:szCs w:val="17"/>
                <w:color w:val="auto"/>
              </w:rPr>
            </w:pPr>
          </w:p>
        </w:tc>
        <w:tc>
          <w:tcPr>
            <w:tcW w:w="7000" w:type="dxa"/>
            <w:vAlign w:val="bottom"/>
            <w:tcBorders>
              <w:bottom w:val="single" w:sz="8" w:color="F5F5F5"/>
            </w:tcBorders>
            <w:gridSpan w:val="5"/>
          </w:tcPr>
          <w:p>
            <w:pPr>
              <w:spacing w:after="0"/>
              <w:rPr>
                <w:sz w:val="20"/>
                <w:szCs w:val="20"/>
                <w:color w:val="auto"/>
              </w:rPr>
            </w:pPr>
            <w:r>
              <w:rPr>
                <w:rFonts w:ascii="Arial" w:cs="Arial" w:eastAsia="Arial" w:hAnsi="Arial"/>
                <w:sz w:val="14"/>
                <w:szCs w:val="14"/>
                <w:color w:val="auto"/>
              </w:rPr>
              <w:t>Cash and equivalents, and restricted cash and equivalents, beginning of period</w:t>
            </w: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909,685</w:t>
            </w:r>
          </w:p>
        </w:tc>
        <w:tc>
          <w:tcPr>
            <w:tcW w:w="100" w:type="dxa"/>
            <w:vAlign w:val="bottom"/>
            <w:tcBorders>
              <w:bottom w:val="single" w:sz="8" w:color="F5F5F5"/>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527,569</w:t>
            </w:r>
          </w:p>
        </w:tc>
        <w:tc>
          <w:tcPr>
            <w:tcW w:w="100" w:type="dxa"/>
            <w:vAlign w:val="bottom"/>
            <w:tcBorders>
              <w:bottom w:val="single" w:sz="8" w:color="F5F5F5"/>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834,368</w:t>
            </w:r>
          </w:p>
        </w:tc>
        <w:tc>
          <w:tcPr>
            <w:tcW w:w="0" w:type="dxa"/>
            <w:vAlign w:val="bottom"/>
          </w:tcPr>
          <w:p>
            <w:pPr>
              <w:spacing w:after="0"/>
              <w:rPr>
                <w:sz w:val="1"/>
                <w:szCs w:val="1"/>
                <w:color w:val="auto"/>
              </w:rPr>
            </w:pPr>
          </w:p>
        </w:tc>
      </w:tr>
      <w:tr>
        <w:trPr>
          <w:trHeight w:val="221"/>
        </w:trPr>
        <w:tc>
          <w:tcPr>
            <w:tcW w:w="20" w:type="dxa"/>
            <w:vAlign w:val="bottom"/>
            <w:tcBorders>
              <w:bottom w:val="single" w:sz="8" w:color="F5F5F5"/>
            </w:tcBorders>
            <w:shd w:val="clear" w:color="auto" w:fill="F5F5F5"/>
          </w:tcPr>
          <w:p>
            <w:pPr>
              <w:spacing w:after="0"/>
              <w:rPr>
                <w:sz w:val="18"/>
                <w:szCs w:val="18"/>
                <w:color w:val="auto"/>
              </w:rPr>
            </w:pPr>
          </w:p>
        </w:tc>
        <w:tc>
          <w:tcPr>
            <w:tcW w:w="7000" w:type="dxa"/>
            <w:vAlign w:val="bottom"/>
            <w:tcBorders>
              <w:bottom w:val="single" w:sz="8" w:color="F5F5F5"/>
            </w:tcBorders>
            <w:gridSpan w:val="5"/>
            <w:shd w:val="clear" w:color="auto" w:fill="F5F5F5"/>
          </w:tcPr>
          <w:p>
            <w:pPr>
              <w:spacing w:after="0"/>
              <w:rPr>
                <w:sz w:val="20"/>
                <w:szCs w:val="20"/>
                <w:color w:val="auto"/>
              </w:rPr>
            </w:pPr>
            <w:r>
              <w:rPr>
                <w:rFonts w:ascii="Arial" w:cs="Arial" w:eastAsia="Arial" w:hAnsi="Arial"/>
                <w:sz w:val="14"/>
                <w:szCs w:val="14"/>
                <w:color w:val="auto"/>
              </w:rPr>
              <w:t>Cash and equivalents, and restricted cash and equivalents, end of period</w:t>
            </w:r>
          </w:p>
        </w:tc>
        <w:tc>
          <w:tcPr>
            <w:tcW w:w="340" w:type="dxa"/>
            <w:vAlign w:val="bottom"/>
            <w:tcBorders>
              <w:bottom w:val="single" w:sz="8" w:color="auto"/>
            </w:tcBorders>
            <w:shd w:val="clear" w:color="auto" w:fill="F5F5F5"/>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780,395</w:t>
            </w:r>
          </w:p>
        </w:tc>
        <w:tc>
          <w:tcPr>
            <w:tcW w:w="100" w:type="dxa"/>
            <w:vAlign w:val="bottom"/>
            <w:tcBorders>
              <w:bottom w:val="single" w:sz="8" w:color="F5F5F5"/>
            </w:tcBorders>
            <w:shd w:val="clear" w:color="auto" w:fill="F5F5F5"/>
          </w:tcPr>
          <w:p>
            <w:pPr>
              <w:spacing w:after="0"/>
              <w:rPr>
                <w:sz w:val="18"/>
                <w:szCs w:val="18"/>
                <w:color w:val="auto"/>
              </w:rPr>
            </w:pPr>
          </w:p>
        </w:tc>
        <w:tc>
          <w:tcPr>
            <w:tcW w:w="340" w:type="dxa"/>
            <w:vAlign w:val="bottom"/>
            <w:tcBorders>
              <w:bottom w:val="single" w:sz="8" w:color="auto"/>
            </w:tcBorders>
            <w:shd w:val="clear" w:color="auto" w:fill="F5F5F5"/>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909,685</w:t>
            </w:r>
          </w:p>
        </w:tc>
        <w:tc>
          <w:tcPr>
            <w:tcW w:w="100" w:type="dxa"/>
            <w:vAlign w:val="bottom"/>
            <w:tcBorders>
              <w:bottom w:val="single" w:sz="8" w:color="F5F5F5"/>
            </w:tcBorders>
            <w:shd w:val="clear" w:color="auto" w:fill="F5F5F5"/>
          </w:tcPr>
          <w:p>
            <w:pPr>
              <w:spacing w:after="0"/>
              <w:rPr>
                <w:sz w:val="18"/>
                <w:szCs w:val="18"/>
                <w:color w:val="auto"/>
              </w:rPr>
            </w:pPr>
          </w:p>
        </w:tc>
        <w:tc>
          <w:tcPr>
            <w:tcW w:w="340" w:type="dxa"/>
            <w:vAlign w:val="bottom"/>
            <w:tcBorders>
              <w:bottom w:val="single" w:sz="8" w:color="auto"/>
            </w:tcBorders>
            <w:shd w:val="clear" w:color="auto" w:fill="F5F5F5"/>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527,569</w:t>
            </w:r>
          </w:p>
        </w:tc>
        <w:tc>
          <w:tcPr>
            <w:tcW w:w="0" w:type="dxa"/>
            <w:vAlign w:val="bottom"/>
          </w:tcPr>
          <w:p>
            <w:pPr>
              <w:spacing w:after="0"/>
              <w:rPr>
                <w:sz w:val="1"/>
                <w:szCs w:val="1"/>
                <w:color w:val="auto"/>
              </w:rPr>
            </w:pPr>
          </w:p>
        </w:tc>
      </w:tr>
      <w:tr>
        <w:trPr>
          <w:trHeight w:val="20"/>
        </w:trPr>
        <w:tc>
          <w:tcPr>
            <w:tcW w:w="20" w:type="dxa"/>
            <w:vAlign w:val="bottom"/>
            <w:tcBorders>
              <w:top w:val="single" w:sz="8" w:color="F5F5F5"/>
              <w:bottom w:val="single" w:sz="8" w:color="F5F5F5"/>
            </w:tcBorders>
            <w:vMerge w:val="restart"/>
          </w:tcPr>
          <w:p>
            <w:pPr>
              <w:spacing w:after="0" w:line="20" w:lineRule="exact"/>
              <w:rPr>
                <w:sz w:val="1"/>
                <w:szCs w:val="1"/>
                <w:color w:val="auto"/>
              </w:rPr>
            </w:pPr>
          </w:p>
        </w:tc>
        <w:tc>
          <w:tcPr>
            <w:tcW w:w="7000" w:type="dxa"/>
            <w:vAlign w:val="bottom"/>
            <w:tcBorders>
              <w:top w:val="single" w:sz="8" w:color="F5F5F5"/>
              <w:bottom w:val="single" w:sz="8" w:color="F5F5F5"/>
            </w:tcBorders>
            <w:gridSpan w:val="5"/>
            <w:vMerge w:val="restart"/>
          </w:tcPr>
          <w:p>
            <w:pPr>
              <w:spacing w:after="0" w:line="153" w:lineRule="exact"/>
              <w:rPr>
                <w:sz w:val="20"/>
                <w:szCs w:val="20"/>
                <w:color w:val="auto"/>
              </w:rPr>
            </w:pPr>
            <w:r>
              <w:rPr>
                <w:rFonts w:ascii="Arial" w:cs="Arial" w:eastAsia="Arial" w:hAnsi="Arial"/>
                <w:sz w:val="14"/>
                <w:szCs w:val="14"/>
                <w:color w:val="auto"/>
              </w:rPr>
              <w:t>Supplemental information related to non-cash activities</w:t>
            </w:r>
          </w:p>
        </w:tc>
        <w:tc>
          <w:tcPr>
            <w:tcW w:w="340" w:type="dxa"/>
            <w:vAlign w:val="bottom"/>
            <w:tcBorders>
              <w:top w:val="single" w:sz="8" w:color="F5F5F5"/>
              <w:bottom w:val="single" w:sz="8" w:color="auto"/>
            </w:tcBorders>
          </w:tcPr>
          <w:p>
            <w:pPr>
              <w:spacing w:after="0" w:line="20" w:lineRule="exact"/>
              <w:rPr>
                <w:sz w:val="1"/>
                <w:szCs w:val="1"/>
                <w:color w:val="auto"/>
              </w:rPr>
            </w:pPr>
          </w:p>
        </w:tc>
        <w:tc>
          <w:tcPr>
            <w:tcW w:w="1000" w:type="dxa"/>
            <w:vAlign w:val="bottom"/>
            <w:tcBorders>
              <w:top w:val="single" w:sz="8" w:color="F5F5F5"/>
              <w:bottom w:val="single" w:sz="8" w:color="auto"/>
            </w:tcBorders>
          </w:tcPr>
          <w:p>
            <w:pPr>
              <w:spacing w:after="0" w:line="20" w:lineRule="exact"/>
              <w:rPr>
                <w:sz w:val="1"/>
                <w:szCs w:val="1"/>
                <w:color w:val="auto"/>
              </w:rPr>
            </w:pPr>
          </w:p>
        </w:tc>
        <w:tc>
          <w:tcPr>
            <w:tcW w:w="100" w:type="dxa"/>
            <w:vAlign w:val="bottom"/>
            <w:tcBorders>
              <w:top w:val="single" w:sz="8" w:color="F5F5F5"/>
            </w:tcBorders>
          </w:tcPr>
          <w:p>
            <w:pPr>
              <w:spacing w:after="0" w:line="20" w:lineRule="exact"/>
              <w:rPr>
                <w:sz w:val="1"/>
                <w:szCs w:val="1"/>
                <w:color w:val="auto"/>
              </w:rPr>
            </w:pPr>
          </w:p>
        </w:tc>
        <w:tc>
          <w:tcPr>
            <w:tcW w:w="340" w:type="dxa"/>
            <w:vAlign w:val="bottom"/>
            <w:tcBorders>
              <w:top w:val="single" w:sz="8" w:color="F5F5F5"/>
              <w:bottom w:val="single" w:sz="8" w:color="auto"/>
            </w:tcBorders>
          </w:tcPr>
          <w:p>
            <w:pPr>
              <w:spacing w:after="0" w:line="20" w:lineRule="exact"/>
              <w:rPr>
                <w:sz w:val="1"/>
                <w:szCs w:val="1"/>
                <w:color w:val="auto"/>
              </w:rPr>
            </w:pPr>
          </w:p>
        </w:tc>
        <w:tc>
          <w:tcPr>
            <w:tcW w:w="1000" w:type="dxa"/>
            <w:vAlign w:val="bottom"/>
            <w:tcBorders>
              <w:top w:val="single" w:sz="8" w:color="F5F5F5"/>
              <w:bottom w:val="single" w:sz="8" w:color="auto"/>
            </w:tcBorders>
          </w:tcPr>
          <w:p>
            <w:pPr>
              <w:spacing w:after="0" w:line="20" w:lineRule="exact"/>
              <w:rPr>
                <w:sz w:val="1"/>
                <w:szCs w:val="1"/>
                <w:color w:val="auto"/>
              </w:rPr>
            </w:pPr>
          </w:p>
        </w:tc>
        <w:tc>
          <w:tcPr>
            <w:tcW w:w="100" w:type="dxa"/>
            <w:vAlign w:val="bottom"/>
            <w:tcBorders>
              <w:top w:val="single" w:sz="8" w:color="F5F5F5"/>
            </w:tcBorders>
          </w:tcPr>
          <w:p>
            <w:pPr>
              <w:spacing w:after="0" w:line="20" w:lineRule="exact"/>
              <w:rPr>
                <w:sz w:val="1"/>
                <w:szCs w:val="1"/>
                <w:color w:val="auto"/>
              </w:rPr>
            </w:pPr>
          </w:p>
        </w:tc>
        <w:tc>
          <w:tcPr>
            <w:tcW w:w="340" w:type="dxa"/>
            <w:vAlign w:val="bottom"/>
            <w:tcBorders>
              <w:top w:val="single" w:sz="8" w:color="F5F5F5"/>
              <w:bottom w:val="single" w:sz="8" w:color="auto"/>
            </w:tcBorders>
          </w:tcPr>
          <w:p>
            <w:pPr>
              <w:spacing w:after="0" w:line="20" w:lineRule="exact"/>
              <w:rPr>
                <w:sz w:val="1"/>
                <w:szCs w:val="1"/>
                <w:color w:val="auto"/>
              </w:rPr>
            </w:pPr>
          </w:p>
        </w:tc>
        <w:tc>
          <w:tcPr>
            <w:tcW w:w="1000" w:type="dxa"/>
            <w:vAlign w:val="bottom"/>
            <w:tcBorders>
              <w:top w:val="single" w:sz="8" w:color="F5F5F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0" w:type="dxa"/>
            <w:vAlign w:val="bottom"/>
            <w:vMerge w:val="continue"/>
          </w:tcPr>
          <w:p>
            <w:pPr>
              <w:spacing w:after="0"/>
              <w:rPr>
                <w:sz w:val="9"/>
                <w:szCs w:val="9"/>
                <w:color w:val="auto"/>
              </w:rPr>
            </w:pPr>
          </w:p>
        </w:tc>
        <w:tc>
          <w:tcPr>
            <w:tcW w:w="7000" w:type="dxa"/>
            <w:vAlign w:val="bottom"/>
            <w:gridSpan w:val="5"/>
            <w:vMerge w:val="continue"/>
          </w:tcPr>
          <w:p>
            <w:pPr>
              <w:spacing w:after="0"/>
              <w:rPr>
                <w:sz w:val="9"/>
                <w:szCs w:val="9"/>
                <w:color w:val="auto"/>
              </w:rPr>
            </w:pPr>
          </w:p>
        </w:tc>
        <w:tc>
          <w:tcPr>
            <w:tcW w:w="3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0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F5F5F5"/>
          </w:tcPr>
          <w:p>
            <w:pPr>
              <w:spacing w:after="0"/>
              <w:rPr>
                <w:sz w:val="17"/>
                <w:szCs w:val="17"/>
                <w:color w:val="auto"/>
              </w:rPr>
            </w:pPr>
          </w:p>
        </w:tc>
        <w:tc>
          <w:tcPr>
            <w:tcW w:w="7000" w:type="dxa"/>
            <w:vAlign w:val="bottom"/>
            <w:gridSpan w:val="5"/>
            <w:shd w:val="clear" w:color="auto" w:fill="F5F5F5"/>
          </w:tcPr>
          <w:p>
            <w:pPr>
              <w:spacing w:after="0"/>
              <w:rPr>
                <w:sz w:val="20"/>
                <w:szCs w:val="20"/>
                <w:color w:val="auto"/>
              </w:rPr>
            </w:pPr>
            <w:r>
              <w:rPr>
                <w:rFonts w:ascii="Arial" w:cs="Arial" w:eastAsia="Arial" w:hAnsi="Arial"/>
                <w:sz w:val="14"/>
                <w:szCs w:val="14"/>
                <w:color w:val="auto"/>
              </w:rPr>
              <w:t>Purchases of property and equipment accrued in accounts payable</w:t>
            </w:r>
          </w:p>
        </w:tc>
        <w:tc>
          <w:tcPr>
            <w:tcW w:w="340" w:type="dxa"/>
            <w:vAlign w:val="bottom"/>
            <w:shd w:val="clear" w:color="auto" w:fill="F5F5F5"/>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48,856</w:t>
            </w:r>
          </w:p>
        </w:tc>
        <w:tc>
          <w:tcPr>
            <w:tcW w:w="100" w:type="dxa"/>
            <w:vAlign w:val="bottom"/>
            <w:shd w:val="clear" w:color="auto" w:fill="F5F5F5"/>
          </w:tcPr>
          <w:p>
            <w:pPr>
              <w:spacing w:after="0"/>
              <w:rPr>
                <w:sz w:val="17"/>
                <w:szCs w:val="17"/>
                <w:color w:val="auto"/>
              </w:rPr>
            </w:pPr>
          </w:p>
        </w:tc>
        <w:tc>
          <w:tcPr>
            <w:tcW w:w="340" w:type="dxa"/>
            <w:vAlign w:val="bottom"/>
            <w:shd w:val="clear" w:color="auto" w:fill="F5F5F5"/>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35,568</w:t>
            </w:r>
          </w:p>
        </w:tc>
        <w:tc>
          <w:tcPr>
            <w:tcW w:w="100" w:type="dxa"/>
            <w:vAlign w:val="bottom"/>
            <w:shd w:val="clear" w:color="auto" w:fill="F5F5F5"/>
          </w:tcPr>
          <w:p>
            <w:pPr>
              <w:spacing w:after="0"/>
              <w:rPr>
                <w:sz w:val="17"/>
                <w:szCs w:val="17"/>
                <w:color w:val="auto"/>
              </w:rPr>
            </w:pPr>
          </w:p>
        </w:tc>
        <w:tc>
          <w:tcPr>
            <w:tcW w:w="340" w:type="dxa"/>
            <w:vAlign w:val="bottom"/>
            <w:shd w:val="clear" w:color="auto" w:fill="F5F5F5"/>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57,313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000" w:type="dxa"/>
            <w:vAlign w:val="bottom"/>
            <w:gridSpan w:val="5"/>
          </w:tcPr>
          <w:p>
            <w:pPr>
              <w:spacing w:after="0"/>
              <w:rPr>
                <w:sz w:val="20"/>
                <w:szCs w:val="20"/>
                <w:color w:val="auto"/>
              </w:rPr>
            </w:pPr>
            <w:r>
              <w:rPr>
                <w:rFonts w:ascii="Arial" w:cs="Arial" w:eastAsia="Arial" w:hAnsi="Arial"/>
                <w:sz w:val="14"/>
                <w:szCs w:val="14"/>
                <w:color w:val="auto"/>
              </w:rPr>
              <w:t>Excise tax liability accrued on share repurchases</w:t>
            </w:r>
          </w:p>
        </w:tc>
        <w:tc>
          <w:tcPr>
            <w:tcW w:w="34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1,224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20" w:type="dxa"/>
            <w:vAlign w:val="bottom"/>
            <w:shd w:val="clear" w:color="auto" w:fill="F5F5F5"/>
          </w:tcPr>
          <w:p>
            <w:pPr>
              <w:spacing w:after="0"/>
              <w:rPr>
                <w:sz w:val="17"/>
                <w:szCs w:val="17"/>
                <w:color w:val="auto"/>
              </w:rPr>
            </w:pPr>
          </w:p>
        </w:tc>
        <w:tc>
          <w:tcPr>
            <w:tcW w:w="7000" w:type="dxa"/>
            <w:vAlign w:val="bottom"/>
            <w:gridSpan w:val="5"/>
            <w:shd w:val="clear" w:color="auto" w:fill="F5F5F5"/>
          </w:tcPr>
          <w:p>
            <w:pPr>
              <w:spacing w:after="0"/>
              <w:rPr>
                <w:sz w:val="20"/>
                <w:szCs w:val="20"/>
                <w:color w:val="auto"/>
              </w:rPr>
            </w:pPr>
            <w:r>
              <w:rPr>
                <w:rFonts w:ascii="Arial" w:cs="Arial" w:eastAsia="Arial" w:hAnsi="Arial"/>
                <w:sz w:val="14"/>
                <w:szCs w:val="14"/>
                <w:color w:val="auto"/>
              </w:rPr>
              <w:t>Operating lease right-of-use assets additions, net of terminations, impairments and other reductions</w:t>
            </w:r>
          </w:p>
        </w:tc>
        <w:tc>
          <w:tcPr>
            <w:tcW w:w="340" w:type="dxa"/>
            <w:vAlign w:val="bottom"/>
            <w:shd w:val="clear" w:color="auto" w:fill="F5F5F5"/>
          </w:tcPr>
          <w:p>
            <w:pPr>
              <w:spacing w:after="0"/>
              <w:rPr>
                <w:sz w:val="17"/>
                <w:szCs w:val="17"/>
                <w:color w:val="auto"/>
              </w:rPr>
            </w:pPr>
          </w:p>
        </w:tc>
        <w:tc>
          <w:tcPr>
            <w:tcW w:w="100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365,813</w:t>
            </w:r>
          </w:p>
        </w:tc>
        <w:tc>
          <w:tcPr>
            <w:tcW w:w="100" w:type="dxa"/>
            <w:vAlign w:val="bottom"/>
            <w:shd w:val="clear" w:color="auto" w:fill="F5F5F5"/>
          </w:tcPr>
          <w:p>
            <w:pPr>
              <w:spacing w:after="0"/>
              <w:rPr>
                <w:sz w:val="17"/>
                <w:szCs w:val="17"/>
                <w:color w:val="auto"/>
              </w:rPr>
            </w:pPr>
          </w:p>
        </w:tc>
        <w:tc>
          <w:tcPr>
            <w:tcW w:w="340" w:type="dxa"/>
            <w:vAlign w:val="bottom"/>
            <w:shd w:val="clear" w:color="auto" w:fill="F5F5F5"/>
          </w:tcPr>
          <w:p>
            <w:pPr>
              <w:spacing w:after="0"/>
              <w:rPr>
                <w:sz w:val="17"/>
                <w:szCs w:val="17"/>
                <w:color w:val="auto"/>
              </w:rPr>
            </w:pPr>
          </w:p>
        </w:tc>
        <w:tc>
          <w:tcPr>
            <w:tcW w:w="100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155,184</w:t>
            </w:r>
          </w:p>
        </w:tc>
        <w:tc>
          <w:tcPr>
            <w:tcW w:w="100" w:type="dxa"/>
            <w:vAlign w:val="bottom"/>
            <w:shd w:val="clear" w:color="auto" w:fill="F5F5F5"/>
          </w:tcPr>
          <w:p>
            <w:pPr>
              <w:spacing w:after="0"/>
              <w:rPr>
                <w:sz w:val="17"/>
                <w:szCs w:val="17"/>
                <w:color w:val="auto"/>
              </w:rPr>
            </w:pPr>
          </w:p>
        </w:tc>
        <w:tc>
          <w:tcPr>
            <w:tcW w:w="340" w:type="dxa"/>
            <w:vAlign w:val="bottom"/>
            <w:shd w:val="clear" w:color="auto" w:fill="F5F5F5"/>
          </w:tcPr>
          <w:p>
            <w:pPr>
              <w:spacing w:after="0"/>
              <w:rPr>
                <w:sz w:val="17"/>
                <w:szCs w:val="17"/>
                <w:color w:val="auto"/>
              </w:rPr>
            </w:pPr>
          </w:p>
        </w:tc>
        <w:tc>
          <w:tcPr>
            <w:tcW w:w="10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269,430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0" w:type="dxa"/>
            <w:vAlign w:val="bottom"/>
            <w:gridSpan w:val="5"/>
          </w:tcPr>
          <w:p>
            <w:pPr>
              <w:spacing w:after="0"/>
              <w:rPr>
                <w:sz w:val="20"/>
                <w:szCs w:val="20"/>
                <w:color w:val="auto"/>
              </w:rPr>
            </w:pPr>
            <w:r>
              <w:rPr>
                <w:rFonts w:ascii="Arial" w:cs="Arial" w:eastAsia="Arial" w:hAnsi="Arial"/>
                <w:sz w:val="14"/>
                <w:szCs w:val="14"/>
                <w:color w:val="auto"/>
              </w:rPr>
              <w:t>Supplemental information related to cash activities</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0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F5F5F5"/>
          </w:tcPr>
          <w:p>
            <w:pPr>
              <w:spacing w:after="0"/>
              <w:rPr>
                <w:sz w:val="17"/>
                <w:szCs w:val="17"/>
                <w:color w:val="auto"/>
              </w:rPr>
            </w:pPr>
          </w:p>
        </w:tc>
        <w:tc>
          <w:tcPr>
            <w:tcW w:w="7000" w:type="dxa"/>
            <w:vAlign w:val="bottom"/>
            <w:gridSpan w:val="5"/>
            <w:shd w:val="clear" w:color="auto" w:fill="F5F5F5"/>
          </w:tcPr>
          <w:p>
            <w:pPr>
              <w:spacing w:after="0"/>
              <w:rPr>
                <w:sz w:val="20"/>
                <w:szCs w:val="20"/>
                <w:color w:val="auto"/>
              </w:rPr>
            </w:pPr>
            <w:r>
              <w:rPr>
                <w:rFonts w:ascii="Arial" w:cs="Arial" w:eastAsia="Arial" w:hAnsi="Arial"/>
                <w:sz w:val="14"/>
                <w:szCs w:val="14"/>
                <w:color w:val="auto"/>
              </w:rPr>
              <w:t>Cash paid for interest</w:t>
            </w:r>
          </w:p>
        </w:tc>
        <w:tc>
          <w:tcPr>
            <w:tcW w:w="340" w:type="dxa"/>
            <w:vAlign w:val="bottom"/>
            <w:shd w:val="clear" w:color="auto" w:fill="F5F5F5"/>
          </w:tcPr>
          <w:p>
            <w:pPr>
              <w:spacing w:after="0"/>
              <w:rPr>
                <w:sz w:val="17"/>
                <w:szCs w:val="17"/>
                <w:color w:val="auto"/>
              </w:rPr>
            </w:pPr>
          </w:p>
        </w:tc>
        <w:tc>
          <w:tcPr>
            <w:tcW w:w="100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9,527</w:t>
            </w:r>
          </w:p>
        </w:tc>
        <w:tc>
          <w:tcPr>
            <w:tcW w:w="100" w:type="dxa"/>
            <w:vAlign w:val="bottom"/>
            <w:shd w:val="clear" w:color="auto" w:fill="F5F5F5"/>
          </w:tcPr>
          <w:p>
            <w:pPr>
              <w:spacing w:after="0"/>
              <w:rPr>
                <w:sz w:val="17"/>
                <w:szCs w:val="17"/>
                <w:color w:val="auto"/>
              </w:rPr>
            </w:pPr>
          </w:p>
        </w:tc>
        <w:tc>
          <w:tcPr>
            <w:tcW w:w="340" w:type="dxa"/>
            <w:vAlign w:val="bottom"/>
            <w:shd w:val="clear" w:color="auto" w:fill="F5F5F5"/>
          </w:tcPr>
          <w:p>
            <w:pPr>
              <w:spacing w:after="0"/>
              <w:rPr>
                <w:sz w:val="17"/>
                <w:szCs w:val="17"/>
                <w:color w:val="auto"/>
              </w:rPr>
            </w:pPr>
          </w:p>
        </w:tc>
        <w:tc>
          <w:tcPr>
            <w:tcW w:w="100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24,891</w:t>
            </w:r>
          </w:p>
        </w:tc>
        <w:tc>
          <w:tcPr>
            <w:tcW w:w="100" w:type="dxa"/>
            <w:vAlign w:val="bottom"/>
            <w:shd w:val="clear" w:color="auto" w:fill="F5F5F5"/>
          </w:tcPr>
          <w:p>
            <w:pPr>
              <w:spacing w:after="0"/>
              <w:rPr>
                <w:sz w:val="17"/>
                <w:szCs w:val="17"/>
                <w:color w:val="auto"/>
              </w:rPr>
            </w:pPr>
          </w:p>
        </w:tc>
        <w:tc>
          <w:tcPr>
            <w:tcW w:w="340" w:type="dxa"/>
            <w:vAlign w:val="bottom"/>
            <w:shd w:val="clear" w:color="auto" w:fill="F5F5F5"/>
          </w:tcPr>
          <w:p>
            <w:pPr>
              <w:spacing w:after="0"/>
              <w:rPr>
                <w:sz w:val="17"/>
                <w:szCs w:val="17"/>
                <w:color w:val="auto"/>
              </w:rPr>
            </w:pPr>
          </w:p>
        </w:tc>
        <w:tc>
          <w:tcPr>
            <w:tcW w:w="10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26,687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000" w:type="dxa"/>
            <w:vAlign w:val="bottom"/>
            <w:gridSpan w:val="5"/>
          </w:tcPr>
          <w:p>
            <w:pPr>
              <w:spacing w:after="0"/>
              <w:rPr>
                <w:sz w:val="20"/>
                <w:szCs w:val="20"/>
                <w:color w:val="auto"/>
              </w:rPr>
            </w:pPr>
            <w:r>
              <w:rPr>
                <w:rFonts w:ascii="Arial" w:cs="Arial" w:eastAsia="Arial" w:hAnsi="Arial"/>
                <w:sz w:val="14"/>
                <w:szCs w:val="14"/>
                <w:color w:val="auto"/>
              </w:rPr>
              <w:t>Cash paid for income taxes</w:t>
            </w:r>
          </w:p>
        </w:tc>
        <w:tc>
          <w:tcPr>
            <w:tcW w:w="34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217,654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120,448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53,011</w:t>
            </w:r>
          </w:p>
        </w:tc>
        <w:tc>
          <w:tcPr>
            <w:tcW w:w="0" w:type="dxa"/>
            <w:vAlign w:val="bottom"/>
          </w:tcPr>
          <w:p>
            <w:pPr>
              <w:spacing w:after="0"/>
              <w:rPr>
                <w:sz w:val="1"/>
                <w:szCs w:val="1"/>
                <w:color w:val="auto"/>
              </w:rPr>
            </w:pPr>
          </w:p>
        </w:tc>
      </w:tr>
      <w:tr>
        <w:trPr>
          <w:trHeight w:val="207"/>
        </w:trPr>
        <w:tc>
          <w:tcPr>
            <w:tcW w:w="20" w:type="dxa"/>
            <w:vAlign w:val="bottom"/>
            <w:shd w:val="clear" w:color="auto" w:fill="F5F5F5"/>
          </w:tcPr>
          <w:p>
            <w:pPr>
              <w:spacing w:after="0"/>
              <w:rPr>
                <w:sz w:val="17"/>
                <w:szCs w:val="17"/>
                <w:color w:val="auto"/>
              </w:rPr>
            </w:pPr>
          </w:p>
        </w:tc>
        <w:tc>
          <w:tcPr>
            <w:tcW w:w="7000" w:type="dxa"/>
            <w:vAlign w:val="bottom"/>
            <w:gridSpan w:val="5"/>
            <w:shd w:val="clear" w:color="auto" w:fill="F5F5F5"/>
          </w:tcPr>
          <w:p>
            <w:pPr>
              <w:spacing w:after="0"/>
              <w:rPr>
                <w:sz w:val="20"/>
                <w:szCs w:val="20"/>
                <w:color w:val="auto"/>
              </w:rPr>
            </w:pPr>
            <w:r>
              <w:rPr>
                <w:rFonts w:ascii="Arial" w:cs="Arial" w:eastAsia="Arial" w:hAnsi="Arial"/>
                <w:sz w:val="14"/>
                <w:szCs w:val="14"/>
                <w:color w:val="auto"/>
              </w:rPr>
              <w:t>Cash received from income tax refunds</w:t>
            </w:r>
          </w:p>
        </w:tc>
        <w:tc>
          <w:tcPr>
            <w:tcW w:w="340" w:type="dxa"/>
            <w:vAlign w:val="bottom"/>
            <w:shd w:val="clear" w:color="auto" w:fill="F5F5F5"/>
          </w:tcPr>
          <w:p>
            <w:pPr>
              <w:spacing w:after="0"/>
              <w:rPr>
                <w:sz w:val="17"/>
                <w:szCs w:val="17"/>
                <w:color w:val="auto"/>
              </w:rPr>
            </w:pPr>
          </w:p>
        </w:tc>
        <w:tc>
          <w:tcPr>
            <w:tcW w:w="100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502</w:t>
            </w:r>
          </w:p>
        </w:tc>
        <w:tc>
          <w:tcPr>
            <w:tcW w:w="100" w:type="dxa"/>
            <w:vAlign w:val="bottom"/>
            <w:shd w:val="clear" w:color="auto" w:fill="F5F5F5"/>
          </w:tcPr>
          <w:p>
            <w:pPr>
              <w:spacing w:after="0"/>
              <w:rPr>
                <w:sz w:val="17"/>
                <w:szCs w:val="17"/>
                <w:color w:val="auto"/>
              </w:rPr>
            </w:pPr>
          </w:p>
        </w:tc>
        <w:tc>
          <w:tcPr>
            <w:tcW w:w="340" w:type="dxa"/>
            <w:vAlign w:val="bottom"/>
            <w:shd w:val="clear" w:color="auto" w:fill="F5F5F5"/>
          </w:tcPr>
          <w:p>
            <w:pPr>
              <w:spacing w:after="0"/>
              <w:rPr>
                <w:sz w:val="17"/>
                <w:szCs w:val="17"/>
                <w:color w:val="auto"/>
              </w:rPr>
            </w:pPr>
          </w:p>
        </w:tc>
        <w:tc>
          <w:tcPr>
            <w:tcW w:w="100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1,843</w:t>
            </w:r>
          </w:p>
        </w:tc>
        <w:tc>
          <w:tcPr>
            <w:tcW w:w="100" w:type="dxa"/>
            <w:vAlign w:val="bottom"/>
            <w:shd w:val="clear" w:color="auto" w:fill="F5F5F5"/>
          </w:tcPr>
          <w:p>
            <w:pPr>
              <w:spacing w:after="0"/>
              <w:rPr>
                <w:sz w:val="17"/>
                <w:szCs w:val="17"/>
                <w:color w:val="auto"/>
              </w:rPr>
            </w:pPr>
          </w:p>
        </w:tc>
        <w:tc>
          <w:tcPr>
            <w:tcW w:w="340" w:type="dxa"/>
            <w:vAlign w:val="bottom"/>
            <w:shd w:val="clear" w:color="auto" w:fill="F5F5F5"/>
          </w:tcPr>
          <w:p>
            <w:pPr>
              <w:spacing w:after="0"/>
              <w:rPr>
                <w:sz w:val="17"/>
                <w:szCs w:val="17"/>
                <w:color w:val="auto"/>
              </w:rPr>
            </w:pPr>
          </w:p>
        </w:tc>
        <w:tc>
          <w:tcPr>
            <w:tcW w:w="10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3,701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000" w:type="dxa"/>
            <w:vAlign w:val="bottom"/>
            <w:gridSpan w:val="5"/>
          </w:tcPr>
          <w:p>
            <w:pPr>
              <w:spacing w:after="0"/>
              <w:rPr>
                <w:sz w:val="20"/>
                <w:szCs w:val="20"/>
                <w:color w:val="auto"/>
              </w:rPr>
            </w:pPr>
            <w:r>
              <w:rPr>
                <w:rFonts w:ascii="Arial" w:cs="Arial" w:eastAsia="Arial" w:hAnsi="Arial"/>
                <w:sz w:val="14"/>
                <w:szCs w:val="14"/>
                <w:color w:val="auto"/>
              </w:rPr>
              <w:t>Cash paid for amounts included in measurement of operating lease liabilities, net of abatements</w:t>
            </w:r>
          </w:p>
        </w:tc>
        <w:tc>
          <w:tcPr>
            <w:tcW w:w="34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278,229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296,834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263,269</w:t>
            </w:r>
          </w:p>
        </w:tc>
        <w:tc>
          <w:tcPr>
            <w:tcW w:w="0" w:type="dxa"/>
            <w:vAlign w:val="bottom"/>
          </w:tcPr>
          <w:p>
            <w:pPr>
              <w:spacing w:after="0"/>
              <w:rPr>
                <w:sz w:val="1"/>
                <w:szCs w:val="1"/>
                <w:color w:val="auto"/>
              </w:rPr>
            </w:pPr>
          </w:p>
        </w:tc>
      </w:tr>
    </w:tbl>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96"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48</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u w:val="single" w:color="auto"/>
          <w:color w:val="0000FF"/>
        </w:rPr>
        <w:t>Table of Contents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Abercrombie &amp; Fitch Co.</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for Notes to Consolidated Financial Statements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040" w:type="dxa"/>
            <w:vAlign w:val="bottom"/>
            <w:gridSpan w:val="4"/>
          </w:tcPr>
          <w:p>
            <w:pPr>
              <w:jc w:val="center"/>
              <w:ind w:right="360"/>
              <w:spacing w:after="0"/>
              <w:rPr>
                <w:sz w:val="20"/>
                <w:szCs w:val="20"/>
                <w:color w:val="auto"/>
              </w:rPr>
            </w:pPr>
            <w:r>
              <w:rPr>
                <w:rFonts w:ascii="Arial" w:cs="Arial" w:eastAsia="Arial" w:hAnsi="Arial"/>
                <w:sz w:val="16"/>
                <w:szCs w:val="16"/>
                <w:color w:val="auto"/>
              </w:rPr>
              <w:t>Page No.</w:t>
            </w:r>
          </w:p>
        </w:tc>
      </w:tr>
      <w:tr>
        <w:trPr>
          <w:trHeight w:val="21"/>
        </w:trPr>
        <w:tc>
          <w:tcPr>
            <w:tcW w:w="1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75"/>
        </w:trPr>
        <w:tc>
          <w:tcPr>
            <w:tcW w:w="1400" w:type="dxa"/>
            <w:vAlign w:val="bottom"/>
            <w:shd w:val="clear" w:color="auto" w:fill="F5F5F5"/>
          </w:tcPr>
          <w:p>
            <w:pPr>
              <w:ind w:left="20"/>
              <w:spacing w:after="0" w:line="175" w:lineRule="exact"/>
              <w:rPr>
                <w:sz w:val="20"/>
                <w:szCs w:val="20"/>
                <w:color w:val="auto"/>
              </w:rPr>
            </w:pPr>
            <w:r>
              <w:rPr>
                <w:rFonts w:ascii="Arial" w:cs="Arial" w:eastAsia="Arial" w:hAnsi="Arial"/>
                <w:sz w:val="16"/>
                <w:szCs w:val="16"/>
                <w:color w:val="auto"/>
              </w:rPr>
              <w:t>Note 1.</w:t>
            </w:r>
          </w:p>
        </w:tc>
        <w:tc>
          <w:tcPr>
            <w:tcW w:w="1800" w:type="dxa"/>
            <w:vAlign w:val="bottom"/>
            <w:gridSpan w:val="10"/>
            <w:shd w:val="clear" w:color="auto" w:fill="F5F5F5"/>
          </w:tcPr>
          <w:p>
            <w:pPr>
              <w:spacing w:after="0" w:line="175" w:lineRule="exact"/>
              <w:rPr>
                <w:sz w:val="20"/>
                <w:szCs w:val="20"/>
                <w:color w:val="auto"/>
              </w:rPr>
            </w:pPr>
            <w:r>
              <w:rPr>
                <w:rFonts w:ascii="Arial" w:cs="Arial" w:eastAsia="Arial" w:hAnsi="Arial"/>
                <w:sz w:val="16"/>
                <w:szCs w:val="16"/>
                <w:color w:val="0000FF"/>
              </w:rPr>
              <w:t>NATURE OF BUSINESS</w:t>
            </w:r>
          </w:p>
        </w:tc>
        <w:tc>
          <w:tcPr>
            <w:tcW w:w="6980" w:type="dxa"/>
            <w:vAlign w:val="bottom"/>
            <w:gridSpan w:val="8"/>
            <w:shd w:val="clear" w:color="auto" w:fill="F5F5F5"/>
          </w:tcPr>
          <w:p>
            <w:pPr>
              <w:spacing w:after="0"/>
              <w:rPr>
                <w:sz w:val="15"/>
                <w:szCs w:val="15"/>
                <w:color w:val="auto"/>
              </w:rPr>
            </w:pPr>
          </w:p>
        </w:tc>
        <w:tc>
          <w:tcPr>
            <w:tcW w:w="680" w:type="dxa"/>
            <w:vAlign w:val="bottom"/>
            <w:gridSpan w:val="3"/>
            <w:shd w:val="clear" w:color="auto" w:fill="F5F5F5"/>
          </w:tcPr>
          <w:p>
            <w:pPr>
              <w:jc w:val="center"/>
              <w:spacing w:after="0" w:line="175" w:lineRule="exact"/>
              <w:rPr>
                <w:sz w:val="20"/>
                <w:szCs w:val="20"/>
                <w:color w:val="auto"/>
              </w:rPr>
            </w:pPr>
            <w:r>
              <w:rPr>
                <w:rFonts w:ascii="Arial" w:cs="Arial" w:eastAsia="Arial" w:hAnsi="Arial"/>
                <w:sz w:val="16"/>
                <w:szCs w:val="16"/>
                <w:color w:val="0000FF"/>
              </w:rPr>
              <w:t>50</w:t>
            </w:r>
          </w:p>
        </w:tc>
        <w:tc>
          <w:tcPr>
            <w:tcW w:w="360" w:type="dxa"/>
            <w:vAlign w:val="bottom"/>
            <w:shd w:val="clear" w:color="auto" w:fill="F5F5F5"/>
          </w:tcPr>
          <w:p>
            <w:pPr>
              <w:spacing w:after="0"/>
              <w:rPr>
                <w:sz w:val="15"/>
                <w:szCs w:val="15"/>
                <w:color w:val="auto"/>
              </w:rPr>
            </w:pPr>
          </w:p>
        </w:tc>
      </w:tr>
      <w:tr>
        <w:trPr>
          <w:trHeight w:val="21"/>
        </w:trPr>
        <w:tc>
          <w:tcPr>
            <w:tcW w:w="1400" w:type="dxa"/>
            <w:vAlign w:val="bottom"/>
            <w:tcBorders>
              <w:top w:val="single" w:sz="8" w:color="F5F5F5"/>
            </w:tcBorders>
            <w:shd w:val="clear" w:color="auto" w:fill="F5F5F5"/>
          </w:tcPr>
          <w:p>
            <w:pPr>
              <w:spacing w:after="0" w:line="20" w:lineRule="exact"/>
              <w:rPr>
                <w:sz w:val="1"/>
                <w:szCs w:val="1"/>
                <w:color w:val="auto"/>
              </w:rPr>
            </w:pPr>
          </w:p>
        </w:tc>
        <w:tc>
          <w:tcPr>
            <w:tcW w:w="640" w:type="dxa"/>
            <w:vAlign w:val="bottom"/>
            <w:tcBorders>
              <w:top w:val="single" w:sz="8" w:color="0000FF"/>
            </w:tcBorders>
            <w:shd w:val="clear" w:color="auto" w:fill="F5F5F5"/>
          </w:tcPr>
          <w:p>
            <w:pPr>
              <w:spacing w:after="0" w:line="20" w:lineRule="exact"/>
              <w:rPr>
                <w:sz w:val="1"/>
                <w:szCs w:val="1"/>
                <w:color w:val="auto"/>
              </w:rPr>
            </w:pPr>
          </w:p>
        </w:tc>
        <w:tc>
          <w:tcPr>
            <w:tcW w:w="280" w:type="dxa"/>
            <w:vAlign w:val="bottom"/>
            <w:tcBorders>
              <w:top w:val="single" w:sz="8" w:color="0000FF"/>
            </w:tcBorders>
            <w:shd w:val="clear" w:color="auto" w:fill="F5F5F5"/>
          </w:tcPr>
          <w:p>
            <w:pPr>
              <w:spacing w:after="0" w:line="20" w:lineRule="exact"/>
              <w:rPr>
                <w:sz w:val="1"/>
                <w:szCs w:val="1"/>
                <w:color w:val="auto"/>
              </w:rPr>
            </w:pPr>
          </w:p>
        </w:tc>
        <w:tc>
          <w:tcPr>
            <w:tcW w:w="180" w:type="dxa"/>
            <w:vAlign w:val="bottom"/>
            <w:tcBorders>
              <w:top w:val="single" w:sz="8" w:color="0000FF"/>
            </w:tcBorders>
            <w:shd w:val="clear" w:color="auto" w:fill="F5F5F5"/>
          </w:tcPr>
          <w:p>
            <w:pPr>
              <w:spacing w:after="0" w:line="20" w:lineRule="exact"/>
              <w:rPr>
                <w:sz w:val="1"/>
                <w:szCs w:val="1"/>
                <w:color w:val="auto"/>
              </w:rPr>
            </w:pPr>
          </w:p>
        </w:tc>
        <w:tc>
          <w:tcPr>
            <w:tcW w:w="40" w:type="dxa"/>
            <w:vAlign w:val="bottom"/>
            <w:tcBorders>
              <w:top w:val="single" w:sz="8" w:color="0000FF"/>
            </w:tcBorders>
            <w:shd w:val="clear" w:color="auto" w:fill="F5F5F5"/>
          </w:tcPr>
          <w:p>
            <w:pPr>
              <w:spacing w:after="0" w:line="20" w:lineRule="exact"/>
              <w:rPr>
                <w:sz w:val="1"/>
                <w:szCs w:val="1"/>
                <w:color w:val="auto"/>
              </w:rPr>
            </w:pPr>
          </w:p>
        </w:tc>
        <w:tc>
          <w:tcPr>
            <w:tcW w:w="20" w:type="dxa"/>
            <w:vAlign w:val="bottom"/>
            <w:tcBorders>
              <w:top w:val="single" w:sz="8" w:color="0000FF"/>
            </w:tcBorders>
            <w:shd w:val="clear" w:color="auto" w:fill="F5F5F5"/>
          </w:tcPr>
          <w:p>
            <w:pPr>
              <w:spacing w:after="0" w:line="20" w:lineRule="exact"/>
              <w:rPr>
                <w:sz w:val="1"/>
                <w:szCs w:val="1"/>
                <w:color w:val="auto"/>
              </w:rPr>
            </w:pPr>
          </w:p>
        </w:tc>
        <w:tc>
          <w:tcPr>
            <w:tcW w:w="60" w:type="dxa"/>
            <w:vAlign w:val="bottom"/>
            <w:tcBorders>
              <w:top w:val="single" w:sz="8" w:color="0000FF"/>
            </w:tcBorders>
            <w:shd w:val="clear" w:color="auto" w:fill="F5F5F5"/>
          </w:tcPr>
          <w:p>
            <w:pPr>
              <w:spacing w:after="0" w:line="20" w:lineRule="exact"/>
              <w:rPr>
                <w:sz w:val="1"/>
                <w:szCs w:val="1"/>
                <w:color w:val="auto"/>
              </w:rPr>
            </w:pPr>
          </w:p>
        </w:tc>
        <w:tc>
          <w:tcPr>
            <w:tcW w:w="140" w:type="dxa"/>
            <w:vAlign w:val="bottom"/>
            <w:tcBorders>
              <w:top w:val="single" w:sz="8" w:color="0000FF"/>
            </w:tcBorders>
            <w:shd w:val="clear" w:color="auto" w:fill="F5F5F5"/>
          </w:tcPr>
          <w:p>
            <w:pPr>
              <w:spacing w:after="0" w:line="20" w:lineRule="exact"/>
              <w:rPr>
                <w:sz w:val="1"/>
                <w:szCs w:val="1"/>
                <w:color w:val="auto"/>
              </w:rPr>
            </w:pPr>
          </w:p>
        </w:tc>
        <w:tc>
          <w:tcPr>
            <w:tcW w:w="220" w:type="dxa"/>
            <w:vAlign w:val="bottom"/>
            <w:tcBorders>
              <w:top w:val="single" w:sz="8" w:color="0000FF"/>
            </w:tcBorders>
            <w:shd w:val="clear" w:color="auto" w:fill="F5F5F5"/>
          </w:tcPr>
          <w:p>
            <w:pPr>
              <w:spacing w:after="0" w:line="20" w:lineRule="exact"/>
              <w:rPr>
                <w:sz w:val="1"/>
                <w:szCs w:val="1"/>
                <w:color w:val="auto"/>
              </w:rPr>
            </w:pPr>
          </w:p>
        </w:tc>
        <w:tc>
          <w:tcPr>
            <w:tcW w:w="140" w:type="dxa"/>
            <w:vAlign w:val="bottom"/>
            <w:tcBorders>
              <w:top w:val="single" w:sz="8" w:color="0000FF"/>
            </w:tcBorders>
            <w:shd w:val="clear" w:color="auto" w:fill="F5F5F5"/>
          </w:tcPr>
          <w:p>
            <w:pPr>
              <w:spacing w:after="0" w:line="20" w:lineRule="exact"/>
              <w:rPr>
                <w:sz w:val="1"/>
                <w:szCs w:val="1"/>
                <w:color w:val="auto"/>
              </w:rPr>
            </w:pPr>
          </w:p>
        </w:tc>
        <w:tc>
          <w:tcPr>
            <w:tcW w:w="80" w:type="dxa"/>
            <w:vAlign w:val="bottom"/>
            <w:tcBorders>
              <w:top w:val="single" w:sz="8" w:color="0000FF"/>
            </w:tcBorders>
            <w:shd w:val="clear" w:color="auto" w:fill="F5F5F5"/>
          </w:tcPr>
          <w:p>
            <w:pPr>
              <w:spacing w:after="0" w:line="20" w:lineRule="exact"/>
              <w:rPr>
                <w:sz w:val="1"/>
                <w:szCs w:val="1"/>
                <w:color w:val="auto"/>
              </w:rPr>
            </w:pPr>
          </w:p>
        </w:tc>
        <w:tc>
          <w:tcPr>
            <w:tcW w:w="180" w:type="dxa"/>
            <w:vAlign w:val="bottom"/>
            <w:tcBorders>
              <w:top w:val="single" w:sz="8" w:color="F5F5F5"/>
            </w:tcBorders>
            <w:shd w:val="clear" w:color="auto" w:fill="F5F5F5"/>
          </w:tcPr>
          <w:p>
            <w:pPr>
              <w:spacing w:after="0" w:line="20" w:lineRule="exact"/>
              <w:rPr>
                <w:sz w:val="1"/>
                <w:szCs w:val="1"/>
                <w:color w:val="auto"/>
              </w:rPr>
            </w:pPr>
          </w:p>
        </w:tc>
        <w:tc>
          <w:tcPr>
            <w:tcW w:w="180" w:type="dxa"/>
            <w:vAlign w:val="bottom"/>
            <w:tcBorders>
              <w:top w:val="single" w:sz="8" w:color="F5F5F5"/>
            </w:tcBorders>
            <w:shd w:val="clear" w:color="auto" w:fill="F5F5F5"/>
          </w:tcPr>
          <w:p>
            <w:pPr>
              <w:spacing w:after="0" w:line="20" w:lineRule="exact"/>
              <w:rPr>
                <w:sz w:val="1"/>
                <w:szCs w:val="1"/>
                <w:color w:val="auto"/>
              </w:rPr>
            </w:pPr>
          </w:p>
        </w:tc>
        <w:tc>
          <w:tcPr>
            <w:tcW w:w="360" w:type="dxa"/>
            <w:vAlign w:val="bottom"/>
            <w:tcBorders>
              <w:top w:val="single" w:sz="8" w:color="F5F5F5"/>
            </w:tcBorders>
            <w:shd w:val="clear" w:color="auto" w:fill="F5F5F5"/>
          </w:tcPr>
          <w:p>
            <w:pPr>
              <w:spacing w:after="0" w:line="20" w:lineRule="exact"/>
              <w:rPr>
                <w:sz w:val="1"/>
                <w:szCs w:val="1"/>
                <w:color w:val="auto"/>
              </w:rPr>
            </w:pPr>
          </w:p>
        </w:tc>
        <w:tc>
          <w:tcPr>
            <w:tcW w:w="160" w:type="dxa"/>
            <w:vAlign w:val="bottom"/>
            <w:tcBorders>
              <w:top w:val="single" w:sz="8" w:color="F5F5F5"/>
            </w:tcBorders>
            <w:shd w:val="clear" w:color="auto" w:fill="F5F5F5"/>
          </w:tcPr>
          <w:p>
            <w:pPr>
              <w:spacing w:after="0" w:line="20" w:lineRule="exact"/>
              <w:rPr>
                <w:sz w:val="1"/>
                <w:szCs w:val="1"/>
                <w:color w:val="auto"/>
              </w:rPr>
            </w:pPr>
          </w:p>
        </w:tc>
        <w:tc>
          <w:tcPr>
            <w:tcW w:w="100" w:type="dxa"/>
            <w:vAlign w:val="bottom"/>
            <w:tcBorders>
              <w:top w:val="single" w:sz="8" w:color="F5F5F5"/>
            </w:tcBorders>
            <w:shd w:val="clear" w:color="auto" w:fill="F5F5F5"/>
          </w:tcPr>
          <w:p>
            <w:pPr>
              <w:spacing w:after="0" w:line="20" w:lineRule="exact"/>
              <w:rPr>
                <w:sz w:val="1"/>
                <w:szCs w:val="1"/>
                <w:color w:val="auto"/>
              </w:rPr>
            </w:pPr>
          </w:p>
        </w:tc>
        <w:tc>
          <w:tcPr>
            <w:tcW w:w="1000" w:type="dxa"/>
            <w:vAlign w:val="bottom"/>
            <w:tcBorders>
              <w:top w:val="single" w:sz="8" w:color="F5F5F5"/>
            </w:tcBorders>
            <w:shd w:val="clear" w:color="auto" w:fill="F5F5F5"/>
          </w:tcPr>
          <w:p>
            <w:pPr>
              <w:spacing w:after="0" w:line="20" w:lineRule="exact"/>
              <w:rPr>
                <w:sz w:val="1"/>
                <w:szCs w:val="1"/>
                <w:color w:val="auto"/>
              </w:rPr>
            </w:pPr>
          </w:p>
        </w:tc>
        <w:tc>
          <w:tcPr>
            <w:tcW w:w="320" w:type="dxa"/>
            <w:vAlign w:val="bottom"/>
            <w:tcBorders>
              <w:top w:val="single" w:sz="8" w:color="F5F5F5"/>
            </w:tcBorders>
            <w:shd w:val="clear" w:color="auto" w:fill="F5F5F5"/>
          </w:tcPr>
          <w:p>
            <w:pPr>
              <w:spacing w:after="0" w:line="20" w:lineRule="exact"/>
              <w:rPr>
                <w:sz w:val="1"/>
                <w:szCs w:val="1"/>
                <w:color w:val="auto"/>
              </w:rPr>
            </w:pPr>
          </w:p>
        </w:tc>
        <w:tc>
          <w:tcPr>
            <w:tcW w:w="4680" w:type="dxa"/>
            <w:vAlign w:val="bottom"/>
            <w:tcBorders>
              <w:top w:val="single" w:sz="8" w:color="F5F5F5"/>
            </w:tcBorders>
            <w:shd w:val="clear" w:color="auto" w:fill="F5F5F5"/>
          </w:tcPr>
          <w:p>
            <w:pPr>
              <w:spacing w:after="0" w:line="20" w:lineRule="exact"/>
              <w:rPr>
                <w:sz w:val="1"/>
                <w:szCs w:val="1"/>
                <w:color w:val="auto"/>
              </w:rPr>
            </w:pPr>
          </w:p>
        </w:tc>
        <w:tc>
          <w:tcPr>
            <w:tcW w:w="260" w:type="dxa"/>
            <w:vAlign w:val="bottom"/>
            <w:tcBorders>
              <w:top w:val="single" w:sz="8" w:color="F5F5F5"/>
            </w:tcBorders>
            <w:shd w:val="clear" w:color="auto" w:fill="F5F5F5"/>
          </w:tcPr>
          <w:p>
            <w:pPr>
              <w:spacing w:after="0" w:line="20" w:lineRule="exact"/>
              <w:rPr>
                <w:sz w:val="1"/>
                <w:szCs w:val="1"/>
                <w:color w:val="auto"/>
              </w:rPr>
            </w:pPr>
          </w:p>
        </w:tc>
        <w:tc>
          <w:tcPr>
            <w:tcW w:w="180" w:type="dxa"/>
            <w:vAlign w:val="bottom"/>
            <w:tcBorders>
              <w:top w:val="single" w:sz="8" w:color="0000FF"/>
            </w:tcBorders>
            <w:shd w:val="clear" w:color="auto" w:fill="F5F5F5"/>
          </w:tcPr>
          <w:p>
            <w:pPr>
              <w:spacing w:after="0" w:line="20" w:lineRule="exact"/>
              <w:rPr>
                <w:sz w:val="1"/>
                <w:szCs w:val="1"/>
                <w:color w:val="auto"/>
              </w:rPr>
            </w:pPr>
          </w:p>
        </w:tc>
        <w:tc>
          <w:tcPr>
            <w:tcW w:w="240" w:type="dxa"/>
            <w:vAlign w:val="bottom"/>
            <w:tcBorders>
              <w:top w:val="single" w:sz="8" w:color="F5F5F5"/>
            </w:tcBorders>
            <w:shd w:val="clear" w:color="auto" w:fill="F5F5F5"/>
          </w:tcPr>
          <w:p>
            <w:pPr>
              <w:spacing w:after="0" w:line="20" w:lineRule="exact"/>
              <w:rPr>
                <w:sz w:val="1"/>
                <w:szCs w:val="1"/>
                <w:color w:val="auto"/>
              </w:rPr>
            </w:pPr>
          </w:p>
        </w:tc>
        <w:tc>
          <w:tcPr>
            <w:tcW w:w="360" w:type="dxa"/>
            <w:vAlign w:val="bottom"/>
            <w:tcBorders>
              <w:top w:val="single" w:sz="8" w:color="F5F5F5"/>
            </w:tcBorders>
            <w:shd w:val="clear" w:color="auto" w:fill="F5F5F5"/>
          </w:tcPr>
          <w:p>
            <w:pPr>
              <w:spacing w:after="0" w:line="20" w:lineRule="exact"/>
              <w:rPr>
                <w:sz w:val="1"/>
                <w:szCs w:val="1"/>
                <w:color w:val="auto"/>
              </w:rPr>
            </w:pPr>
          </w:p>
        </w:tc>
      </w:tr>
      <w:tr>
        <w:trPr>
          <w:trHeight w:val="176"/>
        </w:trPr>
        <w:tc>
          <w:tcPr>
            <w:tcW w:w="1400" w:type="dxa"/>
            <w:vAlign w:val="bottom"/>
          </w:tcPr>
          <w:p>
            <w:pPr>
              <w:ind w:left="20"/>
              <w:spacing w:after="0" w:line="175" w:lineRule="exact"/>
              <w:rPr>
                <w:sz w:val="20"/>
                <w:szCs w:val="20"/>
                <w:color w:val="auto"/>
              </w:rPr>
            </w:pPr>
            <w:r>
              <w:rPr>
                <w:rFonts w:ascii="Arial" w:cs="Arial" w:eastAsia="Arial" w:hAnsi="Arial"/>
                <w:sz w:val="16"/>
                <w:szCs w:val="16"/>
                <w:color w:val="auto"/>
              </w:rPr>
              <w:t>Note 2.</w:t>
            </w:r>
          </w:p>
        </w:tc>
        <w:tc>
          <w:tcPr>
            <w:tcW w:w="8780" w:type="dxa"/>
            <w:vAlign w:val="bottom"/>
            <w:gridSpan w:val="18"/>
          </w:tcPr>
          <w:p>
            <w:pPr>
              <w:spacing w:after="0" w:line="175" w:lineRule="exact"/>
              <w:rPr>
                <w:sz w:val="20"/>
                <w:szCs w:val="20"/>
                <w:color w:val="auto"/>
              </w:rPr>
            </w:pPr>
            <w:r>
              <w:rPr>
                <w:rFonts w:ascii="Arial" w:cs="Arial" w:eastAsia="Arial" w:hAnsi="Arial"/>
                <w:sz w:val="16"/>
                <w:szCs w:val="16"/>
                <w:color w:val="0000FF"/>
              </w:rPr>
              <w:t>SUMMARY OF SIGNIFICANT ACCOUNTING POLICIES</w:t>
            </w:r>
          </w:p>
        </w:tc>
        <w:tc>
          <w:tcPr>
            <w:tcW w:w="680" w:type="dxa"/>
            <w:vAlign w:val="bottom"/>
            <w:gridSpan w:val="3"/>
          </w:tcPr>
          <w:p>
            <w:pPr>
              <w:jc w:val="center"/>
              <w:spacing w:after="0" w:line="175" w:lineRule="exact"/>
              <w:rPr>
                <w:sz w:val="20"/>
                <w:szCs w:val="20"/>
                <w:color w:val="auto"/>
              </w:rPr>
            </w:pPr>
            <w:r>
              <w:rPr>
                <w:rFonts w:ascii="Arial" w:cs="Arial" w:eastAsia="Arial" w:hAnsi="Arial"/>
                <w:sz w:val="16"/>
                <w:szCs w:val="16"/>
                <w:color w:val="0000FF"/>
              </w:rPr>
              <w:t>50</w:t>
            </w:r>
          </w:p>
        </w:tc>
        <w:tc>
          <w:tcPr>
            <w:tcW w:w="360" w:type="dxa"/>
            <w:vAlign w:val="bottom"/>
          </w:tcPr>
          <w:p>
            <w:pPr>
              <w:spacing w:after="0"/>
              <w:rPr>
                <w:sz w:val="15"/>
                <w:szCs w:val="15"/>
                <w:color w:val="auto"/>
              </w:rPr>
            </w:pPr>
          </w:p>
        </w:tc>
      </w:tr>
      <w:tr>
        <w:trPr>
          <w:trHeight w:val="20"/>
        </w:trPr>
        <w:tc>
          <w:tcPr>
            <w:tcW w:w="14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76"/>
        </w:trPr>
        <w:tc>
          <w:tcPr>
            <w:tcW w:w="1400" w:type="dxa"/>
            <w:vAlign w:val="bottom"/>
            <w:shd w:val="clear" w:color="auto" w:fill="F5F5F5"/>
          </w:tcPr>
          <w:p>
            <w:pPr>
              <w:ind w:left="20"/>
              <w:spacing w:after="0" w:line="175" w:lineRule="exact"/>
              <w:rPr>
                <w:sz w:val="20"/>
                <w:szCs w:val="20"/>
                <w:color w:val="auto"/>
              </w:rPr>
            </w:pPr>
            <w:r>
              <w:rPr>
                <w:rFonts w:ascii="Arial" w:cs="Arial" w:eastAsia="Arial" w:hAnsi="Arial"/>
                <w:sz w:val="16"/>
                <w:szCs w:val="16"/>
                <w:color w:val="auto"/>
              </w:rPr>
              <w:t>Note 3.</w:t>
            </w:r>
          </w:p>
        </w:tc>
        <w:tc>
          <w:tcPr>
            <w:tcW w:w="1980" w:type="dxa"/>
            <w:vAlign w:val="bottom"/>
            <w:gridSpan w:val="11"/>
            <w:shd w:val="clear" w:color="auto" w:fill="F5F5F5"/>
          </w:tcPr>
          <w:p>
            <w:pPr>
              <w:spacing w:after="0" w:line="175" w:lineRule="exact"/>
              <w:rPr>
                <w:sz w:val="20"/>
                <w:szCs w:val="20"/>
                <w:color w:val="auto"/>
              </w:rPr>
            </w:pPr>
            <w:r>
              <w:rPr>
                <w:rFonts w:ascii="Arial" w:cs="Arial" w:eastAsia="Arial" w:hAnsi="Arial"/>
                <w:sz w:val="16"/>
                <w:szCs w:val="16"/>
                <w:color w:val="0000FF"/>
              </w:rPr>
              <w:t>REVENUE RECOGNITION</w:t>
            </w:r>
          </w:p>
        </w:tc>
        <w:tc>
          <w:tcPr>
            <w:tcW w:w="6800" w:type="dxa"/>
            <w:vAlign w:val="bottom"/>
            <w:gridSpan w:val="7"/>
            <w:shd w:val="clear" w:color="auto" w:fill="F5F5F5"/>
          </w:tcPr>
          <w:p>
            <w:pPr>
              <w:spacing w:after="0"/>
              <w:rPr>
                <w:sz w:val="15"/>
                <w:szCs w:val="15"/>
                <w:color w:val="auto"/>
              </w:rPr>
            </w:pPr>
          </w:p>
        </w:tc>
        <w:tc>
          <w:tcPr>
            <w:tcW w:w="680" w:type="dxa"/>
            <w:vAlign w:val="bottom"/>
            <w:gridSpan w:val="3"/>
            <w:shd w:val="clear" w:color="auto" w:fill="F5F5F5"/>
          </w:tcPr>
          <w:p>
            <w:pPr>
              <w:jc w:val="center"/>
              <w:spacing w:after="0" w:line="175" w:lineRule="exact"/>
              <w:rPr>
                <w:sz w:val="20"/>
                <w:szCs w:val="20"/>
                <w:color w:val="auto"/>
              </w:rPr>
            </w:pPr>
            <w:r>
              <w:rPr>
                <w:rFonts w:ascii="Arial" w:cs="Arial" w:eastAsia="Arial" w:hAnsi="Arial"/>
                <w:sz w:val="16"/>
                <w:szCs w:val="16"/>
                <w:color w:val="0000FF"/>
              </w:rPr>
              <w:t>61</w:t>
            </w:r>
          </w:p>
        </w:tc>
        <w:tc>
          <w:tcPr>
            <w:tcW w:w="360" w:type="dxa"/>
            <w:vAlign w:val="bottom"/>
            <w:shd w:val="clear" w:color="auto" w:fill="F5F5F5"/>
          </w:tcPr>
          <w:p>
            <w:pPr>
              <w:spacing w:after="0"/>
              <w:rPr>
                <w:sz w:val="15"/>
                <w:szCs w:val="15"/>
                <w:color w:val="auto"/>
              </w:rPr>
            </w:pPr>
          </w:p>
        </w:tc>
      </w:tr>
      <w:tr>
        <w:trPr>
          <w:trHeight w:val="20"/>
        </w:trPr>
        <w:tc>
          <w:tcPr>
            <w:tcW w:w="1400" w:type="dxa"/>
            <w:vAlign w:val="bottom"/>
            <w:tcBorders>
              <w:top w:val="single" w:sz="8" w:color="F5F5F5"/>
            </w:tcBorders>
            <w:shd w:val="clear" w:color="auto" w:fill="F5F5F5"/>
          </w:tcPr>
          <w:p>
            <w:pPr>
              <w:spacing w:after="0" w:line="20" w:lineRule="exact"/>
              <w:rPr>
                <w:sz w:val="1"/>
                <w:szCs w:val="1"/>
                <w:color w:val="auto"/>
              </w:rPr>
            </w:pPr>
          </w:p>
        </w:tc>
        <w:tc>
          <w:tcPr>
            <w:tcW w:w="640" w:type="dxa"/>
            <w:vAlign w:val="bottom"/>
            <w:tcBorders>
              <w:top w:val="single" w:sz="8" w:color="0000FF"/>
            </w:tcBorders>
            <w:shd w:val="clear" w:color="auto" w:fill="F5F5F5"/>
          </w:tcPr>
          <w:p>
            <w:pPr>
              <w:spacing w:after="0" w:line="20" w:lineRule="exact"/>
              <w:rPr>
                <w:sz w:val="1"/>
                <w:szCs w:val="1"/>
                <w:color w:val="auto"/>
              </w:rPr>
            </w:pPr>
          </w:p>
        </w:tc>
        <w:tc>
          <w:tcPr>
            <w:tcW w:w="280" w:type="dxa"/>
            <w:vAlign w:val="bottom"/>
            <w:tcBorders>
              <w:top w:val="single" w:sz="8" w:color="0000FF"/>
            </w:tcBorders>
            <w:shd w:val="clear" w:color="auto" w:fill="F5F5F5"/>
          </w:tcPr>
          <w:p>
            <w:pPr>
              <w:spacing w:after="0" w:line="20" w:lineRule="exact"/>
              <w:rPr>
                <w:sz w:val="1"/>
                <w:szCs w:val="1"/>
                <w:color w:val="auto"/>
              </w:rPr>
            </w:pPr>
          </w:p>
        </w:tc>
        <w:tc>
          <w:tcPr>
            <w:tcW w:w="180" w:type="dxa"/>
            <w:vAlign w:val="bottom"/>
            <w:tcBorders>
              <w:top w:val="single" w:sz="8" w:color="0000FF"/>
            </w:tcBorders>
            <w:shd w:val="clear" w:color="auto" w:fill="F5F5F5"/>
          </w:tcPr>
          <w:p>
            <w:pPr>
              <w:spacing w:after="0" w:line="20" w:lineRule="exact"/>
              <w:rPr>
                <w:sz w:val="1"/>
                <w:szCs w:val="1"/>
                <w:color w:val="auto"/>
              </w:rPr>
            </w:pPr>
          </w:p>
        </w:tc>
        <w:tc>
          <w:tcPr>
            <w:tcW w:w="40" w:type="dxa"/>
            <w:vAlign w:val="bottom"/>
            <w:tcBorders>
              <w:top w:val="single" w:sz="8" w:color="0000FF"/>
            </w:tcBorders>
            <w:shd w:val="clear" w:color="auto" w:fill="F5F5F5"/>
          </w:tcPr>
          <w:p>
            <w:pPr>
              <w:spacing w:after="0" w:line="20" w:lineRule="exact"/>
              <w:rPr>
                <w:sz w:val="1"/>
                <w:szCs w:val="1"/>
                <w:color w:val="auto"/>
              </w:rPr>
            </w:pPr>
          </w:p>
        </w:tc>
        <w:tc>
          <w:tcPr>
            <w:tcW w:w="20" w:type="dxa"/>
            <w:vAlign w:val="bottom"/>
            <w:tcBorders>
              <w:top w:val="single" w:sz="8" w:color="0000FF"/>
            </w:tcBorders>
            <w:shd w:val="clear" w:color="auto" w:fill="F5F5F5"/>
          </w:tcPr>
          <w:p>
            <w:pPr>
              <w:spacing w:after="0" w:line="20" w:lineRule="exact"/>
              <w:rPr>
                <w:sz w:val="1"/>
                <w:szCs w:val="1"/>
                <w:color w:val="auto"/>
              </w:rPr>
            </w:pPr>
          </w:p>
        </w:tc>
        <w:tc>
          <w:tcPr>
            <w:tcW w:w="60" w:type="dxa"/>
            <w:vAlign w:val="bottom"/>
            <w:tcBorders>
              <w:top w:val="single" w:sz="8" w:color="0000FF"/>
            </w:tcBorders>
            <w:shd w:val="clear" w:color="auto" w:fill="F5F5F5"/>
          </w:tcPr>
          <w:p>
            <w:pPr>
              <w:spacing w:after="0" w:line="20" w:lineRule="exact"/>
              <w:rPr>
                <w:sz w:val="1"/>
                <w:szCs w:val="1"/>
                <w:color w:val="auto"/>
              </w:rPr>
            </w:pPr>
          </w:p>
        </w:tc>
        <w:tc>
          <w:tcPr>
            <w:tcW w:w="140" w:type="dxa"/>
            <w:vAlign w:val="bottom"/>
            <w:tcBorders>
              <w:top w:val="single" w:sz="8" w:color="0000FF"/>
            </w:tcBorders>
            <w:shd w:val="clear" w:color="auto" w:fill="F5F5F5"/>
          </w:tcPr>
          <w:p>
            <w:pPr>
              <w:spacing w:after="0" w:line="20" w:lineRule="exact"/>
              <w:rPr>
                <w:sz w:val="1"/>
                <w:szCs w:val="1"/>
                <w:color w:val="auto"/>
              </w:rPr>
            </w:pPr>
          </w:p>
        </w:tc>
        <w:tc>
          <w:tcPr>
            <w:tcW w:w="220" w:type="dxa"/>
            <w:vAlign w:val="bottom"/>
            <w:tcBorders>
              <w:top w:val="single" w:sz="8" w:color="0000FF"/>
            </w:tcBorders>
            <w:shd w:val="clear" w:color="auto" w:fill="F5F5F5"/>
          </w:tcPr>
          <w:p>
            <w:pPr>
              <w:spacing w:after="0" w:line="20" w:lineRule="exact"/>
              <w:rPr>
                <w:sz w:val="1"/>
                <w:szCs w:val="1"/>
                <w:color w:val="auto"/>
              </w:rPr>
            </w:pPr>
          </w:p>
        </w:tc>
        <w:tc>
          <w:tcPr>
            <w:tcW w:w="140" w:type="dxa"/>
            <w:vAlign w:val="bottom"/>
            <w:tcBorders>
              <w:top w:val="single" w:sz="8" w:color="0000FF"/>
            </w:tcBorders>
            <w:shd w:val="clear" w:color="auto" w:fill="F5F5F5"/>
          </w:tcPr>
          <w:p>
            <w:pPr>
              <w:spacing w:after="0" w:line="20" w:lineRule="exact"/>
              <w:rPr>
                <w:sz w:val="1"/>
                <w:szCs w:val="1"/>
                <w:color w:val="auto"/>
              </w:rPr>
            </w:pPr>
          </w:p>
        </w:tc>
        <w:tc>
          <w:tcPr>
            <w:tcW w:w="80" w:type="dxa"/>
            <w:vAlign w:val="bottom"/>
            <w:tcBorders>
              <w:top w:val="single" w:sz="8" w:color="0000FF"/>
            </w:tcBorders>
            <w:shd w:val="clear" w:color="auto" w:fill="F5F5F5"/>
          </w:tcPr>
          <w:p>
            <w:pPr>
              <w:spacing w:after="0" w:line="20" w:lineRule="exact"/>
              <w:rPr>
                <w:sz w:val="1"/>
                <w:szCs w:val="1"/>
                <w:color w:val="auto"/>
              </w:rPr>
            </w:pPr>
          </w:p>
        </w:tc>
        <w:tc>
          <w:tcPr>
            <w:tcW w:w="180" w:type="dxa"/>
            <w:vAlign w:val="bottom"/>
            <w:tcBorders>
              <w:top w:val="single" w:sz="8" w:color="0000FF"/>
            </w:tcBorders>
            <w:shd w:val="clear" w:color="auto" w:fill="F5F5F5"/>
          </w:tcPr>
          <w:p>
            <w:pPr>
              <w:spacing w:after="0" w:line="20" w:lineRule="exact"/>
              <w:rPr>
                <w:sz w:val="1"/>
                <w:szCs w:val="1"/>
                <w:color w:val="auto"/>
              </w:rPr>
            </w:pPr>
          </w:p>
        </w:tc>
        <w:tc>
          <w:tcPr>
            <w:tcW w:w="180" w:type="dxa"/>
            <w:vAlign w:val="bottom"/>
            <w:tcBorders>
              <w:top w:val="single" w:sz="8" w:color="F5F5F5"/>
            </w:tcBorders>
            <w:shd w:val="clear" w:color="auto" w:fill="F5F5F5"/>
          </w:tcPr>
          <w:p>
            <w:pPr>
              <w:spacing w:after="0" w:line="20" w:lineRule="exact"/>
              <w:rPr>
                <w:sz w:val="1"/>
                <w:szCs w:val="1"/>
                <w:color w:val="auto"/>
              </w:rPr>
            </w:pPr>
          </w:p>
        </w:tc>
        <w:tc>
          <w:tcPr>
            <w:tcW w:w="360" w:type="dxa"/>
            <w:vAlign w:val="bottom"/>
            <w:tcBorders>
              <w:top w:val="single" w:sz="8" w:color="F5F5F5"/>
            </w:tcBorders>
            <w:shd w:val="clear" w:color="auto" w:fill="F5F5F5"/>
          </w:tcPr>
          <w:p>
            <w:pPr>
              <w:spacing w:after="0" w:line="20" w:lineRule="exact"/>
              <w:rPr>
                <w:sz w:val="1"/>
                <w:szCs w:val="1"/>
                <w:color w:val="auto"/>
              </w:rPr>
            </w:pPr>
          </w:p>
        </w:tc>
        <w:tc>
          <w:tcPr>
            <w:tcW w:w="160" w:type="dxa"/>
            <w:vAlign w:val="bottom"/>
            <w:tcBorders>
              <w:top w:val="single" w:sz="8" w:color="F5F5F5"/>
            </w:tcBorders>
            <w:shd w:val="clear" w:color="auto" w:fill="F5F5F5"/>
          </w:tcPr>
          <w:p>
            <w:pPr>
              <w:spacing w:after="0" w:line="20" w:lineRule="exact"/>
              <w:rPr>
                <w:sz w:val="1"/>
                <w:szCs w:val="1"/>
                <w:color w:val="auto"/>
              </w:rPr>
            </w:pPr>
          </w:p>
        </w:tc>
        <w:tc>
          <w:tcPr>
            <w:tcW w:w="100" w:type="dxa"/>
            <w:vAlign w:val="bottom"/>
            <w:tcBorders>
              <w:top w:val="single" w:sz="8" w:color="F5F5F5"/>
            </w:tcBorders>
            <w:shd w:val="clear" w:color="auto" w:fill="F5F5F5"/>
          </w:tcPr>
          <w:p>
            <w:pPr>
              <w:spacing w:after="0" w:line="20" w:lineRule="exact"/>
              <w:rPr>
                <w:sz w:val="1"/>
                <w:szCs w:val="1"/>
                <w:color w:val="auto"/>
              </w:rPr>
            </w:pPr>
          </w:p>
        </w:tc>
        <w:tc>
          <w:tcPr>
            <w:tcW w:w="1000" w:type="dxa"/>
            <w:vAlign w:val="bottom"/>
            <w:tcBorders>
              <w:top w:val="single" w:sz="8" w:color="F5F5F5"/>
            </w:tcBorders>
            <w:shd w:val="clear" w:color="auto" w:fill="F5F5F5"/>
          </w:tcPr>
          <w:p>
            <w:pPr>
              <w:spacing w:after="0" w:line="20" w:lineRule="exact"/>
              <w:rPr>
                <w:sz w:val="1"/>
                <w:szCs w:val="1"/>
                <w:color w:val="auto"/>
              </w:rPr>
            </w:pPr>
          </w:p>
        </w:tc>
        <w:tc>
          <w:tcPr>
            <w:tcW w:w="320" w:type="dxa"/>
            <w:vAlign w:val="bottom"/>
            <w:tcBorders>
              <w:top w:val="single" w:sz="8" w:color="F5F5F5"/>
            </w:tcBorders>
            <w:shd w:val="clear" w:color="auto" w:fill="F5F5F5"/>
          </w:tcPr>
          <w:p>
            <w:pPr>
              <w:spacing w:after="0" w:line="20" w:lineRule="exact"/>
              <w:rPr>
                <w:sz w:val="1"/>
                <w:szCs w:val="1"/>
                <w:color w:val="auto"/>
              </w:rPr>
            </w:pPr>
          </w:p>
        </w:tc>
        <w:tc>
          <w:tcPr>
            <w:tcW w:w="4680" w:type="dxa"/>
            <w:vAlign w:val="bottom"/>
            <w:tcBorders>
              <w:top w:val="single" w:sz="8" w:color="F5F5F5"/>
            </w:tcBorders>
            <w:shd w:val="clear" w:color="auto" w:fill="F5F5F5"/>
          </w:tcPr>
          <w:p>
            <w:pPr>
              <w:spacing w:after="0" w:line="20" w:lineRule="exact"/>
              <w:rPr>
                <w:sz w:val="1"/>
                <w:szCs w:val="1"/>
                <w:color w:val="auto"/>
              </w:rPr>
            </w:pPr>
          </w:p>
        </w:tc>
        <w:tc>
          <w:tcPr>
            <w:tcW w:w="260" w:type="dxa"/>
            <w:vAlign w:val="bottom"/>
            <w:tcBorders>
              <w:top w:val="single" w:sz="8" w:color="F5F5F5"/>
            </w:tcBorders>
            <w:shd w:val="clear" w:color="auto" w:fill="F5F5F5"/>
          </w:tcPr>
          <w:p>
            <w:pPr>
              <w:spacing w:after="0" w:line="20" w:lineRule="exact"/>
              <w:rPr>
                <w:sz w:val="1"/>
                <w:szCs w:val="1"/>
                <w:color w:val="auto"/>
              </w:rPr>
            </w:pPr>
          </w:p>
        </w:tc>
        <w:tc>
          <w:tcPr>
            <w:tcW w:w="180" w:type="dxa"/>
            <w:vAlign w:val="bottom"/>
            <w:tcBorders>
              <w:top w:val="single" w:sz="8" w:color="0000FF"/>
            </w:tcBorders>
            <w:shd w:val="clear" w:color="auto" w:fill="F5F5F5"/>
          </w:tcPr>
          <w:p>
            <w:pPr>
              <w:spacing w:after="0" w:line="20" w:lineRule="exact"/>
              <w:rPr>
                <w:sz w:val="1"/>
                <w:szCs w:val="1"/>
                <w:color w:val="auto"/>
              </w:rPr>
            </w:pPr>
          </w:p>
        </w:tc>
        <w:tc>
          <w:tcPr>
            <w:tcW w:w="240" w:type="dxa"/>
            <w:vAlign w:val="bottom"/>
            <w:tcBorders>
              <w:top w:val="single" w:sz="8" w:color="F5F5F5"/>
            </w:tcBorders>
            <w:shd w:val="clear" w:color="auto" w:fill="F5F5F5"/>
          </w:tcPr>
          <w:p>
            <w:pPr>
              <w:spacing w:after="0" w:line="20" w:lineRule="exact"/>
              <w:rPr>
                <w:sz w:val="1"/>
                <w:szCs w:val="1"/>
                <w:color w:val="auto"/>
              </w:rPr>
            </w:pPr>
          </w:p>
        </w:tc>
        <w:tc>
          <w:tcPr>
            <w:tcW w:w="360" w:type="dxa"/>
            <w:vAlign w:val="bottom"/>
            <w:tcBorders>
              <w:top w:val="single" w:sz="8" w:color="F5F5F5"/>
            </w:tcBorders>
            <w:shd w:val="clear" w:color="auto" w:fill="F5F5F5"/>
          </w:tcPr>
          <w:p>
            <w:pPr>
              <w:spacing w:after="0" w:line="20" w:lineRule="exact"/>
              <w:rPr>
                <w:sz w:val="1"/>
                <w:szCs w:val="1"/>
                <w:color w:val="auto"/>
              </w:rPr>
            </w:pPr>
          </w:p>
        </w:tc>
      </w:tr>
      <w:tr>
        <w:trPr>
          <w:trHeight w:val="176"/>
        </w:trPr>
        <w:tc>
          <w:tcPr>
            <w:tcW w:w="1400" w:type="dxa"/>
            <w:vAlign w:val="bottom"/>
          </w:tcPr>
          <w:p>
            <w:pPr>
              <w:ind w:left="20"/>
              <w:spacing w:after="0" w:line="175" w:lineRule="exact"/>
              <w:rPr>
                <w:sz w:val="20"/>
                <w:szCs w:val="20"/>
                <w:color w:val="auto"/>
              </w:rPr>
            </w:pPr>
            <w:r>
              <w:rPr>
                <w:rFonts w:ascii="Arial" w:cs="Arial" w:eastAsia="Arial" w:hAnsi="Arial"/>
                <w:sz w:val="16"/>
                <w:szCs w:val="16"/>
                <w:color w:val="auto"/>
              </w:rPr>
              <w:t>Note 4.</w:t>
            </w:r>
          </w:p>
        </w:tc>
        <w:tc>
          <w:tcPr>
            <w:tcW w:w="1980" w:type="dxa"/>
            <w:vAlign w:val="bottom"/>
            <w:gridSpan w:val="11"/>
          </w:tcPr>
          <w:p>
            <w:pPr>
              <w:spacing w:after="0" w:line="175" w:lineRule="exact"/>
              <w:rPr>
                <w:sz w:val="20"/>
                <w:szCs w:val="20"/>
                <w:color w:val="auto"/>
              </w:rPr>
            </w:pPr>
            <w:r>
              <w:rPr>
                <w:rFonts w:ascii="Arial" w:cs="Arial" w:eastAsia="Arial" w:hAnsi="Arial"/>
                <w:sz w:val="16"/>
                <w:szCs w:val="16"/>
                <w:color w:val="0000FF"/>
              </w:rPr>
              <w:t>FAIR VALUE</w:t>
            </w:r>
          </w:p>
        </w:tc>
        <w:tc>
          <w:tcPr>
            <w:tcW w:w="6800" w:type="dxa"/>
            <w:vAlign w:val="bottom"/>
            <w:gridSpan w:val="7"/>
          </w:tcPr>
          <w:p>
            <w:pPr>
              <w:spacing w:after="0"/>
              <w:rPr>
                <w:sz w:val="15"/>
                <w:szCs w:val="15"/>
                <w:color w:val="auto"/>
              </w:rPr>
            </w:pPr>
          </w:p>
        </w:tc>
        <w:tc>
          <w:tcPr>
            <w:tcW w:w="680" w:type="dxa"/>
            <w:vAlign w:val="bottom"/>
            <w:gridSpan w:val="3"/>
          </w:tcPr>
          <w:p>
            <w:pPr>
              <w:jc w:val="center"/>
              <w:spacing w:after="0" w:line="175" w:lineRule="exact"/>
              <w:rPr>
                <w:sz w:val="20"/>
                <w:szCs w:val="20"/>
                <w:color w:val="auto"/>
              </w:rPr>
            </w:pPr>
            <w:r>
              <w:rPr>
                <w:rFonts w:ascii="Arial" w:cs="Arial" w:eastAsia="Arial" w:hAnsi="Arial"/>
                <w:sz w:val="16"/>
                <w:szCs w:val="16"/>
                <w:color w:val="0000FF"/>
              </w:rPr>
              <w:t>62</w:t>
            </w:r>
          </w:p>
        </w:tc>
        <w:tc>
          <w:tcPr>
            <w:tcW w:w="360" w:type="dxa"/>
            <w:vAlign w:val="bottom"/>
          </w:tcPr>
          <w:p>
            <w:pPr>
              <w:spacing w:after="0"/>
              <w:rPr>
                <w:sz w:val="15"/>
                <w:szCs w:val="15"/>
                <w:color w:val="auto"/>
              </w:rPr>
            </w:pPr>
          </w:p>
        </w:tc>
      </w:tr>
      <w:tr>
        <w:trPr>
          <w:trHeight w:val="21"/>
        </w:trPr>
        <w:tc>
          <w:tcPr>
            <w:tcW w:w="14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75"/>
        </w:trPr>
        <w:tc>
          <w:tcPr>
            <w:tcW w:w="1400" w:type="dxa"/>
            <w:vAlign w:val="bottom"/>
            <w:shd w:val="clear" w:color="auto" w:fill="F5F5F5"/>
          </w:tcPr>
          <w:p>
            <w:pPr>
              <w:ind w:left="20"/>
              <w:spacing w:after="0" w:line="175" w:lineRule="exact"/>
              <w:rPr>
                <w:sz w:val="20"/>
                <w:szCs w:val="20"/>
                <w:color w:val="auto"/>
              </w:rPr>
            </w:pPr>
            <w:r>
              <w:rPr>
                <w:rFonts w:ascii="Arial" w:cs="Arial" w:eastAsia="Arial" w:hAnsi="Arial"/>
                <w:sz w:val="16"/>
                <w:szCs w:val="16"/>
                <w:color w:val="auto"/>
              </w:rPr>
              <w:t>Note 5.</w:t>
            </w:r>
          </w:p>
        </w:tc>
        <w:tc>
          <w:tcPr>
            <w:tcW w:w="1160" w:type="dxa"/>
            <w:vAlign w:val="bottom"/>
            <w:gridSpan w:val="5"/>
            <w:shd w:val="clear" w:color="auto" w:fill="F5F5F5"/>
          </w:tcPr>
          <w:p>
            <w:pPr>
              <w:spacing w:after="0" w:line="175" w:lineRule="exact"/>
              <w:rPr>
                <w:sz w:val="20"/>
                <w:szCs w:val="20"/>
                <w:color w:val="auto"/>
              </w:rPr>
            </w:pPr>
            <w:r>
              <w:rPr>
                <w:rFonts w:ascii="Arial" w:cs="Arial" w:eastAsia="Arial" w:hAnsi="Arial"/>
                <w:sz w:val="16"/>
                <w:szCs w:val="16"/>
                <w:color w:val="0000FF"/>
              </w:rPr>
              <w:t>INVESTMENTS</w:t>
            </w:r>
          </w:p>
        </w:tc>
        <w:tc>
          <w:tcPr>
            <w:tcW w:w="7620" w:type="dxa"/>
            <w:vAlign w:val="bottom"/>
            <w:gridSpan w:val="13"/>
            <w:shd w:val="clear" w:color="auto" w:fill="F5F5F5"/>
          </w:tcPr>
          <w:p>
            <w:pPr>
              <w:spacing w:after="0"/>
              <w:rPr>
                <w:sz w:val="15"/>
                <w:szCs w:val="15"/>
                <w:color w:val="auto"/>
              </w:rPr>
            </w:pPr>
          </w:p>
        </w:tc>
        <w:tc>
          <w:tcPr>
            <w:tcW w:w="680" w:type="dxa"/>
            <w:vAlign w:val="bottom"/>
            <w:gridSpan w:val="3"/>
            <w:shd w:val="clear" w:color="auto" w:fill="F5F5F5"/>
          </w:tcPr>
          <w:p>
            <w:pPr>
              <w:jc w:val="center"/>
              <w:spacing w:after="0" w:line="175" w:lineRule="exact"/>
              <w:rPr>
                <w:sz w:val="20"/>
                <w:szCs w:val="20"/>
                <w:color w:val="auto"/>
              </w:rPr>
            </w:pPr>
            <w:r>
              <w:rPr>
                <w:rFonts w:ascii="Arial" w:cs="Arial" w:eastAsia="Arial" w:hAnsi="Arial"/>
                <w:sz w:val="16"/>
                <w:szCs w:val="16"/>
                <w:color w:val="0000FF"/>
              </w:rPr>
              <w:t>63</w:t>
            </w:r>
          </w:p>
        </w:tc>
        <w:tc>
          <w:tcPr>
            <w:tcW w:w="360" w:type="dxa"/>
            <w:vAlign w:val="bottom"/>
            <w:shd w:val="clear" w:color="auto" w:fill="F5F5F5"/>
          </w:tcPr>
          <w:p>
            <w:pPr>
              <w:spacing w:after="0"/>
              <w:rPr>
                <w:sz w:val="15"/>
                <w:szCs w:val="15"/>
                <w:color w:val="auto"/>
              </w:rPr>
            </w:pPr>
          </w:p>
        </w:tc>
      </w:tr>
      <w:tr>
        <w:trPr>
          <w:trHeight w:val="21"/>
        </w:trPr>
        <w:tc>
          <w:tcPr>
            <w:tcW w:w="1400" w:type="dxa"/>
            <w:vAlign w:val="bottom"/>
            <w:tcBorders>
              <w:top w:val="single" w:sz="8" w:color="F5F5F5"/>
            </w:tcBorders>
            <w:shd w:val="clear" w:color="auto" w:fill="F5F5F5"/>
          </w:tcPr>
          <w:p>
            <w:pPr>
              <w:spacing w:after="0" w:line="20" w:lineRule="exact"/>
              <w:rPr>
                <w:sz w:val="1"/>
                <w:szCs w:val="1"/>
                <w:color w:val="auto"/>
              </w:rPr>
            </w:pPr>
          </w:p>
        </w:tc>
        <w:tc>
          <w:tcPr>
            <w:tcW w:w="640" w:type="dxa"/>
            <w:vAlign w:val="bottom"/>
            <w:tcBorders>
              <w:top w:val="single" w:sz="8" w:color="0000FF"/>
            </w:tcBorders>
            <w:shd w:val="clear" w:color="auto" w:fill="F5F5F5"/>
          </w:tcPr>
          <w:p>
            <w:pPr>
              <w:spacing w:after="0" w:line="20" w:lineRule="exact"/>
              <w:rPr>
                <w:sz w:val="1"/>
                <w:szCs w:val="1"/>
                <w:color w:val="auto"/>
              </w:rPr>
            </w:pPr>
          </w:p>
        </w:tc>
        <w:tc>
          <w:tcPr>
            <w:tcW w:w="280" w:type="dxa"/>
            <w:vAlign w:val="bottom"/>
            <w:tcBorders>
              <w:top w:val="single" w:sz="8" w:color="0000FF"/>
            </w:tcBorders>
            <w:shd w:val="clear" w:color="auto" w:fill="F5F5F5"/>
          </w:tcPr>
          <w:p>
            <w:pPr>
              <w:spacing w:after="0" w:line="20" w:lineRule="exact"/>
              <w:rPr>
                <w:sz w:val="1"/>
                <w:szCs w:val="1"/>
                <w:color w:val="auto"/>
              </w:rPr>
            </w:pPr>
          </w:p>
        </w:tc>
        <w:tc>
          <w:tcPr>
            <w:tcW w:w="180" w:type="dxa"/>
            <w:vAlign w:val="bottom"/>
            <w:tcBorders>
              <w:top w:val="single" w:sz="8" w:color="0000FF"/>
            </w:tcBorders>
            <w:shd w:val="clear" w:color="auto" w:fill="F5F5F5"/>
          </w:tcPr>
          <w:p>
            <w:pPr>
              <w:spacing w:after="0" w:line="20" w:lineRule="exact"/>
              <w:rPr>
                <w:sz w:val="1"/>
                <w:szCs w:val="1"/>
                <w:color w:val="auto"/>
              </w:rPr>
            </w:pPr>
          </w:p>
        </w:tc>
        <w:tc>
          <w:tcPr>
            <w:tcW w:w="40" w:type="dxa"/>
            <w:vAlign w:val="bottom"/>
            <w:tcBorders>
              <w:top w:val="single" w:sz="8" w:color="0000FF"/>
            </w:tcBorders>
            <w:shd w:val="clear" w:color="auto" w:fill="F5F5F5"/>
          </w:tcPr>
          <w:p>
            <w:pPr>
              <w:spacing w:after="0" w:line="20" w:lineRule="exact"/>
              <w:rPr>
                <w:sz w:val="1"/>
                <w:szCs w:val="1"/>
                <w:color w:val="auto"/>
              </w:rPr>
            </w:pPr>
          </w:p>
        </w:tc>
        <w:tc>
          <w:tcPr>
            <w:tcW w:w="20" w:type="dxa"/>
            <w:vAlign w:val="bottom"/>
            <w:tcBorders>
              <w:top w:val="single" w:sz="8" w:color="0000FF"/>
            </w:tcBorders>
            <w:shd w:val="clear" w:color="auto" w:fill="F5F5F5"/>
          </w:tcPr>
          <w:p>
            <w:pPr>
              <w:spacing w:after="0" w:line="20" w:lineRule="exact"/>
              <w:rPr>
                <w:sz w:val="1"/>
                <w:szCs w:val="1"/>
                <w:color w:val="auto"/>
              </w:rPr>
            </w:pPr>
          </w:p>
        </w:tc>
        <w:tc>
          <w:tcPr>
            <w:tcW w:w="60" w:type="dxa"/>
            <w:vAlign w:val="bottom"/>
            <w:tcBorders>
              <w:top w:val="single" w:sz="8" w:color="F5F5F5"/>
            </w:tcBorders>
            <w:shd w:val="clear" w:color="auto" w:fill="F5F5F5"/>
          </w:tcPr>
          <w:p>
            <w:pPr>
              <w:spacing w:after="0" w:line="20" w:lineRule="exact"/>
              <w:rPr>
                <w:sz w:val="1"/>
                <w:szCs w:val="1"/>
                <w:color w:val="auto"/>
              </w:rPr>
            </w:pPr>
          </w:p>
        </w:tc>
        <w:tc>
          <w:tcPr>
            <w:tcW w:w="140" w:type="dxa"/>
            <w:vAlign w:val="bottom"/>
            <w:tcBorders>
              <w:top w:val="single" w:sz="8" w:color="F5F5F5"/>
            </w:tcBorders>
            <w:shd w:val="clear" w:color="auto" w:fill="F5F5F5"/>
          </w:tcPr>
          <w:p>
            <w:pPr>
              <w:spacing w:after="0" w:line="20" w:lineRule="exact"/>
              <w:rPr>
                <w:sz w:val="1"/>
                <w:szCs w:val="1"/>
                <w:color w:val="auto"/>
              </w:rPr>
            </w:pPr>
          </w:p>
        </w:tc>
        <w:tc>
          <w:tcPr>
            <w:tcW w:w="220" w:type="dxa"/>
            <w:vAlign w:val="bottom"/>
            <w:tcBorders>
              <w:top w:val="single" w:sz="8" w:color="F5F5F5"/>
            </w:tcBorders>
            <w:shd w:val="clear" w:color="auto" w:fill="F5F5F5"/>
          </w:tcPr>
          <w:p>
            <w:pPr>
              <w:spacing w:after="0" w:line="20" w:lineRule="exact"/>
              <w:rPr>
                <w:sz w:val="1"/>
                <w:szCs w:val="1"/>
                <w:color w:val="auto"/>
              </w:rPr>
            </w:pPr>
          </w:p>
        </w:tc>
        <w:tc>
          <w:tcPr>
            <w:tcW w:w="140" w:type="dxa"/>
            <w:vAlign w:val="bottom"/>
            <w:tcBorders>
              <w:top w:val="single" w:sz="8" w:color="F5F5F5"/>
            </w:tcBorders>
            <w:shd w:val="clear" w:color="auto" w:fill="F5F5F5"/>
          </w:tcPr>
          <w:p>
            <w:pPr>
              <w:spacing w:after="0" w:line="20" w:lineRule="exact"/>
              <w:rPr>
                <w:sz w:val="1"/>
                <w:szCs w:val="1"/>
                <w:color w:val="auto"/>
              </w:rPr>
            </w:pPr>
          </w:p>
        </w:tc>
        <w:tc>
          <w:tcPr>
            <w:tcW w:w="80" w:type="dxa"/>
            <w:vAlign w:val="bottom"/>
            <w:tcBorders>
              <w:top w:val="single" w:sz="8" w:color="F5F5F5"/>
            </w:tcBorders>
            <w:shd w:val="clear" w:color="auto" w:fill="F5F5F5"/>
          </w:tcPr>
          <w:p>
            <w:pPr>
              <w:spacing w:after="0" w:line="20" w:lineRule="exact"/>
              <w:rPr>
                <w:sz w:val="1"/>
                <w:szCs w:val="1"/>
                <w:color w:val="auto"/>
              </w:rPr>
            </w:pPr>
          </w:p>
        </w:tc>
        <w:tc>
          <w:tcPr>
            <w:tcW w:w="180" w:type="dxa"/>
            <w:vAlign w:val="bottom"/>
            <w:tcBorders>
              <w:top w:val="single" w:sz="8" w:color="F5F5F5"/>
            </w:tcBorders>
            <w:shd w:val="clear" w:color="auto" w:fill="F5F5F5"/>
          </w:tcPr>
          <w:p>
            <w:pPr>
              <w:spacing w:after="0" w:line="20" w:lineRule="exact"/>
              <w:rPr>
                <w:sz w:val="1"/>
                <w:szCs w:val="1"/>
                <w:color w:val="auto"/>
              </w:rPr>
            </w:pPr>
          </w:p>
        </w:tc>
        <w:tc>
          <w:tcPr>
            <w:tcW w:w="180" w:type="dxa"/>
            <w:vAlign w:val="bottom"/>
            <w:tcBorders>
              <w:top w:val="single" w:sz="8" w:color="F5F5F5"/>
            </w:tcBorders>
            <w:shd w:val="clear" w:color="auto" w:fill="F5F5F5"/>
          </w:tcPr>
          <w:p>
            <w:pPr>
              <w:spacing w:after="0" w:line="20" w:lineRule="exact"/>
              <w:rPr>
                <w:sz w:val="1"/>
                <w:szCs w:val="1"/>
                <w:color w:val="auto"/>
              </w:rPr>
            </w:pPr>
          </w:p>
        </w:tc>
        <w:tc>
          <w:tcPr>
            <w:tcW w:w="360" w:type="dxa"/>
            <w:vAlign w:val="bottom"/>
            <w:tcBorders>
              <w:top w:val="single" w:sz="8" w:color="F5F5F5"/>
            </w:tcBorders>
            <w:shd w:val="clear" w:color="auto" w:fill="F5F5F5"/>
          </w:tcPr>
          <w:p>
            <w:pPr>
              <w:spacing w:after="0" w:line="20" w:lineRule="exact"/>
              <w:rPr>
                <w:sz w:val="1"/>
                <w:szCs w:val="1"/>
                <w:color w:val="auto"/>
              </w:rPr>
            </w:pPr>
          </w:p>
        </w:tc>
        <w:tc>
          <w:tcPr>
            <w:tcW w:w="160" w:type="dxa"/>
            <w:vAlign w:val="bottom"/>
            <w:tcBorders>
              <w:top w:val="single" w:sz="8" w:color="F5F5F5"/>
            </w:tcBorders>
            <w:shd w:val="clear" w:color="auto" w:fill="F5F5F5"/>
          </w:tcPr>
          <w:p>
            <w:pPr>
              <w:spacing w:after="0" w:line="20" w:lineRule="exact"/>
              <w:rPr>
                <w:sz w:val="1"/>
                <w:szCs w:val="1"/>
                <w:color w:val="auto"/>
              </w:rPr>
            </w:pPr>
          </w:p>
        </w:tc>
        <w:tc>
          <w:tcPr>
            <w:tcW w:w="100" w:type="dxa"/>
            <w:vAlign w:val="bottom"/>
            <w:tcBorders>
              <w:top w:val="single" w:sz="8" w:color="F5F5F5"/>
            </w:tcBorders>
            <w:shd w:val="clear" w:color="auto" w:fill="F5F5F5"/>
          </w:tcPr>
          <w:p>
            <w:pPr>
              <w:spacing w:after="0" w:line="20" w:lineRule="exact"/>
              <w:rPr>
                <w:sz w:val="1"/>
                <w:szCs w:val="1"/>
                <w:color w:val="auto"/>
              </w:rPr>
            </w:pPr>
          </w:p>
        </w:tc>
        <w:tc>
          <w:tcPr>
            <w:tcW w:w="1000" w:type="dxa"/>
            <w:vAlign w:val="bottom"/>
            <w:tcBorders>
              <w:top w:val="single" w:sz="8" w:color="F5F5F5"/>
            </w:tcBorders>
            <w:shd w:val="clear" w:color="auto" w:fill="F5F5F5"/>
          </w:tcPr>
          <w:p>
            <w:pPr>
              <w:spacing w:after="0" w:line="20" w:lineRule="exact"/>
              <w:rPr>
                <w:sz w:val="1"/>
                <w:szCs w:val="1"/>
                <w:color w:val="auto"/>
              </w:rPr>
            </w:pPr>
          </w:p>
        </w:tc>
        <w:tc>
          <w:tcPr>
            <w:tcW w:w="320" w:type="dxa"/>
            <w:vAlign w:val="bottom"/>
            <w:tcBorders>
              <w:top w:val="single" w:sz="8" w:color="F5F5F5"/>
            </w:tcBorders>
            <w:shd w:val="clear" w:color="auto" w:fill="F5F5F5"/>
          </w:tcPr>
          <w:p>
            <w:pPr>
              <w:spacing w:after="0" w:line="20" w:lineRule="exact"/>
              <w:rPr>
                <w:sz w:val="1"/>
                <w:szCs w:val="1"/>
                <w:color w:val="auto"/>
              </w:rPr>
            </w:pPr>
          </w:p>
        </w:tc>
        <w:tc>
          <w:tcPr>
            <w:tcW w:w="4680" w:type="dxa"/>
            <w:vAlign w:val="bottom"/>
            <w:tcBorders>
              <w:top w:val="single" w:sz="8" w:color="F5F5F5"/>
            </w:tcBorders>
            <w:shd w:val="clear" w:color="auto" w:fill="F5F5F5"/>
          </w:tcPr>
          <w:p>
            <w:pPr>
              <w:spacing w:after="0" w:line="20" w:lineRule="exact"/>
              <w:rPr>
                <w:sz w:val="1"/>
                <w:szCs w:val="1"/>
                <w:color w:val="auto"/>
              </w:rPr>
            </w:pPr>
          </w:p>
        </w:tc>
        <w:tc>
          <w:tcPr>
            <w:tcW w:w="260" w:type="dxa"/>
            <w:vAlign w:val="bottom"/>
            <w:tcBorders>
              <w:top w:val="single" w:sz="8" w:color="F5F5F5"/>
            </w:tcBorders>
            <w:shd w:val="clear" w:color="auto" w:fill="F5F5F5"/>
          </w:tcPr>
          <w:p>
            <w:pPr>
              <w:spacing w:after="0" w:line="20" w:lineRule="exact"/>
              <w:rPr>
                <w:sz w:val="1"/>
                <w:szCs w:val="1"/>
                <w:color w:val="auto"/>
              </w:rPr>
            </w:pPr>
          </w:p>
        </w:tc>
        <w:tc>
          <w:tcPr>
            <w:tcW w:w="180" w:type="dxa"/>
            <w:vAlign w:val="bottom"/>
            <w:tcBorders>
              <w:top w:val="single" w:sz="8" w:color="0000FF"/>
            </w:tcBorders>
            <w:shd w:val="clear" w:color="auto" w:fill="F5F5F5"/>
          </w:tcPr>
          <w:p>
            <w:pPr>
              <w:spacing w:after="0" w:line="20" w:lineRule="exact"/>
              <w:rPr>
                <w:sz w:val="1"/>
                <w:szCs w:val="1"/>
                <w:color w:val="auto"/>
              </w:rPr>
            </w:pPr>
          </w:p>
        </w:tc>
        <w:tc>
          <w:tcPr>
            <w:tcW w:w="240" w:type="dxa"/>
            <w:vAlign w:val="bottom"/>
            <w:tcBorders>
              <w:top w:val="single" w:sz="8" w:color="F5F5F5"/>
            </w:tcBorders>
            <w:shd w:val="clear" w:color="auto" w:fill="F5F5F5"/>
          </w:tcPr>
          <w:p>
            <w:pPr>
              <w:spacing w:after="0" w:line="20" w:lineRule="exact"/>
              <w:rPr>
                <w:sz w:val="1"/>
                <w:szCs w:val="1"/>
                <w:color w:val="auto"/>
              </w:rPr>
            </w:pPr>
          </w:p>
        </w:tc>
        <w:tc>
          <w:tcPr>
            <w:tcW w:w="360" w:type="dxa"/>
            <w:vAlign w:val="bottom"/>
            <w:tcBorders>
              <w:top w:val="single" w:sz="8" w:color="F5F5F5"/>
            </w:tcBorders>
            <w:shd w:val="clear" w:color="auto" w:fill="F5F5F5"/>
          </w:tcPr>
          <w:p>
            <w:pPr>
              <w:spacing w:after="0" w:line="20" w:lineRule="exact"/>
              <w:rPr>
                <w:sz w:val="1"/>
                <w:szCs w:val="1"/>
                <w:color w:val="auto"/>
              </w:rPr>
            </w:pPr>
          </w:p>
        </w:tc>
      </w:tr>
      <w:tr>
        <w:trPr>
          <w:trHeight w:val="175"/>
        </w:trPr>
        <w:tc>
          <w:tcPr>
            <w:tcW w:w="1400" w:type="dxa"/>
            <w:vAlign w:val="bottom"/>
          </w:tcPr>
          <w:p>
            <w:pPr>
              <w:ind w:left="20"/>
              <w:spacing w:after="0" w:line="175" w:lineRule="exact"/>
              <w:rPr>
                <w:sz w:val="20"/>
                <w:szCs w:val="20"/>
                <w:color w:val="auto"/>
              </w:rPr>
            </w:pPr>
            <w:r>
              <w:rPr>
                <w:rFonts w:ascii="Arial" w:cs="Arial" w:eastAsia="Arial" w:hAnsi="Arial"/>
                <w:sz w:val="16"/>
                <w:szCs w:val="16"/>
                <w:color w:val="auto"/>
              </w:rPr>
              <w:t>Note 6.</w:t>
            </w:r>
          </w:p>
        </w:tc>
        <w:tc>
          <w:tcPr>
            <w:tcW w:w="1160" w:type="dxa"/>
            <w:vAlign w:val="bottom"/>
            <w:gridSpan w:val="5"/>
          </w:tcPr>
          <w:p>
            <w:pPr>
              <w:spacing w:after="0" w:line="175" w:lineRule="exact"/>
              <w:rPr>
                <w:sz w:val="20"/>
                <w:szCs w:val="20"/>
                <w:color w:val="auto"/>
              </w:rPr>
            </w:pPr>
            <w:r>
              <w:rPr>
                <w:rFonts w:ascii="Arial" w:cs="Arial" w:eastAsia="Arial" w:hAnsi="Arial"/>
                <w:sz w:val="16"/>
                <w:szCs w:val="16"/>
                <w:color w:val="0000FF"/>
              </w:rPr>
              <w:t>INVENTORIES</w:t>
            </w:r>
          </w:p>
        </w:tc>
        <w:tc>
          <w:tcPr>
            <w:tcW w:w="7620" w:type="dxa"/>
            <w:vAlign w:val="bottom"/>
            <w:gridSpan w:val="13"/>
          </w:tcPr>
          <w:p>
            <w:pPr>
              <w:spacing w:after="0"/>
              <w:rPr>
                <w:sz w:val="15"/>
                <w:szCs w:val="15"/>
                <w:color w:val="auto"/>
              </w:rPr>
            </w:pPr>
          </w:p>
        </w:tc>
        <w:tc>
          <w:tcPr>
            <w:tcW w:w="680" w:type="dxa"/>
            <w:vAlign w:val="bottom"/>
            <w:gridSpan w:val="3"/>
          </w:tcPr>
          <w:p>
            <w:pPr>
              <w:jc w:val="center"/>
              <w:spacing w:after="0" w:line="175" w:lineRule="exact"/>
              <w:rPr>
                <w:sz w:val="20"/>
                <w:szCs w:val="20"/>
                <w:color w:val="auto"/>
              </w:rPr>
            </w:pPr>
            <w:r>
              <w:rPr>
                <w:rFonts w:ascii="Arial" w:cs="Arial" w:eastAsia="Arial" w:hAnsi="Arial"/>
                <w:sz w:val="16"/>
                <w:szCs w:val="16"/>
                <w:color w:val="0000FF"/>
              </w:rPr>
              <w:t>63</w:t>
            </w:r>
          </w:p>
        </w:tc>
        <w:tc>
          <w:tcPr>
            <w:tcW w:w="360" w:type="dxa"/>
            <w:vAlign w:val="bottom"/>
          </w:tcPr>
          <w:p>
            <w:pPr>
              <w:spacing w:after="0"/>
              <w:rPr>
                <w:sz w:val="15"/>
                <w:szCs w:val="15"/>
                <w:color w:val="auto"/>
              </w:rPr>
            </w:pPr>
          </w:p>
        </w:tc>
      </w:tr>
      <w:tr>
        <w:trPr>
          <w:trHeight w:val="21"/>
        </w:trPr>
        <w:tc>
          <w:tcPr>
            <w:tcW w:w="14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76"/>
        </w:trPr>
        <w:tc>
          <w:tcPr>
            <w:tcW w:w="1400" w:type="dxa"/>
            <w:vAlign w:val="bottom"/>
            <w:shd w:val="clear" w:color="auto" w:fill="F5F5F5"/>
          </w:tcPr>
          <w:p>
            <w:pPr>
              <w:ind w:left="20"/>
              <w:spacing w:after="0" w:line="175" w:lineRule="exact"/>
              <w:rPr>
                <w:sz w:val="20"/>
                <w:szCs w:val="20"/>
                <w:color w:val="auto"/>
              </w:rPr>
            </w:pPr>
            <w:r>
              <w:rPr>
                <w:rFonts w:ascii="Arial" w:cs="Arial" w:eastAsia="Arial" w:hAnsi="Arial"/>
                <w:sz w:val="16"/>
                <w:szCs w:val="16"/>
                <w:color w:val="auto"/>
              </w:rPr>
              <w:t>Note 7.</w:t>
            </w:r>
          </w:p>
        </w:tc>
        <w:tc>
          <w:tcPr>
            <w:tcW w:w="8780" w:type="dxa"/>
            <w:vAlign w:val="bottom"/>
            <w:gridSpan w:val="18"/>
            <w:shd w:val="clear" w:color="auto" w:fill="F5F5F5"/>
          </w:tcPr>
          <w:p>
            <w:pPr>
              <w:spacing w:after="0" w:line="175" w:lineRule="exact"/>
              <w:rPr>
                <w:sz w:val="20"/>
                <w:szCs w:val="20"/>
                <w:color w:val="auto"/>
              </w:rPr>
            </w:pPr>
            <w:r>
              <w:rPr>
                <w:rFonts w:ascii="Arial" w:cs="Arial" w:eastAsia="Arial" w:hAnsi="Arial"/>
                <w:sz w:val="16"/>
                <w:szCs w:val="16"/>
                <w:color w:val="0000FF"/>
              </w:rPr>
              <w:t>PROPERTY AND EQUIPMENT, NET</w:t>
            </w:r>
          </w:p>
        </w:tc>
        <w:tc>
          <w:tcPr>
            <w:tcW w:w="680" w:type="dxa"/>
            <w:vAlign w:val="bottom"/>
            <w:gridSpan w:val="3"/>
            <w:shd w:val="clear" w:color="auto" w:fill="F5F5F5"/>
          </w:tcPr>
          <w:p>
            <w:pPr>
              <w:jc w:val="center"/>
              <w:spacing w:after="0" w:line="175" w:lineRule="exact"/>
              <w:rPr>
                <w:sz w:val="20"/>
                <w:szCs w:val="20"/>
                <w:color w:val="auto"/>
              </w:rPr>
            </w:pPr>
            <w:r>
              <w:rPr>
                <w:rFonts w:ascii="Arial" w:cs="Arial" w:eastAsia="Arial" w:hAnsi="Arial"/>
                <w:sz w:val="16"/>
                <w:szCs w:val="16"/>
                <w:color w:val="0000FF"/>
              </w:rPr>
              <w:t>64</w:t>
            </w:r>
          </w:p>
        </w:tc>
        <w:tc>
          <w:tcPr>
            <w:tcW w:w="360" w:type="dxa"/>
            <w:vAlign w:val="bottom"/>
            <w:shd w:val="clear" w:color="auto" w:fill="F5F5F5"/>
          </w:tcPr>
          <w:p>
            <w:pPr>
              <w:spacing w:after="0"/>
              <w:rPr>
                <w:sz w:val="15"/>
                <w:szCs w:val="15"/>
                <w:color w:val="auto"/>
              </w:rPr>
            </w:pPr>
          </w:p>
        </w:tc>
      </w:tr>
      <w:tr>
        <w:trPr>
          <w:trHeight w:val="20"/>
        </w:trPr>
        <w:tc>
          <w:tcPr>
            <w:tcW w:w="1400" w:type="dxa"/>
            <w:vAlign w:val="bottom"/>
            <w:tcBorders>
              <w:top w:val="single" w:sz="8" w:color="F5F5F5"/>
            </w:tcBorders>
            <w:shd w:val="clear" w:color="auto" w:fill="F5F5F5"/>
          </w:tcPr>
          <w:p>
            <w:pPr>
              <w:spacing w:after="0" w:line="20" w:lineRule="exact"/>
              <w:rPr>
                <w:sz w:val="1"/>
                <w:szCs w:val="1"/>
                <w:color w:val="auto"/>
              </w:rPr>
            </w:pPr>
          </w:p>
        </w:tc>
        <w:tc>
          <w:tcPr>
            <w:tcW w:w="640" w:type="dxa"/>
            <w:vAlign w:val="bottom"/>
            <w:tcBorders>
              <w:top w:val="single" w:sz="8" w:color="0000FF"/>
            </w:tcBorders>
            <w:shd w:val="clear" w:color="auto" w:fill="F5F5F5"/>
          </w:tcPr>
          <w:p>
            <w:pPr>
              <w:spacing w:after="0" w:line="20" w:lineRule="exact"/>
              <w:rPr>
                <w:sz w:val="1"/>
                <w:szCs w:val="1"/>
                <w:color w:val="auto"/>
              </w:rPr>
            </w:pPr>
          </w:p>
        </w:tc>
        <w:tc>
          <w:tcPr>
            <w:tcW w:w="280" w:type="dxa"/>
            <w:vAlign w:val="bottom"/>
            <w:tcBorders>
              <w:top w:val="single" w:sz="8" w:color="0000FF"/>
            </w:tcBorders>
            <w:shd w:val="clear" w:color="auto" w:fill="F5F5F5"/>
          </w:tcPr>
          <w:p>
            <w:pPr>
              <w:spacing w:after="0" w:line="20" w:lineRule="exact"/>
              <w:rPr>
                <w:sz w:val="1"/>
                <w:szCs w:val="1"/>
                <w:color w:val="auto"/>
              </w:rPr>
            </w:pPr>
          </w:p>
        </w:tc>
        <w:tc>
          <w:tcPr>
            <w:tcW w:w="180" w:type="dxa"/>
            <w:vAlign w:val="bottom"/>
            <w:tcBorders>
              <w:top w:val="single" w:sz="8" w:color="0000FF"/>
            </w:tcBorders>
            <w:shd w:val="clear" w:color="auto" w:fill="F5F5F5"/>
          </w:tcPr>
          <w:p>
            <w:pPr>
              <w:spacing w:after="0" w:line="20" w:lineRule="exact"/>
              <w:rPr>
                <w:sz w:val="1"/>
                <w:szCs w:val="1"/>
                <w:color w:val="auto"/>
              </w:rPr>
            </w:pPr>
          </w:p>
        </w:tc>
        <w:tc>
          <w:tcPr>
            <w:tcW w:w="40" w:type="dxa"/>
            <w:vAlign w:val="bottom"/>
            <w:tcBorders>
              <w:top w:val="single" w:sz="8" w:color="0000FF"/>
            </w:tcBorders>
            <w:shd w:val="clear" w:color="auto" w:fill="F5F5F5"/>
          </w:tcPr>
          <w:p>
            <w:pPr>
              <w:spacing w:after="0" w:line="20" w:lineRule="exact"/>
              <w:rPr>
                <w:sz w:val="1"/>
                <w:szCs w:val="1"/>
                <w:color w:val="auto"/>
              </w:rPr>
            </w:pPr>
          </w:p>
        </w:tc>
        <w:tc>
          <w:tcPr>
            <w:tcW w:w="20" w:type="dxa"/>
            <w:vAlign w:val="bottom"/>
            <w:tcBorders>
              <w:top w:val="single" w:sz="8" w:color="0000FF"/>
            </w:tcBorders>
            <w:shd w:val="clear" w:color="auto" w:fill="F5F5F5"/>
          </w:tcPr>
          <w:p>
            <w:pPr>
              <w:spacing w:after="0" w:line="20" w:lineRule="exact"/>
              <w:rPr>
                <w:sz w:val="1"/>
                <w:szCs w:val="1"/>
                <w:color w:val="auto"/>
              </w:rPr>
            </w:pPr>
          </w:p>
        </w:tc>
        <w:tc>
          <w:tcPr>
            <w:tcW w:w="60" w:type="dxa"/>
            <w:vAlign w:val="bottom"/>
            <w:tcBorders>
              <w:top w:val="single" w:sz="8" w:color="0000FF"/>
            </w:tcBorders>
            <w:shd w:val="clear" w:color="auto" w:fill="F5F5F5"/>
          </w:tcPr>
          <w:p>
            <w:pPr>
              <w:spacing w:after="0" w:line="20" w:lineRule="exact"/>
              <w:rPr>
                <w:sz w:val="1"/>
                <w:szCs w:val="1"/>
                <w:color w:val="auto"/>
              </w:rPr>
            </w:pPr>
          </w:p>
        </w:tc>
        <w:tc>
          <w:tcPr>
            <w:tcW w:w="140" w:type="dxa"/>
            <w:vAlign w:val="bottom"/>
            <w:tcBorders>
              <w:top w:val="single" w:sz="8" w:color="0000FF"/>
            </w:tcBorders>
            <w:shd w:val="clear" w:color="auto" w:fill="F5F5F5"/>
          </w:tcPr>
          <w:p>
            <w:pPr>
              <w:spacing w:after="0" w:line="20" w:lineRule="exact"/>
              <w:rPr>
                <w:sz w:val="1"/>
                <w:szCs w:val="1"/>
                <w:color w:val="auto"/>
              </w:rPr>
            </w:pPr>
          </w:p>
        </w:tc>
        <w:tc>
          <w:tcPr>
            <w:tcW w:w="220" w:type="dxa"/>
            <w:vAlign w:val="bottom"/>
            <w:tcBorders>
              <w:top w:val="single" w:sz="8" w:color="0000FF"/>
            </w:tcBorders>
            <w:shd w:val="clear" w:color="auto" w:fill="F5F5F5"/>
          </w:tcPr>
          <w:p>
            <w:pPr>
              <w:spacing w:after="0" w:line="20" w:lineRule="exact"/>
              <w:rPr>
                <w:sz w:val="1"/>
                <w:szCs w:val="1"/>
                <w:color w:val="auto"/>
              </w:rPr>
            </w:pPr>
          </w:p>
        </w:tc>
        <w:tc>
          <w:tcPr>
            <w:tcW w:w="140" w:type="dxa"/>
            <w:vAlign w:val="bottom"/>
            <w:tcBorders>
              <w:top w:val="single" w:sz="8" w:color="0000FF"/>
            </w:tcBorders>
            <w:shd w:val="clear" w:color="auto" w:fill="F5F5F5"/>
          </w:tcPr>
          <w:p>
            <w:pPr>
              <w:spacing w:after="0" w:line="20" w:lineRule="exact"/>
              <w:rPr>
                <w:sz w:val="1"/>
                <w:szCs w:val="1"/>
                <w:color w:val="auto"/>
              </w:rPr>
            </w:pPr>
          </w:p>
        </w:tc>
        <w:tc>
          <w:tcPr>
            <w:tcW w:w="80" w:type="dxa"/>
            <w:vAlign w:val="bottom"/>
            <w:tcBorders>
              <w:top w:val="single" w:sz="8" w:color="0000FF"/>
            </w:tcBorders>
            <w:shd w:val="clear" w:color="auto" w:fill="F5F5F5"/>
          </w:tcPr>
          <w:p>
            <w:pPr>
              <w:spacing w:after="0" w:line="20" w:lineRule="exact"/>
              <w:rPr>
                <w:sz w:val="1"/>
                <w:szCs w:val="1"/>
                <w:color w:val="auto"/>
              </w:rPr>
            </w:pPr>
          </w:p>
        </w:tc>
        <w:tc>
          <w:tcPr>
            <w:tcW w:w="180" w:type="dxa"/>
            <w:vAlign w:val="bottom"/>
            <w:tcBorders>
              <w:top w:val="single" w:sz="8" w:color="0000FF"/>
            </w:tcBorders>
            <w:shd w:val="clear" w:color="auto" w:fill="F5F5F5"/>
          </w:tcPr>
          <w:p>
            <w:pPr>
              <w:spacing w:after="0" w:line="20" w:lineRule="exact"/>
              <w:rPr>
                <w:sz w:val="1"/>
                <w:szCs w:val="1"/>
                <w:color w:val="auto"/>
              </w:rPr>
            </w:pPr>
          </w:p>
        </w:tc>
        <w:tc>
          <w:tcPr>
            <w:tcW w:w="180" w:type="dxa"/>
            <w:vAlign w:val="bottom"/>
            <w:tcBorders>
              <w:top w:val="single" w:sz="8" w:color="0000FF"/>
            </w:tcBorders>
            <w:shd w:val="clear" w:color="auto" w:fill="F5F5F5"/>
          </w:tcPr>
          <w:p>
            <w:pPr>
              <w:spacing w:after="0" w:line="20" w:lineRule="exact"/>
              <w:rPr>
                <w:sz w:val="1"/>
                <w:szCs w:val="1"/>
                <w:color w:val="auto"/>
              </w:rPr>
            </w:pPr>
          </w:p>
        </w:tc>
        <w:tc>
          <w:tcPr>
            <w:tcW w:w="360" w:type="dxa"/>
            <w:vAlign w:val="bottom"/>
            <w:tcBorders>
              <w:top w:val="single" w:sz="8" w:color="0000FF"/>
            </w:tcBorders>
            <w:shd w:val="clear" w:color="auto" w:fill="F5F5F5"/>
          </w:tcPr>
          <w:p>
            <w:pPr>
              <w:spacing w:after="0" w:line="20" w:lineRule="exact"/>
              <w:rPr>
                <w:sz w:val="1"/>
                <w:szCs w:val="1"/>
                <w:color w:val="auto"/>
              </w:rPr>
            </w:pPr>
          </w:p>
        </w:tc>
        <w:tc>
          <w:tcPr>
            <w:tcW w:w="160" w:type="dxa"/>
            <w:vAlign w:val="bottom"/>
            <w:tcBorders>
              <w:top w:val="single" w:sz="8" w:color="0000FF"/>
            </w:tcBorders>
            <w:shd w:val="clear" w:color="auto" w:fill="F5F5F5"/>
          </w:tcPr>
          <w:p>
            <w:pPr>
              <w:spacing w:after="0" w:line="20" w:lineRule="exact"/>
              <w:rPr>
                <w:sz w:val="1"/>
                <w:szCs w:val="1"/>
                <w:color w:val="auto"/>
              </w:rPr>
            </w:pPr>
          </w:p>
        </w:tc>
        <w:tc>
          <w:tcPr>
            <w:tcW w:w="100" w:type="dxa"/>
            <w:vAlign w:val="bottom"/>
            <w:tcBorders>
              <w:top w:val="single" w:sz="8" w:color="F5F5F5"/>
            </w:tcBorders>
            <w:shd w:val="clear" w:color="auto" w:fill="F5F5F5"/>
          </w:tcPr>
          <w:p>
            <w:pPr>
              <w:spacing w:after="0" w:line="20" w:lineRule="exact"/>
              <w:rPr>
                <w:sz w:val="1"/>
                <w:szCs w:val="1"/>
                <w:color w:val="auto"/>
              </w:rPr>
            </w:pPr>
          </w:p>
        </w:tc>
        <w:tc>
          <w:tcPr>
            <w:tcW w:w="1000" w:type="dxa"/>
            <w:vAlign w:val="bottom"/>
            <w:tcBorders>
              <w:top w:val="single" w:sz="8" w:color="F5F5F5"/>
            </w:tcBorders>
            <w:shd w:val="clear" w:color="auto" w:fill="F5F5F5"/>
          </w:tcPr>
          <w:p>
            <w:pPr>
              <w:spacing w:after="0" w:line="20" w:lineRule="exact"/>
              <w:rPr>
                <w:sz w:val="1"/>
                <w:szCs w:val="1"/>
                <w:color w:val="auto"/>
              </w:rPr>
            </w:pPr>
          </w:p>
        </w:tc>
        <w:tc>
          <w:tcPr>
            <w:tcW w:w="320" w:type="dxa"/>
            <w:vAlign w:val="bottom"/>
            <w:tcBorders>
              <w:top w:val="single" w:sz="8" w:color="F5F5F5"/>
            </w:tcBorders>
            <w:shd w:val="clear" w:color="auto" w:fill="F5F5F5"/>
          </w:tcPr>
          <w:p>
            <w:pPr>
              <w:spacing w:after="0" w:line="20" w:lineRule="exact"/>
              <w:rPr>
                <w:sz w:val="1"/>
                <w:szCs w:val="1"/>
                <w:color w:val="auto"/>
              </w:rPr>
            </w:pPr>
          </w:p>
        </w:tc>
        <w:tc>
          <w:tcPr>
            <w:tcW w:w="4680" w:type="dxa"/>
            <w:vAlign w:val="bottom"/>
            <w:tcBorders>
              <w:top w:val="single" w:sz="8" w:color="F5F5F5"/>
            </w:tcBorders>
            <w:shd w:val="clear" w:color="auto" w:fill="F5F5F5"/>
          </w:tcPr>
          <w:p>
            <w:pPr>
              <w:spacing w:after="0" w:line="20" w:lineRule="exact"/>
              <w:rPr>
                <w:sz w:val="1"/>
                <w:szCs w:val="1"/>
                <w:color w:val="auto"/>
              </w:rPr>
            </w:pPr>
          </w:p>
        </w:tc>
        <w:tc>
          <w:tcPr>
            <w:tcW w:w="260" w:type="dxa"/>
            <w:vAlign w:val="bottom"/>
            <w:tcBorders>
              <w:top w:val="single" w:sz="8" w:color="F5F5F5"/>
            </w:tcBorders>
            <w:shd w:val="clear" w:color="auto" w:fill="F5F5F5"/>
          </w:tcPr>
          <w:p>
            <w:pPr>
              <w:spacing w:after="0" w:line="20" w:lineRule="exact"/>
              <w:rPr>
                <w:sz w:val="1"/>
                <w:szCs w:val="1"/>
                <w:color w:val="auto"/>
              </w:rPr>
            </w:pPr>
          </w:p>
        </w:tc>
        <w:tc>
          <w:tcPr>
            <w:tcW w:w="180" w:type="dxa"/>
            <w:vAlign w:val="bottom"/>
            <w:tcBorders>
              <w:top w:val="single" w:sz="8" w:color="0000FF"/>
            </w:tcBorders>
            <w:shd w:val="clear" w:color="auto" w:fill="F5F5F5"/>
          </w:tcPr>
          <w:p>
            <w:pPr>
              <w:spacing w:after="0" w:line="20" w:lineRule="exact"/>
              <w:rPr>
                <w:sz w:val="1"/>
                <w:szCs w:val="1"/>
                <w:color w:val="auto"/>
              </w:rPr>
            </w:pPr>
          </w:p>
        </w:tc>
        <w:tc>
          <w:tcPr>
            <w:tcW w:w="240" w:type="dxa"/>
            <w:vAlign w:val="bottom"/>
            <w:tcBorders>
              <w:top w:val="single" w:sz="8" w:color="F5F5F5"/>
            </w:tcBorders>
            <w:shd w:val="clear" w:color="auto" w:fill="F5F5F5"/>
          </w:tcPr>
          <w:p>
            <w:pPr>
              <w:spacing w:after="0" w:line="20" w:lineRule="exact"/>
              <w:rPr>
                <w:sz w:val="1"/>
                <w:szCs w:val="1"/>
                <w:color w:val="auto"/>
              </w:rPr>
            </w:pPr>
          </w:p>
        </w:tc>
        <w:tc>
          <w:tcPr>
            <w:tcW w:w="360" w:type="dxa"/>
            <w:vAlign w:val="bottom"/>
            <w:tcBorders>
              <w:top w:val="single" w:sz="8" w:color="F5F5F5"/>
            </w:tcBorders>
            <w:shd w:val="clear" w:color="auto" w:fill="F5F5F5"/>
          </w:tcPr>
          <w:p>
            <w:pPr>
              <w:spacing w:after="0" w:line="20" w:lineRule="exact"/>
              <w:rPr>
                <w:sz w:val="1"/>
                <w:szCs w:val="1"/>
                <w:color w:val="auto"/>
              </w:rPr>
            </w:pPr>
          </w:p>
        </w:tc>
      </w:tr>
      <w:tr>
        <w:trPr>
          <w:trHeight w:val="176"/>
        </w:trPr>
        <w:tc>
          <w:tcPr>
            <w:tcW w:w="1400" w:type="dxa"/>
            <w:vAlign w:val="bottom"/>
          </w:tcPr>
          <w:p>
            <w:pPr>
              <w:ind w:left="20"/>
              <w:spacing w:after="0" w:line="175" w:lineRule="exact"/>
              <w:rPr>
                <w:sz w:val="20"/>
                <w:szCs w:val="20"/>
                <w:color w:val="auto"/>
              </w:rPr>
            </w:pPr>
            <w:r>
              <w:rPr>
                <w:rFonts w:ascii="Arial" w:cs="Arial" w:eastAsia="Arial" w:hAnsi="Arial"/>
                <w:sz w:val="16"/>
                <w:szCs w:val="16"/>
                <w:color w:val="auto"/>
              </w:rPr>
              <w:t>Note 8.</w:t>
            </w:r>
          </w:p>
        </w:tc>
        <w:tc>
          <w:tcPr>
            <w:tcW w:w="2680" w:type="dxa"/>
            <w:vAlign w:val="bottom"/>
            <w:gridSpan w:val="14"/>
          </w:tcPr>
          <w:p>
            <w:pPr>
              <w:spacing w:after="0" w:line="175" w:lineRule="exact"/>
              <w:rPr>
                <w:sz w:val="20"/>
                <w:szCs w:val="20"/>
                <w:color w:val="auto"/>
              </w:rPr>
            </w:pPr>
            <w:r>
              <w:rPr>
                <w:rFonts w:ascii="Arial" w:cs="Arial" w:eastAsia="Arial" w:hAnsi="Arial"/>
                <w:sz w:val="16"/>
                <w:szCs w:val="16"/>
                <w:color w:val="0000FF"/>
              </w:rPr>
              <w:t>LEASES</w:t>
            </w:r>
          </w:p>
        </w:tc>
        <w:tc>
          <w:tcPr>
            <w:tcW w:w="6100" w:type="dxa"/>
            <w:vAlign w:val="bottom"/>
            <w:gridSpan w:val="4"/>
          </w:tcPr>
          <w:p>
            <w:pPr>
              <w:spacing w:after="0"/>
              <w:rPr>
                <w:sz w:val="15"/>
                <w:szCs w:val="15"/>
                <w:color w:val="auto"/>
              </w:rPr>
            </w:pPr>
          </w:p>
        </w:tc>
        <w:tc>
          <w:tcPr>
            <w:tcW w:w="680" w:type="dxa"/>
            <w:vAlign w:val="bottom"/>
            <w:gridSpan w:val="3"/>
          </w:tcPr>
          <w:p>
            <w:pPr>
              <w:jc w:val="center"/>
              <w:spacing w:after="0" w:line="175" w:lineRule="exact"/>
              <w:rPr>
                <w:sz w:val="20"/>
                <w:szCs w:val="20"/>
                <w:color w:val="auto"/>
              </w:rPr>
            </w:pPr>
            <w:r>
              <w:rPr>
                <w:rFonts w:ascii="Arial" w:cs="Arial" w:eastAsia="Arial" w:hAnsi="Arial"/>
                <w:sz w:val="16"/>
                <w:szCs w:val="16"/>
                <w:color w:val="0000FF"/>
              </w:rPr>
              <w:t>64</w:t>
            </w:r>
          </w:p>
        </w:tc>
        <w:tc>
          <w:tcPr>
            <w:tcW w:w="360" w:type="dxa"/>
            <w:vAlign w:val="bottom"/>
          </w:tcPr>
          <w:p>
            <w:pPr>
              <w:spacing w:after="0"/>
              <w:rPr>
                <w:sz w:val="15"/>
                <w:szCs w:val="15"/>
                <w:color w:val="auto"/>
              </w:rPr>
            </w:pPr>
          </w:p>
        </w:tc>
      </w:tr>
      <w:tr>
        <w:trPr>
          <w:trHeight w:val="20"/>
        </w:trPr>
        <w:tc>
          <w:tcPr>
            <w:tcW w:w="14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76"/>
        </w:trPr>
        <w:tc>
          <w:tcPr>
            <w:tcW w:w="1400" w:type="dxa"/>
            <w:vAlign w:val="bottom"/>
            <w:shd w:val="clear" w:color="auto" w:fill="F5F5F5"/>
          </w:tcPr>
          <w:p>
            <w:pPr>
              <w:ind w:left="20"/>
              <w:spacing w:after="0" w:line="175" w:lineRule="exact"/>
              <w:rPr>
                <w:sz w:val="20"/>
                <w:szCs w:val="20"/>
                <w:color w:val="auto"/>
              </w:rPr>
            </w:pPr>
            <w:r>
              <w:rPr>
                <w:rFonts w:ascii="Arial" w:cs="Arial" w:eastAsia="Arial" w:hAnsi="Arial"/>
                <w:sz w:val="16"/>
                <w:szCs w:val="16"/>
                <w:color w:val="auto"/>
              </w:rPr>
              <w:t>Note 9.</w:t>
            </w:r>
          </w:p>
        </w:tc>
        <w:tc>
          <w:tcPr>
            <w:tcW w:w="8780" w:type="dxa"/>
            <w:vAlign w:val="bottom"/>
            <w:gridSpan w:val="18"/>
            <w:shd w:val="clear" w:color="auto" w:fill="F5F5F5"/>
          </w:tcPr>
          <w:p>
            <w:pPr>
              <w:spacing w:after="0" w:line="175" w:lineRule="exact"/>
              <w:rPr>
                <w:sz w:val="20"/>
                <w:szCs w:val="20"/>
                <w:color w:val="auto"/>
              </w:rPr>
            </w:pPr>
            <w:r>
              <w:rPr>
                <w:rFonts w:ascii="Arial" w:cs="Arial" w:eastAsia="Arial" w:hAnsi="Arial"/>
                <w:sz w:val="16"/>
                <w:szCs w:val="16"/>
                <w:color w:val="0000FF"/>
              </w:rPr>
              <w:t>ASSET IMPAIRMENT</w:t>
            </w:r>
          </w:p>
        </w:tc>
        <w:tc>
          <w:tcPr>
            <w:tcW w:w="680" w:type="dxa"/>
            <w:vAlign w:val="bottom"/>
            <w:gridSpan w:val="3"/>
            <w:shd w:val="clear" w:color="auto" w:fill="F5F5F5"/>
          </w:tcPr>
          <w:p>
            <w:pPr>
              <w:jc w:val="center"/>
              <w:spacing w:after="0" w:line="175" w:lineRule="exact"/>
              <w:rPr>
                <w:sz w:val="20"/>
                <w:szCs w:val="20"/>
                <w:color w:val="auto"/>
              </w:rPr>
            </w:pPr>
            <w:r>
              <w:rPr>
                <w:rFonts w:ascii="Arial" w:cs="Arial" w:eastAsia="Arial" w:hAnsi="Arial"/>
                <w:sz w:val="16"/>
                <w:szCs w:val="16"/>
                <w:color w:val="0000FF"/>
              </w:rPr>
              <w:t>65</w:t>
            </w:r>
          </w:p>
        </w:tc>
        <w:tc>
          <w:tcPr>
            <w:tcW w:w="360" w:type="dxa"/>
            <w:vAlign w:val="bottom"/>
            <w:shd w:val="clear" w:color="auto" w:fill="F5F5F5"/>
          </w:tcPr>
          <w:p>
            <w:pPr>
              <w:spacing w:after="0"/>
              <w:rPr>
                <w:sz w:val="15"/>
                <w:szCs w:val="15"/>
                <w:color w:val="auto"/>
              </w:rPr>
            </w:pPr>
          </w:p>
        </w:tc>
      </w:tr>
      <w:tr>
        <w:trPr>
          <w:trHeight w:val="20"/>
        </w:trPr>
        <w:tc>
          <w:tcPr>
            <w:tcW w:w="1400" w:type="dxa"/>
            <w:vAlign w:val="bottom"/>
            <w:tcBorders>
              <w:top w:val="single" w:sz="8" w:color="F5F5F5"/>
            </w:tcBorders>
            <w:shd w:val="clear" w:color="auto" w:fill="F5F5F5"/>
          </w:tcPr>
          <w:p>
            <w:pPr>
              <w:spacing w:after="0" w:line="20" w:lineRule="exact"/>
              <w:rPr>
                <w:sz w:val="1"/>
                <w:szCs w:val="1"/>
                <w:color w:val="auto"/>
              </w:rPr>
            </w:pPr>
          </w:p>
        </w:tc>
        <w:tc>
          <w:tcPr>
            <w:tcW w:w="640" w:type="dxa"/>
            <w:vAlign w:val="bottom"/>
            <w:tcBorders>
              <w:top w:val="single" w:sz="8" w:color="0000FF"/>
            </w:tcBorders>
            <w:shd w:val="clear" w:color="auto" w:fill="F5F5F5"/>
          </w:tcPr>
          <w:p>
            <w:pPr>
              <w:spacing w:after="0" w:line="20" w:lineRule="exact"/>
              <w:rPr>
                <w:sz w:val="1"/>
                <w:szCs w:val="1"/>
                <w:color w:val="auto"/>
              </w:rPr>
            </w:pPr>
          </w:p>
        </w:tc>
        <w:tc>
          <w:tcPr>
            <w:tcW w:w="280" w:type="dxa"/>
            <w:vAlign w:val="bottom"/>
            <w:tcBorders>
              <w:top w:val="single" w:sz="8" w:color="0000FF"/>
            </w:tcBorders>
            <w:shd w:val="clear" w:color="auto" w:fill="F5F5F5"/>
          </w:tcPr>
          <w:p>
            <w:pPr>
              <w:spacing w:after="0" w:line="20" w:lineRule="exact"/>
              <w:rPr>
                <w:sz w:val="1"/>
                <w:szCs w:val="1"/>
                <w:color w:val="auto"/>
              </w:rPr>
            </w:pPr>
          </w:p>
        </w:tc>
        <w:tc>
          <w:tcPr>
            <w:tcW w:w="180" w:type="dxa"/>
            <w:vAlign w:val="bottom"/>
            <w:tcBorders>
              <w:top w:val="single" w:sz="8" w:color="0000FF"/>
            </w:tcBorders>
            <w:shd w:val="clear" w:color="auto" w:fill="F5F5F5"/>
          </w:tcPr>
          <w:p>
            <w:pPr>
              <w:spacing w:after="0" w:line="20" w:lineRule="exact"/>
              <w:rPr>
                <w:sz w:val="1"/>
                <w:szCs w:val="1"/>
                <w:color w:val="auto"/>
              </w:rPr>
            </w:pPr>
          </w:p>
        </w:tc>
        <w:tc>
          <w:tcPr>
            <w:tcW w:w="40" w:type="dxa"/>
            <w:vAlign w:val="bottom"/>
            <w:tcBorders>
              <w:top w:val="single" w:sz="8" w:color="0000FF"/>
            </w:tcBorders>
            <w:shd w:val="clear" w:color="auto" w:fill="F5F5F5"/>
          </w:tcPr>
          <w:p>
            <w:pPr>
              <w:spacing w:after="0" w:line="20" w:lineRule="exact"/>
              <w:rPr>
                <w:sz w:val="1"/>
                <w:szCs w:val="1"/>
                <w:color w:val="auto"/>
              </w:rPr>
            </w:pPr>
          </w:p>
        </w:tc>
        <w:tc>
          <w:tcPr>
            <w:tcW w:w="20" w:type="dxa"/>
            <w:vAlign w:val="bottom"/>
            <w:tcBorders>
              <w:top w:val="single" w:sz="8" w:color="0000FF"/>
            </w:tcBorders>
            <w:shd w:val="clear" w:color="auto" w:fill="F5F5F5"/>
          </w:tcPr>
          <w:p>
            <w:pPr>
              <w:spacing w:after="0" w:line="20" w:lineRule="exact"/>
              <w:rPr>
                <w:sz w:val="1"/>
                <w:szCs w:val="1"/>
                <w:color w:val="auto"/>
              </w:rPr>
            </w:pPr>
          </w:p>
        </w:tc>
        <w:tc>
          <w:tcPr>
            <w:tcW w:w="60" w:type="dxa"/>
            <w:vAlign w:val="bottom"/>
            <w:tcBorders>
              <w:top w:val="single" w:sz="8" w:color="0000FF"/>
            </w:tcBorders>
            <w:shd w:val="clear" w:color="auto" w:fill="F5F5F5"/>
          </w:tcPr>
          <w:p>
            <w:pPr>
              <w:spacing w:after="0" w:line="20" w:lineRule="exact"/>
              <w:rPr>
                <w:sz w:val="1"/>
                <w:szCs w:val="1"/>
                <w:color w:val="auto"/>
              </w:rPr>
            </w:pPr>
          </w:p>
        </w:tc>
        <w:tc>
          <w:tcPr>
            <w:tcW w:w="140" w:type="dxa"/>
            <w:vAlign w:val="bottom"/>
            <w:tcBorders>
              <w:top w:val="single" w:sz="8" w:color="0000FF"/>
            </w:tcBorders>
            <w:shd w:val="clear" w:color="auto" w:fill="F5F5F5"/>
          </w:tcPr>
          <w:p>
            <w:pPr>
              <w:spacing w:after="0" w:line="20" w:lineRule="exact"/>
              <w:rPr>
                <w:sz w:val="1"/>
                <w:szCs w:val="1"/>
                <w:color w:val="auto"/>
              </w:rPr>
            </w:pPr>
          </w:p>
        </w:tc>
        <w:tc>
          <w:tcPr>
            <w:tcW w:w="220" w:type="dxa"/>
            <w:vAlign w:val="bottom"/>
            <w:tcBorders>
              <w:top w:val="single" w:sz="8" w:color="0000FF"/>
            </w:tcBorders>
            <w:shd w:val="clear" w:color="auto" w:fill="F5F5F5"/>
          </w:tcPr>
          <w:p>
            <w:pPr>
              <w:spacing w:after="0" w:line="20" w:lineRule="exact"/>
              <w:rPr>
                <w:sz w:val="1"/>
                <w:szCs w:val="1"/>
                <w:color w:val="auto"/>
              </w:rPr>
            </w:pPr>
          </w:p>
        </w:tc>
        <w:tc>
          <w:tcPr>
            <w:tcW w:w="140" w:type="dxa"/>
            <w:vAlign w:val="bottom"/>
            <w:tcBorders>
              <w:top w:val="single" w:sz="8" w:color="F5F5F5"/>
            </w:tcBorders>
            <w:shd w:val="clear" w:color="auto" w:fill="F5F5F5"/>
          </w:tcPr>
          <w:p>
            <w:pPr>
              <w:spacing w:after="0" w:line="20" w:lineRule="exact"/>
              <w:rPr>
                <w:sz w:val="1"/>
                <w:szCs w:val="1"/>
                <w:color w:val="auto"/>
              </w:rPr>
            </w:pPr>
          </w:p>
        </w:tc>
        <w:tc>
          <w:tcPr>
            <w:tcW w:w="80" w:type="dxa"/>
            <w:vAlign w:val="bottom"/>
            <w:tcBorders>
              <w:top w:val="single" w:sz="8" w:color="F5F5F5"/>
            </w:tcBorders>
            <w:shd w:val="clear" w:color="auto" w:fill="F5F5F5"/>
          </w:tcPr>
          <w:p>
            <w:pPr>
              <w:spacing w:after="0" w:line="20" w:lineRule="exact"/>
              <w:rPr>
                <w:sz w:val="1"/>
                <w:szCs w:val="1"/>
                <w:color w:val="auto"/>
              </w:rPr>
            </w:pPr>
          </w:p>
        </w:tc>
        <w:tc>
          <w:tcPr>
            <w:tcW w:w="180" w:type="dxa"/>
            <w:vAlign w:val="bottom"/>
            <w:tcBorders>
              <w:top w:val="single" w:sz="8" w:color="F5F5F5"/>
            </w:tcBorders>
            <w:shd w:val="clear" w:color="auto" w:fill="F5F5F5"/>
          </w:tcPr>
          <w:p>
            <w:pPr>
              <w:spacing w:after="0" w:line="20" w:lineRule="exact"/>
              <w:rPr>
                <w:sz w:val="1"/>
                <w:szCs w:val="1"/>
                <w:color w:val="auto"/>
              </w:rPr>
            </w:pPr>
          </w:p>
        </w:tc>
        <w:tc>
          <w:tcPr>
            <w:tcW w:w="180" w:type="dxa"/>
            <w:vAlign w:val="bottom"/>
            <w:tcBorders>
              <w:top w:val="single" w:sz="8" w:color="F5F5F5"/>
            </w:tcBorders>
            <w:shd w:val="clear" w:color="auto" w:fill="F5F5F5"/>
          </w:tcPr>
          <w:p>
            <w:pPr>
              <w:spacing w:after="0" w:line="20" w:lineRule="exact"/>
              <w:rPr>
                <w:sz w:val="1"/>
                <w:szCs w:val="1"/>
                <w:color w:val="auto"/>
              </w:rPr>
            </w:pPr>
          </w:p>
        </w:tc>
        <w:tc>
          <w:tcPr>
            <w:tcW w:w="360" w:type="dxa"/>
            <w:vAlign w:val="bottom"/>
            <w:tcBorders>
              <w:top w:val="single" w:sz="8" w:color="F5F5F5"/>
            </w:tcBorders>
            <w:shd w:val="clear" w:color="auto" w:fill="F5F5F5"/>
          </w:tcPr>
          <w:p>
            <w:pPr>
              <w:spacing w:after="0" w:line="20" w:lineRule="exact"/>
              <w:rPr>
                <w:sz w:val="1"/>
                <w:szCs w:val="1"/>
                <w:color w:val="auto"/>
              </w:rPr>
            </w:pPr>
          </w:p>
        </w:tc>
        <w:tc>
          <w:tcPr>
            <w:tcW w:w="160" w:type="dxa"/>
            <w:vAlign w:val="bottom"/>
            <w:tcBorders>
              <w:top w:val="single" w:sz="8" w:color="F5F5F5"/>
            </w:tcBorders>
            <w:shd w:val="clear" w:color="auto" w:fill="F5F5F5"/>
          </w:tcPr>
          <w:p>
            <w:pPr>
              <w:spacing w:after="0" w:line="20" w:lineRule="exact"/>
              <w:rPr>
                <w:sz w:val="1"/>
                <w:szCs w:val="1"/>
                <w:color w:val="auto"/>
              </w:rPr>
            </w:pPr>
          </w:p>
        </w:tc>
        <w:tc>
          <w:tcPr>
            <w:tcW w:w="100" w:type="dxa"/>
            <w:vAlign w:val="bottom"/>
            <w:tcBorders>
              <w:top w:val="single" w:sz="8" w:color="F5F5F5"/>
            </w:tcBorders>
            <w:shd w:val="clear" w:color="auto" w:fill="F5F5F5"/>
          </w:tcPr>
          <w:p>
            <w:pPr>
              <w:spacing w:after="0" w:line="20" w:lineRule="exact"/>
              <w:rPr>
                <w:sz w:val="1"/>
                <w:szCs w:val="1"/>
                <w:color w:val="auto"/>
              </w:rPr>
            </w:pPr>
          </w:p>
        </w:tc>
        <w:tc>
          <w:tcPr>
            <w:tcW w:w="1000" w:type="dxa"/>
            <w:vAlign w:val="bottom"/>
            <w:tcBorders>
              <w:top w:val="single" w:sz="8" w:color="F5F5F5"/>
            </w:tcBorders>
            <w:shd w:val="clear" w:color="auto" w:fill="F5F5F5"/>
          </w:tcPr>
          <w:p>
            <w:pPr>
              <w:spacing w:after="0" w:line="20" w:lineRule="exact"/>
              <w:rPr>
                <w:sz w:val="1"/>
                <w:szCs w:val="1"/>
                <w:color w:val="auto"/>
              </w:rPr>
            </w:pPr>
          </w:p>
        </w:tc>
        <w:tc>
          <w:tcPr>
            <w:tcW w:w="320" w:type="dxa"/>
            <w:vAlign w:val="bottom"/>
            <w:tcBorders>
              <w:top w:val="single" w:sz="8" w:color="F5F5F5"/>
            </w:tcBorders>
            <w:shd w:val="clear" w:color="auto" w:fill="F5F5F5"/>
          </w:tcPr>
          <w:p>
            <w:pPr>
              <w:spacing w:after="0" w:line="20" w:lineRule="exact"/>
              <w:rPr>
                <w:sz w:val="1"/>
                <w:szCs w:val="1"/>
                <w:color w:val="auto"/>
              </w:rPr>
            </w:pPr>
          </w:p>
        </w:tc>
        <w:tc>
          <w:tcPr>
            <w:tcW w:w="4680" w:type="dxa"/>
            <w:vAlign w:val="bottom"/>
            <w:tcBorders>
              <w:top w:val="single" w:sz="8" w:color="F5F5F5"/>
            </w:tcBorders>
            <w:shd w:val="clear" w:color="auto" w:fill="F5F5F5"/>
          </w:tcPr>
          <w:p>
            <w:pPr>
              <w:spacing w:after="0" w:line="20" w:lineRule="exact"/>
              <w:rPr>
                <w:sz w:val="1"/>
                <w:szCs w:val="1"/>
                <w:color w:val="auto"/>
              </w:rPr>
            </w:pPr>
          </w:p>
        </w:tc>
        <w:tc>
          <w:tcPr>
            <w:tcW w:w="260" w:type="dxa"/>
            <w:vAlign w:val="bottom"/>
            <w:tcBorders>
              <w:top w:val="single" w:sz="8" w:color="F5F5F5"/>
            </w:tcBorders>
            <w:shd w:val="clear" w:color="auto" w:fill="F5F5F5"/>
          </w:tcPr>
          <w:p>
            <w:pPr>
              <w:spacing w:after="0" w:line="20" w:lineRule="exact"/>
              <w:rPr>
                <w:sz w:val="1"/>
                <w:szCs w:val="1"/>
                <w:color w:val="auto"/>
              </w:rPr>
            </w:pPr>
          </w:p>
        </w:tc>
        <w:tc>
          <w:tcPr>
            <w:tcW w:w="180" w:type="dxa"/>
            <w:vAlign w:val="bottom"/>
            <w:tcBorders>
              <w:top w:val="single" w:sz="8" w:color="0000FF"/>
            </w:tcBorders>
            <w:shd w:val="clear" w:color="auto" w:fill="F5F5F5"/>
          </w:tcPr>
          <w:p>
            <w:pPr>
              <w:spacing w:after="0" w:line="20" w:lineRule="exact"/>
              <w:rPr>
                <w:sz w:val="1"/>
                <w:szCs w:val="1"/>
                <w:color w:val="auto"/>
              </w:rPr>
            </w:pPr>
          </w:p>
        </w:tc>
        <w:tc>
          <w:tcPr>
            <w:tcW w:w="240" w:type="dxa"/>
            <w:vAlign w:val="bottom"/>
            <w:tcBorders>
              <w:top w:val="single" w:sz="8" w:color="F5F5F5"/>
            </w:tcBorders>
            <w:shd w:val="clear" w:color="auto" w:fill="F5F5F5"/>
          </w:tcPr>
          <w:p>
            <w:pPr>
              <w:spacing w:after="0" w:line="20" w:lineRule="exact"/>
              <w:rPr>
                <w:sz w:val="1"/>
                <w:szCs w:val="1"/>
                <w:color w:val="auto"/>
              </w:rPr>
            </w:pPr>
          </w:p>
        </w:tc>
        <w:tc>
          <w:tcPr>
            <w:tcW w:w="360" w:type="dxa"/>
            <w:vAlign w:val="bottom"/>
            <w:tcBorders>
              <w:top w:val="single" w:sz="8" w:color="F5F5F5"/>
            </w:tcBorders>
            <w:shd w:val="clear" w:color="auto" w:fill="F5F5F5"/>
          </w:tcPr>
          <w:p>
            <w:pPr>
              <w:spacing w:after="0" w:line="20" w:lineRule="exact"/>
              <w:rPr>
                <w:sz w:val="1"/>
                <w:szCs w:val="1"/>
                <w:color w:val="auto"/>
              </w:rPr>
            </w:pPr>
          </w:p>
        </w:tc>
      </w:tr>
      <w:tr>
        <w:trPr>
          <w:trHeight w:val="176"/>
        </w:trPr>
        <w:tc>
          <w:tcPr>
            <w:tcW w:w="1400" w:type="dxa"/>
            <w:vAlign w:val="bottom"/>
          </w:tcPr>
          <w:p>
            <w:pPr>
              <w:ind w:left="20"/>
              <w:spacing w:after="0" w:line="175" w:lineRule="exact"/>
              <w:rPr>
                <w:sz w:val="20"/>
                <w:szCs w:val="20"/>
                <w:color w:val="auto"/>
              </w:rPr>
            </w:pPr>
            <w:r>
              <w:rPr>
                <w:rFonts w:ascii="Arial" w:cs="Arial" w:eastAsia="Arial" w:hAnsi="Arial"/>
                <w:sz w:val="16"/>
                <w:szCs w:val="16"/>
                <w:color w:val="auto"/>
              </w:rPr>
              <w:t>Note 10.</w:t>
            </w:r>
          </w:p>
        </w:tc>
        <w:tc>
          <w:tcPr>
            <w:tcW w:w="8780" w:type="dxa"/>
            <w:vAlign w:val="bottom"/>
            <w:gridSpan w:val="18"/>
          </w:tcPr>
          <w:p>
            <w:pPr>
              <w:spacing w:after="0" w:line="175" w:lineRule="exact"/>
              <w:rPr>
                <w:sz w:val="20"/>
                <w:szCs w:val="20"/>
                <w:color w:val="auto"/>
              </w:rPr>
            </w:pPr>
            <w:r>
              <w:rPr>
                <w:rFonts w:ascii="Arial" w:cs="Arial" w:eastAsia="Arial" w:hAnsi="Arial"/>
                <w:sz w:val="16"/>
                <w:szCs w:val="16"/>
                <w:color w:val="0000FF"/>
              </w:rPr>
              <w:t>ACCRUED EXPENSES</w:t>
            </w:r>
          </w:p>
        </w:tc>
        <w:tc>
          <w:tcPr>
            <w:tcW w:w="680" w:type="dxa"/>
            <w:vAlign w:val="bottom"/>
            <w:gridSpan w:val="3"/>
          </w:tcPr>
          <w:p>
            <w:pPr>
              <w:jc w:val="center"/>
              <w:spacing w:after="0" w:line="175" w:lineRule="exact"/>
              <w:rPr>
                <w:sz w:val="20"/>
                <w:szCs w:val="20"/>
                <w:color w:val="auto"/>
              </w:rPr>
            </w:pPr>
            <w:r>
              <w:rPr>
                <w:rFonts w:ascii="Arial" w:cs="Arial" w:eastAsia="Arial" w:hAnsi="Arial"/>
                <w:sz w:val="16"/>
                <w:szCs w:val="16"/>
                <w:color w:val="0000FF"/>
              </w:rPr>
              <w:t>66</w:t>
            </w:r>
          </w:p>
        </w:tc>
        <w:tc>
          <w:tcPr>
            <w:tcW w:w="360" w:type="dxa"/>
            <w:vAlign w:val="bottom"/>
          </w:tcPr>
          <w:p>
            <w:pPr>
              <w:spacing w:after="0"/>
              <w:rPr>
                <w:sz w:val="15"/>
                <w:szCs w:val="15"/>
                <w:color w:val="auto"/>
              </w:rPr>
            </w:pPr>
          </w:p>
        </w:tc>
      </w:tr>
      <w:tr>
        <w:trPr>
          <w:trHeight w:val="21"/>
        </w:trPr>
        <w:tc>
          <w:tcPr>
            <w:tcW w:w="14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75"/>
        </w:trPr>
        <w:tc>
          <w:tcPr>
            <w:tcW w:w="1400" w:type="dxa"/>
            <w:vAlign w:val="bottom"/>
            <w:shd w:val="clear" w:color="auto" w:fill="F5F5F5"/>
          </w:tcPr>
          <w:p>
            <w:pPr>
              <w:ind w:left="20"/>
              <w:spacing w:after="0" w:line="175" w:lineRule="exact"/>
              <w:rPr>
                <w:sz w:val="20"/>
                <w:szCs w:val="20"/>
                <w:color w:val="auto"/>
              </w:rPr>
            </w:pPr>
            <w:r>
              <w:rPr>
                <w:rFonts w:ascii="Arial" w:cs="Arial" w:eastAsia="Arial" w:hAnsi="Arial"/>
                <w:sz w:val="16"/>
                <w:szCs w:val="16"/>
                <w:color w:val="auto"/>
              </w:rPr>
              <w:t>Note 11.</w:t>
            </w:r>
          </w:p>
        </w:tc>
        <w:tc>
          <w:tcPr>
            <w:tcW w:w="1220" w:type="dxa"/>
            <w:vAlign w:val="bottom"/>
            <w:gridSpan w:val="6"/>
            <w:shd w:val="clear" w:color="auto" w:fill="F5F5F5"/>
          </w:tcPr>
          <w:p>
            <w:pPr>
              <w:spacing w:after="0" w:line="175" w:lineRule="exact"/>
              <w:rPr>
                <w:sz w:val="20"/>
                <w:szCs w:val="20"/>
                <w:color w:val="auto"/>
              </w:rPr>
            </w:pPr>
            <w:r>
              <w:rPr>
                <w:rFonts w:ascii="Arial" w:cs="Arial" w:eastAsia="Arial" w:hAnsi="Arial"/>
                <w:sz w:val="16"/>
                <w:szCs w:val="16"/>
                <w:color w:val="0000FF"/>
                <w:w w:val="99"/>
              </w:rPr>
              <w:t>INCOME TAXES</w:t>
            </w:r>
          </w:p>
        </w:tc>
        <w:tc>
          <w:tcPr>
            <w:tcW w:w="7560" w:type="dxa"/>
            <w:vAlign w:val="bottom"/>
            <w:gridSpan w:val="12"/>
            <w:shd w:val="clear" w:color="auto" w:fill="F5F5F5"/>
          </w:tcPr>
          <w:p>
            <w:pPr>
              <w:spacing w:after="0"/>
              <w:rPr>
                <w:sz w:val="15"/>
                <w:szCs w:val="15"/>
                <w:color w:val="auto"/>
              </w:rPr>
            </w:pPr>
          </w:p>
        </w:tc>
        <w:tc>
          <w:tcPr>
            <w:tcW w:w="680" w:type="dxa"/>
            <w:vAlign w:val="bottom"/>
            <w:gridSpan w:val="3"/>
            <w:shd w:val="clear" w:color="auto" w:fill="F5F5F5"/>
          </w:tcPr>
          <w:p>
            <w:pPr>
              <w:jc w:val="center"/>
              <w:spacing w:after="0" w:line="175" w:lineRule="exact"/>
              <w:rPr>
                <w:sz w:val="20"/>
                <w:szCs w:val="20"/>
                <w:color w:val="auto"/>
              </w:rPr>
            </w:pPr>
            <w:r>
              <w:rPr>
                <w:rFonts w:ascii="Arial" w:cs="Arial" w:eastAsia="Arial" w:hAnsi="Arial"/>
                <w:sz w:val="16"/>
                <w:szCs w:val="16"/>
                <w:color w:val="0000FF"/>
              </w:rPr>
              <w:t>66</w:t>
            </w:r>
          </w:p>
        </w:tc>
        <w:tc>
          <w:tcPr>
            <w:tcW w:w="360" w:type="dxa"/>
            <w:vAlign w:val="bottom"/>
            <w:shd w:val="clear" w:color="auto" w:fill="F5F5F5"/>
          </w:tcPr>
          <w:p>
            <w:pPr>
              <w:spacing w:after="0"/>
              <w:rPr>
                <w:sz w:val="15"/>
                <w:szCs w:val="15"/>
                <w:color w:val="auto"/>
              </w:rPr>
            </w:pPr>
          </w:p>
        </w:tc>
      </w:tr>
      <w:tr>
        <w:trPr>
          <w:trHeight w:val="21"/>
        </w:trPr>
        <w:tc>
          <w:tcPr>
            <w:tcW w:w="1400" w:type="dxa"/>
            <w:vAlign w:val="bottom"/>
            <w:tcBorders>
              <w:top w:val="single" w:sz="8" w:color="F5F5F5"/>
            </w:tcBorders>
            <w:shd w:val="clear" w:color="auto" w:fill="F5F5F5"/>
          </w:tcPr>
          <w:p>
            <w:pPr>
              <w:spacing w:after="0" w:line="20" w:lineRule="exact"/>
              <w:rPr>
                <w:sz w:val="1"/>
                <w:szCs w:val="1"/>
                <w:color w:val="auto"/>
              </w:rPr>
            </w:pPr>
          </w:p>
        </w:tc>
        <w:tc>
          <w:tcPr>
            <w:tcW w:w="640" w:type="dxa"/>
            <w:vAlign w:val="bottom"/>
            <w:tcBorders>
              <w:top w:val="single" w:sz="8" w:color="0000FF"/>
            </w:tcBorders>
            <w:shd w:val="clear" w:color="auto" w:fill="F5F5F5"/>
          </w:tcPr>
          <w:p>
            <w:pPr>
              <w:spacing w:after="0" w:line="20" w:lineRule="exact"/>
              <w:rPr>
                <w:sz w:val="1"/>
                <w:szCs w:val="1"/>
                <w:color w:val="auto"/>
              </w:rPr>
            </w:pPr>
          </w:p>
        </w:tc>
        <w:tc>
          <w:tcPr>
            <w:tcW w:w="280" w:type="dxa"/>
            <w:vAlign w:val="bottom"/>
            <w:tcBorders>
              <w:top w:val="single" w:sz="8" w:color="0000FF"/>
            </w:tcBorders>
            <w:shd w:val="clear" w:color="auto" w:fill="F5F5F5"/>
          </w:tcPr>
          <w:p>
            <w:pPr>
              <w:spacing w:after="0" w:line="20" w:lineRule="exact"/>
              <w:rPr>
                <w:sz w:val="1"/>
                <w:szCs w:val="1"/>
                <w:color w:val="auto"/>
              </w:rPr>
            </w:pPr>
          </w:p>
        </w:tc>
        <w:tc>
          <w:tcPr>
            <w:tcW w:w="180" w:type="dxa"/>
            <w:vAlign w:val="bottom"/>
            <w:tcBorders>
              <w:top w:val="single" w:sz="8" w:color="0000FF"/>
            </w:tcBorders>
            <w:shd w:val="clear" w:color="auto" w:fill="F5F5F5"/>
          </w:tcPr>
          <w:p>
            <w:pPr>
              <w:spacing w:after="0" w:line="20" w:lineRule="exact"/>
              <w:rPr>
                <w:sz w:val="1"/>
                <w:szCs w:val="1"/>
                <w:color w:val="auto"/>
              </w:rPr>
            </w:pPr>
          </w:p>
        </w:tc>
        <w:tc>
          <w:tcPr>
            <w:tcW w:w="40" w:type="dxa"/>
            <w:vAlign w:val="bottom"/>
            <w:tcBorders>
              <w:top w:val="single" w:sz="8" w:color="0000FF"/>
            </w:tcBorders>
            <w:shd w:val="clear" w:color="auto" w:fill="F5F5F5"/>
          </w:tcPr>
          <w:p>
            <w:pPr>
              <w:spacing w:after="0" w:line="20" w:lineRule="exact"/>
              <w:rPr>
                <w:sz w:val="1"/>
                <w:szCs w:val="1"/>
                <w:color w:val="auto"/>
              </w:rPr>
            </w:pPr>
          </w:p>
        </w:tc>
        <w:tc>
          <w:tcPr>
            <w:tcW w:w="20" w:type="dxa"/>
            <w:vAlign w:val="bottom"/>
            <w:tcBorders>
              <w:top w:val="single" w:sz="8" w:color="0000FF"/>
            </w:tcBorders>
            <w:shd w:val="clear" w:color="auto" w:fill="F5F5F5"/>
          </w:tcPr>
          <w:p>
            <w:pPr>
              <w:spacing w:after="0" w:line="20" w:lineRule="exact"/>
              <w:rPr>
                <w:sz w:val="1"/>
                <w:szCs w:val="1"/>
                <w:color w:val="auto"/>
              </w:rPr>
            </w:pPr>
          </w:p>
        </w:tc>
        <w:tc>
          <w:tcPr>
            <w:tcW w:w="60" w:type="dxa"/>
            <w:vAlign w:val="bottom"/>
            <w:tcBorders>
              <w:top w:val="single" w:sz="8" w:color="0000FF"/>
            </w:tcBorders>
            <w:shd w:val="clear" w:color="auto" w:fill="F5F5F5"/>
          </w:tcPr>
          <w:p>
            <w:pPr>
              <w:spacing w:after="0" w:line="20" w:lineRule="exact"/>
              <w:rPr>
                <w:sz w:val="1"/>
                <w:szCs w:val="1"/>
                <w:color w:val="auto"/>
              </w:rPr>
            </w:pPr>
          </w:p>
        </w:tc>
        <w:tc>
          <w:tcPr>
            <w:tcW w:w="140" w:type="dxa"/>
            <w:vAlign w:val="bottom"/>
            <w:tcBorders>
              <w:top w:val="single" w:sz="8" w:color="F5F5F5"/>
            </w:tcBorders>
            <w:shd w:val="clear" w:color="auto" w:fill="F5F5F5"/>
          </w:tcPr>
          <w:p>
            <w:pPr>
              <w:spacing w:after="0" w:line="20" w:lineRule="exact"/>
              <w:rPr>
                <w:sz w:val="1"/>
                <w:szCs w:val="1"/>
                <w:color w:val="auto"/>
              </w:rPr>
            </w:pPr>
          </w:p>
        </w:tc>
        <w:tc>
          <w:tcPr>
            <w:tcW w:w="220" w:type="dxa"/>
            <w:vAlign w:val="bottom"/>
            <w:tcBorders>
              <w:top w:val="single" w:sz="8" w:color="F5F5F5"/>
            </w:tcBorders>
            <w:shd w:val="clear" w:color="auto" w:fill="F5F5F5"/>
          </w:tcPr>
          <w:p>
            <w:pPr>
              <w:spacing w:after="0" w:line="20" w:lineRule="exact"/>
              <w:rPr>
                <w:sz w:val="1"/>
                <w:szCs w:val="1"/>
                <w:color w:val="auto"/>
              </w:rPr>
            </w:pPr>
          </w:p>
        </w:tc>
        <w:tc>
          <w:tcPr>
            <w:tcW w:w="140" w:type="dxa"/>
            <w:vAlign w:val="bottom"/>
            <w:tcBorders>
              <w:top w:val="single" w:sz="8" w:color="F5F5F5"/>
            </w:tcBorders>
            <w:shd w:val="clear" w:color="auto" w:fill="F5F5F5"/>
          </w:tcPr>
          <w:p>
            <w:pPr>
              <w:spacing w:after="0" w:line="20" w:lineRule="exact"/>
              <w:rPr>
                <w:sz w:val="1"/>
                <w:szCs w:val="1"/>
                <w:color w:val="auto"/>
              </w:rPr>
            </w:pPr>
          </w:p>
        </w:tc>
        <w:tc>
          <w:tcPr>
            <w:tcW w:w="80" w:type="dxa"/>
            <w:vAlign w:val="bottom"/>
            <w:tcBorders>
              <w:top w:val="single" w:sz="8" w:color="F5F5F5"/>
            </w:tcBorders>
            <w:shd w:val="clear" w:color="auto" w:fill="F5F5F5"/>
          </w:tcPr>
          <w:p>
            <w:pPr>
              <w:spacing w:after="0" w:line="20" w:lineRule="exact"/>
              <w:rPr>
                <w:sz w:val="1"/>
                <w:szCs w:val="1"/>
                <w:color w:val="auto"/>
              </w:rPr>
            </w:pPr>
          </w:p>
        </w:tc>
        <w:tc>
          <w:tcPr>
            <w:tcW w:w="180" w:type="dxa"/>
            <w:vAlign w:val="bottom"/>
            <w:tcBorders>
              <w:top w:val="single" w:sz="8" w:color="F5F5F5"/>
            </w:tcBorders>
            <w:shd w:val="clear" w:color="auto" w:fill="F5F5F5"/>
          </w:tcPr>
          <w:p>
            <w:pPr>
              <w:spacing w:after="0" w:line="20" w:lineRule="exact"/>
              <w:rPr>
                <w:sz w:val="1"/>
                <w:szCs w:val="1"/>
                <w:color w:val="auto"/>
              </w:rPr>
            </w:pPr>
          </w:p>
        </w:tc>
        <w:tc>
          <w:tcPr>
            <w:tcW w:w="180" w:type="dxa"/>
            <w:vAlign w:val="bottom"/>
            <w:tcBorders>
              <w:top w:val="single" w:sz="8" w:color="F5F5F5"/>
            </w:tcBorders>
            <w:shd w:val="clear" w:color="auto" w:fill="F5F5F5"/>
          </w:tcPr>
          <w:p>
            <w:pPr>
              <w:spacing w:after="0" w:line="20" w:lineRule="exact"/>
              <w:rPr>
                <w:sz w:val="1"/>
                <w:szCs w:val="1"/>
                <w:color w:val="auto"/>
              </w:rPr>
            </w:pPr>
          </w:p>
        </w:tc>
        <w:tc>
          <w:tcPr>
            <w:tcW w:w="360" w:type="dxa"/>
            <w:vAlign w:val="bottom"/>
            <w:tcBorders>
              <w:top w:val="single" w:sz="8" w:color="F5F5F5"/>
            </w:tcBorders>
            <w:shd w:val="clear" w:color="auto" w:fill="F5F5F5"/>
          </w:tcPr>
          <w:p>
            <w:pPr>
              <w:spacing w:after="0" w:line="20" w:lineRule="exact"/>
              <w:rPr>
                <w:sz w:val="1"/>
                <w:szCs w:val="1"/>
                <w:color w:val="auto"/>
              </w:rPr>
            </w:pPr>
          </w:p>
        </w:tc>
        <w:tc>
          <w:tcPr>
            <w:tcW w:w="160" w:type="dxa"/>
            <w:vAlign w:val="bottom"/>
            <w:tcBorders>
              <w:top w:val="single" w:sz="8" w:color="F5F5F5"/>
            </w:tcBorders>
            <w:shd w:val="clear" w:color="auto" w:fill="F5F5F5"/>
          </w:tcPr>
          <w:p>
            <w:pPr>
              <w:spacing w:after="0" w:line="20" w:lineRule="exact"/>
              <w:rPr>
                <w:sz w:val="1"/>
                <w:szCs w:val="1"/>
                <w:color w:val="auto"/>
              </w:rPr>
            </w:pPr>
          </w:p>
        </w:tc>
        <w:tc>
          <w:tcPr>
            <w:tcW w:w="100" w:type="dxa"/>
            <w:vAlign w:val="bottom"/>
            <w:tcBorders>
              <w:top w:val="single" w:sz="8" w:color="F5F5F5"/>
            </w:tcBorders>
            <w:shd w:val="clear" w:color="auto" w:fill="F5F5F5"/>
          </w:tcPr>
          <w:p>
            <w:pPr>
              <w:spacing w:after="0" w:line="20" w:lineRule="exact"/>
              <w:rPr>
                <w:sz w:val="1"/>
                <w:szCs w:val="1"/>
                <w:color w:val="auto"/>
              </w:rPr>
            </w:pPr>
          </w:p>
        </w:tc>
        <w:tc>
          <w:tcPr>
            <w:tcW w:w="1000" w:type="dxa"/>
            <w:vAlign w:val="bottom"/>
            <w:tcBorders>
              <w:top w:val="single" w:sz="8" w:color="F5F5F5"/>
            </w:tcBorders>
            <w:shd w:val="clear" w:color="auto" w:fill="F5F5F5"/>
          </w:tcPr>
          <w:p>
            <w:pPr>
              <w:spacing w:after="0" w:line="20" w:lineRule="exact"/>
              <w:rPr>
                <w:sz w:val="1"/>
                <w:szCs w:val="1"/>
                <w:color w:val="auto"/>
              </w:rPr>
            </w:pPr>
          </w:p>
        </w:tc>
        <w:tc>
          <w:tcPr>
            <w:tcW w:w="320" w:type="dxa"/>
            <w:vAlign w:val="bottom"/>
            <w:tcBorders>
              <w:top w:val="single" w:sz="8" w:color="F5F5F5"/>
            </w:tcBorders>
            <w:shd w:val="clear" w:color="auto" w:fill="F5F5F5"/>
          </w:tcPr>
          <w:p>
            <w:pPr>
              <w:spacing w:after="0" w:line="20" w:lineRule="exact"/>
              <w:rPr>
                <w:sz w:val="1"/>
                <w:szCs w:val="1"/>
                <w:color w:val="auto"/>
              </w:rPr>
            </w:pPr>
          </w:p>
        </w:tc>
        <w:tc>
          <w:tcPr>
            <w:tcW w:w="4680" w:type="dxa"/>
            <w:vAlign w:val="bottom"/>
            <w:tcBorders>
              <w:top w:val="single" w:sz="8" w:color="F5F5F5"/>
            </w:tcBorders>
            <w:shd w:val="clear" w:color="auto" w:fill="F5F5F5"/>
          </w:tcPr>
          <w:p>
            <w:pPr>
              <w:spacing w:after="0" w:line="20" w:lineRule="exact"/>
              <w:rPr>
                <w:sz w:val="1"/>
                <w:szCs w:val="1"/>
                <w:color w:val="auto"/>
              </w:rPr>
            </w:pPr>
          </w:p>
        </w:tc>
        <w:tc>
          <w:tcPr>
            <w:tcW w:w="260" w:type="dxa"/>
            <w:vAlign w:val="bottom"/>
            <w:tcBorders>
              <w:top w:val="single" w:sz="8" w:color="F5F5F5"/>
            </w:tcBorders>
            <w:shd w:val="clear" w:color="auto" w:fill="F5F5F5"/>
          </w:tcPr>
          <w:p>
            <w:pPr>
              <w:spacing w:after="0" w:line="20" w:lineRule="exact"/>
              <w:rPr>
                <w:sz w:val="1"/>
                <w:szCs w:val="1"/>
                <w:color w:val="auto"/>
              </w:rPr>
            </w:pPr>
          </w:p>
        </w:tc>
        <w:tc>
          <w:tcPr>
            <w:tcW w:w="180" w:type="dxa"/>
            <w:vAlign w:val="bottom"/>
            <w:tcBorders>
              <w:top w:val="single" w:sz="8" w:color="0000FF"/>
            </w:tcBorders>
            <w:shd w:val="clear" w:color="auto" w:fill="F5F5F5"/>
          </w:tcPr>
          <w:p>
            <w:pPr>
              <w:spacing w:after="0" w:line="20" w:lineRule="exact"/>
              <w:rPr>
                <w:sz w:val="1"/>
                <w:szCs w:val="1"/>
                <w:color w:val="auto"/>
              </w:rPr>
            </w:pPr>
          </w:p>
        </w:tc>
        <w:tc>
          <w:tcPr>
            <w:tcW w:w="240" w:type="dxa"/>
            <w:vAlign w:val="bottom"/>
            <w:tcBorders>
              <w:top w:val="single" w:sz="8" w:color="F5F5F5"/>
            </w:tcBorders>
            <w:shd w:val="clear" w:color="auto" w:fill="F5F5F5"/>
          </w:tcPr>
          <w:p>
            <w:pPr>
              <w:spacing w:after="0" w:line="20" w:lineRule="exact"/>
              <w:rPr>
                <w:sz w:val="1"/>
                <w:szCs w:val="1"/>
                <w:color w:val="auto"/>
              </w:rPr>
            </w:pPr>
          </w:p>
        </w:tc>
        <w:tc>
          <w:tcPr>
            <w:tcW w:w="360" w:type="dxa"/>
            <w:vAlign w:val="bottom"/>
            <w:tcBorders>
              <w:top w:val="single" w:sz="8" w:color="F5F5F5"/>
            </w:tcBorders>
            <w:shd w:val="clear" w:color="auto" w:fill="F5F5F5"/>
          </w:tcPr>
          <w:p>
            <w:pPr>
              <w:spacing w:after="0" w:line="20" w:lineRule="exact"/>
              <w:rPr>
                <w:sz w:val="1"/>
                <w:szCs w:val="1"/>
                <w:color w:val="auto"/>
              </w:rPr>
            </w:pPr>
          </w:p>
        </w:tc>
      </w:tr>
      <w:tr>
        <w:trPr>
          <w:trHeight w:val="175"/>
        </w:trPr>
        <w:tc>
          <w:tcPr>
            <w:tcW w:w="1400" w:type="dxa"/>
            <w:vAlign w:val="bottom"/>
          </w:tcPr>
          <w:p>
            <w:pPr>
              <w:ind w:left="20"/>
              <w:spacing w:after="0" w:line="175" w:lineRule="exact"/>
              <w:rPr>
                <w:sz w:val="20"/>
                <w:szCs w:val="20"/>
                <w:color w:val="auto"/>
              </w:rPr>
            </w:pPr>
            <w:r>
              <w:rPr>
                <w:rFonts w:ascii="Arial" w:cs="Arial" w:eastAsia="Arial" w:hAnsi="Arial"/>
                <w:sz w:val="16"/>
                <w:szCs w:val="16"/>
                <w:color w:val="auto"/>
              </w:rPr>
              <w:t>Note 12.</w:t>
            </w:r>
          </w:p>
        </w:tc>
        <w:tc>
          <w:tcPr>
            <w:tcW w:w="1220" w:type="dxa"/>
            <w:vAlign w:val="bottom"/>
            <w:gridSpan w:val="6"/>
          </w:tcPr>
          <w:p>
            <w:pPr>
              <w:spacing w:after="0" w:line="175" w:lineRule="exact"/>
              <w:rPr>
                <w:sz w:val="20"/>
                <w:szCs w:val="20"/>
                <w:color w:val="auto"/>
              </w:rPr>
            </w:pPr>
            <w:r>
              <w:rPr>
                <w:rFonts w:ascii="Arial" w:cs="Arial" w:eastAsia="Arial" w:hAnsi="Arial"/>
                <w:sz w:val="16"/>
                <w:szCs w:val="16"/>
                <w:color w:val="0000FF"/>
              </w:rPr>
              <w:t>BORROWINGS</w:t>
            </w:r>
          </w:p>
        </w:tc>
        <w:tc>
          <w:tcPr>
            <w:tcW w:w="7560" w:type="dxa"/>
            <w:vAlign w:val="bottom"/>
            <w:gridSpan w:val="12"/>
          </w:tcPr>
          <w:p>
            <w:pPr>
              <w:spacing w:after="0"/>
              <w:rPr>
                <w:sz w:val="15"/>
                <w:szCs w:val="15"/>
                <w:color w:val="auto"/>
              </w:rPr>
            </w:pPr>
          </w:p>
        </w:tc>
        <w:tc>
          <w:tcPr>
            <w:tcW w:w="680" w:type="dxa"/>
            <w:vAlign w:val="bottom"/>
            <w:gridSpan w:val="3"/>
          </w:tcPr>
          <w:p>
            <w:pPr>
              <w:jc w:val="center"/>
              <w:spacing w:after="0" w:line="175" w:lineRule="exact"/>
              <w:rPr>
                <w:sz w:val="20"/>
                <w:szCs w:val="20"/>
                <w:color w:val="auto"/>
              </w:rPr>
            </w:pPr>
            <w:r>
              <w:rPr>
                <w:rFonts w:ascii="Arial" w:cs="Arial" w:eastAsia="Arial" w:hAnsi="Arial"/>
                <w:sz w:val="16"/>
                <w:szCs w:val="16"/>
                <w:color w:val="0000FF"/>
              </w:rPr>
              <w:t>69</w:t>
            </w:r>
          </w:p>
        </w:tc>
        <w:tc>
          <w:tcPr>
            <w:tcW w:w="360" w:type="dxa"/>
            <w:vAlign w:val="bottom"/>
          </w:tcPr>
          <w:p>
            <w:pPr>
              <w:spacing w:after="0"/>
              <w:rPr>
                <w:sz w:val="15"/>
                <w:szCs w:val="15"/>
                <w:color w:val="auto"/>
              </w:rPr>
            </w:pPr>
          </w:p>
        </w:tc>
      </w:tr>
      <w:tr>
        <w:trPr>
          <w:trHeight w:val="21"/>
        </w:trPr>
        <w:tc>
          <w:tcPr>
            <w:tcW w:w="14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76"/>
        </w:trPr>
        <w:tc>
          <w:tcPr>
            <w:tcW w:w="1400" w:type="dxa"/>
            <w:vAlign w:val="bottom"/>
            <w:shd w:val="clear" w:color="auto" w:fill="F5F5F5"/>
          </w:tcPr>
          <w:p>
            <w:pPr>
              <w:ind w:left="20"/>
              <w:spacing w:after="0" w:line="175" w:lineRule="exact"/>
              <w:rPr>
                <w:sz w:val="20"/>
                <w:szCs w:val="20"/>
                <w:color w:val="auto"/>
              </w:rPr>
            </w:pPr>
            <w:r>
              <w:rPr>
                <w:rFonts w:ascii="Arial" w:cs="Arial" w:eastAsia="Arial" w:hAnsi="Arial"/>
                <w:sz w:val="16"/>
                <w:szCs w:val="16"/>
                <w:color w:val="auto"/>
              </w:rPr>
              <w:t>Note 13.</w:t>
            </w:r>
          </w:p>
        </w:tc>
        <w:tc>
          <w:tcPr>
            <w:tcW w:w="2520" w:type="dxa"/>
            <w:vAlign w:val="bottom"/>
            <w:gridSpan w:val="13"/>
            <w:shd w:val="clear" w:color="auto" w:fill="F5F5F5"/>
          </w:tcPr>
          <w:p>
            <w:pPr>
              <w:spacing w:after="0" w:line="175" w:lineRule="exact"/>
              <w:rPr>
                <w:sz w:val="20"/>
                <w:szCs w:val="20"/>
                <w:color w:val="auto"/>
              </w:rPr>
            </w:pPr>
            <w:r>
              <w:rPr>
                <w:rFonts w:ascii="Arial" w:cs="Arial" w:eastAsia="Arial" w:hAnsi="Arial"/>
                <w:sz w:val="16"/>
                <w:szCs w:val="16"/>
                <w:color w:val="0000FF"/>
              </w:rPr>
              <w:t>SHARE-BASED COMPENSATION</w:t>
            </w:r>
          </w:p>
        </w:tc>
        <w:tc>
          <w:tcPr>
            <w:tcW w:w="6260" w:type="dxa"/>
            <w:vAlign w:val="bottom"/>
            <w:gridSpan w:val="5"/>
            <w:shd w:val="clear" w:color="auto" w:fill="F5F5F5"/>
          </w:tcPr>
          <w:p>
            <w:pPr>
              <w:spacing w:after="0"/>
              <w:rPr>
                <w:sz w:val="15"/>
                <w:szCs w:val="15"/>
                <w:color w:val="auto"/>
              </w:rPr>
            </w:pPr>
          </w:p>
        </w:tc>
        <w:tc>
          <w:tcPr>
            <w:tcW w:w="680" w:type="dxa"/>
            <w:vAlign w:val="bottom"/>
            <w:gridSpan w:val="3"/>
            <w:shd w:val="clear" w:color="auto" w:fill="F5F5F5"/>
          </w:tcPr>
          <w:p>
            <w:pPr>
              <w:jc w:val="center"/>
              <w:spacing w:after="0" w:line="175" w:lineRule="exact"/>
              <w:rPr>
                <w:sz w:val="20"/>
                <w:szCs w:val="20"/>
                <w:color w:val="auto"/>
              </w:rPr>
            </w:pPr>
            <w:r>
              <w:rPr>
                <w:rFonts w:ascii="Arial" w:cs="Arial" w:eastAsia="Arial" w:hAnsi="Arial"/>
                <w:sz w:val="16"/>
                <w:szCs w:val="16"/>
                <w:color w:val="0000FF"/>
              </w:rPr>
              <w:t>70</w:t>
            </w:r>
          </w:p>
        </w:tc>
        <w:tc>
          <w:tcPr>
            <w:tcW w:w="360" w:type="dxa"/>
            <w:vAlign w:val="bottom"/>
            <w:shd w:val="clear" w:color="auto" w:fill="F5F5F5"/>
          </w:tcPr>
          <w:p>
            <w:pPr>
              <w:spacing w:after="0"/>
              <w:rPr>
                <w:sz w:val="15"/>
                <w:szCs w:val="15"/>
                <w:color w:val="auto"/>
              </w:rPr>
            </w:pPr>
          </w:p>
        </w:tc>
      </w:tr>
      <w:tr>
        <w:trPr>
          <w:trHeight w:val="20"/>
        </w:trPr>
        <w:tc>
          <w:tcPr>
            <w:tcW w:w="1400" w:type="dxa"/>
            <w:vAlign w:val="bottom"/>
            <w:tcBorders>
              <w:top w:val="single" w:sz="8" w:color="F5F5F5"/>
            </w:tcBorders>
            <w:shd w:val="clear" w:color="auto" w:fill="F5F5F5"/>
          </w:tcPr>
          <w:p>
            <w:pPr>
              <w:spacing w:after="0" w:line="20" w:lineRule="exact"/>
              <w:rPr>
                <w:sz w:val="1"/>
                <w:szCs w:val="1"/>
                <w:color w:val="auto"/>
              </w:rPr>
            </w:pPr>
          </w:p>
        </w:tc>
        <w:tc>
          <w:tcPr>
            <w:tcW w:w="640" w:type="dxa"/>
            <w:vAlign w:val="bottom"/>
            <w:tcBorders>
              <w:top w:val="single" w:sz="8" w:color="0000FF"/>
            </w:tcBorders>
            <w:shd w:val="clear" w:color="auto" w:fill="F5F5F5"/>
          </w:tcPr>
          <w:p>
            <w:pPr>
              <w:spacing w:after="0" w:line="20" w:lineRule="exact"/>
              <w:rPr>
                <w:sz w:val="1"/>
                <w:szCs w:val="1"/>
                <w:color w:val="auto"/>
              </w:rPr>
            </w:pPr>
          </w:p>
        </w:tc>
        <w:tc>
          <w:tcPr>
            <w:tcW w:w="280" w:type="dxa"/>
            <w:vAlign w:val="bottom"/>
            <w:tcBorders>
              <w:top w:val="single" w:sz="8" w:color="0000FF"/>
            </w:tcBorders>
            <w:shd w:val="clear" w:color="auto" w:fill="F5F5F5"/>
          </w:tcPr>
          <w:p>
            <w:pPr>
              <w:spacing w:after="0" w:line="20" w:lineRule="exact"/>
              <w:rPr>
                <w:sz w:val="1"/>
                <w:szCs w:val="1"/>
                <w:color w:val="auto"/>
              </w:rPr>
            </w:pPr>
          </w:p>
        </w:tc>
        <w:tc>
          <w:tcPr>
            <w:tcW w:w="180" w:type="dxa"/>
            <w:vAlign w:val="bottom"/>
            <w:tcBorders>
              <w:top w:val="single" w:sz="8" w:color="0000FF"/>
            </w:tcBorders>
            <w:shd w:val="clear" w:color="auto" w:fill="F5F5F5"/>
          </w:tcPr>
          <w:p>
            <w:pPr>
              <w:spacing w:after="0" w:line="20" w:lineRule="exact"/>
              <w:rPr>
                <w:sz w:val="1"/>
                <w:szCs w:val="1"/>
                <w:color w:val="auto"/>
              </w:rPr>
            </w:pPr>
          </w:p>
        </w:tc>
        <w:tc>
          <w:tcPr>
            <w:tcW w:w="40" w:type="dxa"/>
            <w:vAlign w:val="bottom"/>
            <w:tcBorders>
              <w:top w:val="single" w:sz="8" w:color="0000FF"/>
            </w:tcBorders>
            <w:shd w:val="clear" w:color="auto" w:fill="F5F5F5"/>
          </w:tcPr>
          <w:p>
            <w:pPr>
              <w:spacing w:after="0" w:line="20" w:lineRule="exact"/>
              <w:rPr>
                <w:sz w:val="1"/>
                <w:szCs w:val="1"/>
                <w:color w:val="auto"/>
              </w:rPr>
            </w:pPr>
          </w:p>
        </w:tc>
        <w:tc>
          <w:tcPr>
            <w:tcW w:w="20" w:type="dxa"/>
            <w:vAlign w:val="bottom"/>
            <w:tcBorders>
              <w:top w:val="single" w:sz="8" w:color="0000FF"/>
            </w:tcBorders>
            <w:shd w:val="clear" w:color="auto" w:fill="F5F5F5"/>
          </w:tcPr>
          <w:p>
            <w:pPr>
              <w:spacing w:after="0" w:line="20" w:lineRule="exact"/>
              <w:rPr>
                <w:sz w:val="1"/>
                <w:szCs w:val="1"/>
                <w:color w:val="auto"/>
              </w:rPr>
            </w:pPr>
          </w:p>
        </w:tc>
        <w:tc>
          <w:tcPr>
            <w:tcW w:w="60" w:type="dxa"/>
            <w:vAlign w:val="bottom"/>
            <w:tcBorders>
              <w:top w:val="single" w:sz="8" w:color="0000FF"/>
            </w:tcBorders>
            <w:shd w:val="clear" w:color="auto" w:fill="F5F5F5"/>
          </w:tcPr>
          <w:p>
            <w:pPr>
              <w:spacing w:after="0" w:line="20" w:lineRule="exact"/>
              <w:rPr>
                <w:sz w:val="1"/>
                <w:szCs w:val="1"/>
                <w:color w:val="auto"/>
              </w:rPr>
            </w:pPr>
          </w:p>
        </w:tc>
        <w:tc>
          <w:tcPr>
            <w:tcW w:w="140" w:type="dxa"/>
            <w:vAlign w:val="bottom"/>
            <w:tcBorders>
              <w:top w:val="single" w:sz="8" w:color="0000FF"/>
            </w:tcBorders>
            <w:shd w:val="clear" w:color="auto" w:fill="F5F5F5"/>
          </w:tcPr>
          <w:p>
            <w:pPr>
              <w:spacing w:after="0" w:line="20" w:lineRule="exact"/>
              <w:rPr>
                <w:sz w:val="1"/>
                <w:szCs w:val="1"/>
                <w:color w:val="auto"/>
              </w:rPr>
            </w:pPr>
          </w:p>
        </w:tc>
        <w:tc>
          <w:tcPr>
            <w:tcW w:w="220" w:type="dxa"/>
            <w:vAlign w:val="bottom"/>
            <w:tcBorders>
              <w:top w:val="single" w:sz="8" w:color="0000FF"/>
            </w:tcBorders>
            <w:shd w:val="clear" w:color="auto" w:fill="F5F5F5"/>
          </w:tcPr>
          <w:p>
            <w:pPr>
              <w:spacing w:after="0" w:line="20" w:lineRule="exact"/>
              <w:rPr>
                <w:sz w:val="1"/>
                <w:szCs w:val="1"/>
                <w:color w:val="auto"/>
              </w:rPr>
            </w:pPr>
          </w:p>
        </w:tc>
        <w:tc>
          <w:tcPr>
            <w:tcW w:w="140" w:type="dxa"/>
            <w:vAlign w:val="bottom"/>
            <w:tcBorders>
              <w:top w:val="single" w:sz="8" w:color="0000FF"/>
            </w:tcBorders>
            <w:shd w:val="clear" w:color="auto" w:fill="F5F5F5"/>
          </w:tcPr>
          <w:p>
            <w:pPr>
              <w:spacing w:after="0" w:line="20" w:lineRule="exact"/>
              <w:rPr>
                <w:sz w:val="1"/>
                <w:szCs w:val="1"/>
                <w:color w:val="auto"/>
              </w:rPr>
            </w:pPr>
          </w:p>
        </w:tc>
        <w:tc>
          <w:tcPr>
            <w:tcW w:w="80" w:type="dxa"/>
            <w:vAlign w:val="bottom"/>
            <w:tcBorders>
              <w:top w:val="single" w:sz="8" w:color="0000FF"/>
            </w:tcBorders>
            <w:shd w:val="clear" w:color="auto" w:fill="F5F5F5"/>
          </w:tcPr>
          <w:p>
            <w:pPr>
              <w:spacing w:after="0" w:line="20" w:lineRule="exact"/>
              <w:rPr>
                <w:sz w:val="1"/>
                <w:szCs w:val="1"/>
                <w:color w:val="auto"/>
              </w:rPr>
            </w:pPr>
          </w:p>
        </w:tc>
        <w:tc>
          <w:tcPr>
            <w:tcW w:w="180" w:type="dxa"/>
            <w:vAlign w:val="bottom"/>
            <w:tcBorders>
              <w:top w:val="single" w:sz="8" w:color="0000FF"/>
            </w:tcBorders>
            <w:shd w:val="clear" w:color="auto" w:fill="F5F5F5"/>
          </w:tcPr>
          <w:p>
            <w:pPr>
              <w:spacing w:after="0" w:line="20" w:lineRule="exact"/>
              <w:rPr>
                <w:sz w:val="1"/>
                <w:szCs w:val="1"/>
                <w:color w:val="auto"/>
              </w:rPr>
            </w:pPr>
          </w:p>
        </w:tc>
        <w:tc>
          <w:tcPr>
            <w:tcW w:w="180" w:type="dxa"/>
            <w:vAlign w:val="bottom"/>
            <w:tcBorders>
              <w:top w:val="single" w:sz="8" w:color="0000FF"/>
            </w:tcBorders>
            <w:shd w:val="clear" w:color="auto" w:fill="F5F5F5"/>
          </w:tcPr>
          <w:p>
            <w:pPr>
              <w:spacing w:after="0" w:line="20" w:lineRule="exact"/>
              <w:rPr>
                <w:sz w:val="1"/>
                <w:szCs w:val="1"/>
                <w:color w:val="auto"/>
              </w:rPr>
            </w:pPr>
          </w:p>
        </w:tc>
        <w:tc>
          <w:tcPr>
            <w:tcW w:w="360" w:type="dxa"/>
            <w:vAlign w:val="bottom"/>
            <w:tcBorders>
              <w:top w:val="single" w:sz="8" w:color="0000FF"/>
            </w:tcBorders>
            <w:shd w:val="clear" w:color="auto" w:fill="F5F5F5"/>
          </w:tcPr>
          <w:p>
            <w:pPr>
              <w:spacing w:after="0" w:line="20" w:lineRule="exact"/>
              <w:rPr>
                <w:sz w:val="1"/>
                <w:szCs w:val="1"/>
                <w:color w:val="auto"/>
              </w:rPr>
            </w:pPr>
          </w:p>
        </w:tc>
        <w:tc>
          <w:tcPr>
            <w:tcW w:w="160" w:type="dxa"/>
            <w:vAlign w:val="bottom"/>
            <w:tcBorders>
              <w:top w:val="single" w:sz="8" w:color="F5F5F5"/>
            </w:tcBorders>
            <w:shd w:val="clear" w:color="auto" w:fill="F5F5F5"/>
          </w:tcPr>
          <w:p>
            <w:pPr>
              <w:spacing w:after="0" w:line="20" w:lineRule="exact"/>
              <w:rPr>
                <w:sz w:val="1"/>
                <w:szCs w:val="1"/>
                <w:color w:val="auto"/>
              </w:rPr>
            </w:pPr>
          </w:p>
        </w:tc>
        <w:tc>
          <w:tcPr>
            <w:tcW w:w="100" w:type="dxa"/>
            <w:vAlign w:val="bottom"/>
            <w:tcBorders>
              <w:top w:val="single" w:sz="8" w:color="F5F5F5"/>
            </w:tcBorders>
            <w:shd w:val="clear" w:color="auto" w:fill="F5F5F5"/>
          </w:tcPr>
          <w:p>
            <w:pPr>
              <w:spacing w:after="0" w:line="20" w:lineRule="exact"/>
              <w:rPr>
                <w:sz w:val="1"/>
                <w:szCs w:val="1"/>
                <w:color w:val="auto"/>
              </w:rPr>
            </w:pPr>
          </w:p>
        </w:tc>
        <w:tc>
          <w:tcPr>
            <w:tcW w:w="1000" w:type="dxa"/>
            <w:vAlign w:val="bottom"/>
            <w:tcBorders>
              <w:top w:val="single" w:sz="8" w:color="F5F5F5"/>
            </w:tcBorders>
            <w:shd w:val="clear" w:color="auto" w:fill="F5F5F5"/>
          </w:tcPr>
          <w:p>
            <w:pPr>
              <w:spacing w:after="0" w:line="20" w:lineRule="exact"/>
              <w:rPr>
                <w:sz w:val="1"/>
                <w:szCs w:val="1"/>
                <w:color w:val="auto"/>
              </w:rPr>
            </w:pPr>
          </w:p>
        </w:tc>
        <w:tc>
          <w:tcPr>
            <w:tcW w:w="320" w:type="dxa"/>
            <w:vAlign w:val="bottom"/>
            <w:tcBorders>
              <w:top w:val="single" w:sz="8" w:color="F5F5F5"/>
            </w:tcBorders>
            <w:shd w:val="clear" w:color="auto" w:fill="F5F5F5"/>
          </w:tcPr>
          <w:p>
            <w:pPr>
              <w:spacing w:after="0" w:line="20" w:lineRule="exact"/>
              <w:rPr>
                <w:sz w:val="1"/>
                <w:szCs w:val="1"/>
                <w:color w:val="auto"/>
              </w:rPr>
            </w:pPr>
          </w:p>
        </w:tc>
        <w:tc>
          <w:tcPr>
            <w:tcW w:w="4680" w:type="dxa"/>
            <w:vAlign w:val="bottom"/>
            <w:tcBorders>
              <w:top w:val="single" w:sz="8" w:color="F5F5F5"/>
            </w:tcBorders>
            <w:shd w:val="clear" w:color="auto" w:fill="F5F5F5"/>
          </w:tcPr>
          <w:p>
            <w:pPr>
              <w:spacing w:after="0" w:line="20" w:lineRule="exact"/>
              <w:rPr>
                <w:sz w:val="1"/>
                <w:szCs w:val="1"/>
                <w:color w:val="auto"/>
              </w:rPr>
            </w:pPr>
          </w:p>
        </w:tc>
        <w:tc>
          <w:tcPr>
            <w:tcW w:w="260" w:type="dxa"/>
            <w:vAlign w:val="bottom"/>
            <w:tcBorders>
              <w:top w:val="single" w:sz="8" w:color="F5F5F5"/>
            </w:tcBorders>
            <w:shd w:val="clear" w:color="auto" w:fill="F5F5F5"/>
          </w:tcPr>
          <w:p>
            <w:pPr>
              <w:spacing w:after="0" w:line="20" w:lineRule="exact"/>
              <w:rPr>
                <w:sz w:val="1"/>
                <w:szCs w:val="1"/>
                <w:color w:val="auto"/>
              </w:rPr>
            </w:pPr>
          </w:p>
        </w:tc>
        <w:tc>
          <w:tcPr>
            <w:tcW w:w="180" w:type="dxa"/>
            <w:vAlign w:val="bottom"/>
            <w:tcBorders>
              <w:top w:val="single" w:sz="8" w:color="0000FF"/>
            </w:tcBorders>
            <w:shd w:val="clear" w:color="auto" w:fill="F5F5F5"/>
          </w:tcPr>
          <w:p>
            <w:pPr>
              <w:spacing w:after="0" w:line="20" w:lineRule="exact"/>
              <w:rPr>
                <w:sz w:val="1"/>
                <w:szCs w:val="1"/>
                <w:color w:val="auto"/>
              </w:rPr>
            </w:pPr>
          </w:p>
        </w:tc>
        <w:tc>
          <w:tcPr>
            <w:tcW w:w="240" w:type="dxa"/>
            <w:vAlign w:val="bottom"/>
            <w:tcBorders>
              <w:top w:val="single" w:sz="8" w:color="F5F5F5"/>
            </w:tcBorders>
            <w:shd w:val="clear" w:color="auto" w:fill="F5F5F5"/>
          </w:tcPr>
          <w:p>
            <w:pPr>
              <w:spacing w:after="0" w:line="20" w:lineRule="exact"/>
              <w:rPr>
                <w:sz w:val="1"/>
                <w:szCs w:val="1"/>
                <w:color w:val="auto"/>
              </w:rPr>
            </w:pPr>
          </w:p>
        </w:tc>
        <w:tc>
          <w:tcPr>
            <w:tcW w:w="360" w:type="dxa"/>
            <w:vAlign w:val="bottom"/>
            <w:tcBorders>
              <w:top w:val="single" w:sz="8" w:color="F5F5F5"/>
            </w:tcBorders>
            <w:shd w:val="clear" w:color="auto" w:fill="F5F5F5"/>
          </w:tcPr>
          <w:p>
            <w:pPr>
              <w:spacing w:after="0" w:line="20" w:lineRule="exact"/>
              <w:rPr>
                <w:sz w:val="1"/>
                <w:szCs w:val="1"/>
                <w:color w:val="auto"/>
              </w:rPr>
            </w:pPr>
          </w:p>
        </w:tc>
      </w:tr>
      <w:tr>
        <w:trPr>
          <w:trHeight w:val="176"/>
        </w:trPr>
        <w:tc>
          <w:tcPr>
            <w:tcW w:w="1400" w:type="dxa"/>
            <w:vAlign w:val="bottom"/>
          </w:tcPr>
          <w:p>
            <w:pPr>
              <w:ind w:left="20"/>
              <w:spacing w:after="0" w:line="175" w:lineRule="exact"/>
              <w:rPr>
                <w:sz w:val="20"/>
                <w:szCs w:val="20"/>
                <w:color w:val="auto"/>
              </w:rPr>
            </w:pPr>
            <w:r>
              <w:rPr>
                <w:rFonts w:ascii="Arial" w:cs="Arial" w:eastAsia="Arial" w:hAnsi="Arial"/>
                <w:sz w:val="16"/>
                <w:szCs w:val="16"/>
                <w:color w:val="auto"/>
              </w:rPr>
              <w:t>Note 14.</w:t>
            </w:r>
          </w:p>
        </w:tc>
        <w:tc>
          <w:tcPr>
            <w:tcW w:w="2520" w:type="dxa"/>
            <w:vAlign w:val="bottom"/>
            <w:gridSpan w:val="13"/>
          </w:tcPr>
          <w:p>
            <w:pPr>
              <w:spacing w:after="0" w:line="175" w:lineRule="exact"/>
              <w:rPr>
                <w:sz w:val="20"/>
                <w:szCs w:val="20"/>
                <w:color w:val="auto"/>
              </w:rPr>
            </w:pPr>
            <w:r>
              <w:rPr>
                <w:rFonts w:ascii="Arial" w:cs="Arial" w:eastAsia="Arial" w:hAnsi="Arial"/>
                <w:sz w:val="16"/>
                <w:szCs w:val="16"/>
                <w:color w:val="0000FF"/>
              </w:rPr>
              <w:t>DERIVATIVE INSTRUMENTS</w:t>
            </w:r>
          </w:p>
        </w:tc>
        <w:tc>
          <w:tcPr>
            <w:tcW w:w="6260" w:type="dxa"/>
            <w:vAlign w:val="bottom"/>
            <w:gridSpan w:val="5"/>
          </w:tcPr>
          <w:p>
            <w:pPr>
              <w:spacing w:after="0"/>
              <w:rPr>
                <w:sz w:val="15"/>
                <w:szCs w:val="15"/>
                <w:color w:val="auto"/>
              </w:rPr>
            </w:pPr>
          </w:p>
        </w:tc>
        <w:tc>
          <w:tcPr>
            <w:tcW w:w="680" w:type="dxa"/>
            <w:vAlign w:val="bottom"/>
            <w:gridSpan w:val="3"/>
          </w:tcPr>
          <w:p>
            <w:pPr>
              <w:jc w:val="center"/>
              <w:spacing w:after="0" w:line="175" w:lineRule="exact"/>
              <w:rPr>
                <w:sz w:val="20"/>
                <w:szCs w:val="20"/>
                <w:color w:val="auto"/>
              </w:rPr>
            </w:pPr>
            <w:r>
              <w:rPr>
                <w:rFonts w:ascii="Arial" w:cs="Arial" w:eastAsia="Arial" w:hAnsi="Arial"/>
                <w:sz w:val="16"/>
                <w:szCs w:val="16"/>
                <w:color w:val="0000FF"/>
              </w:rPr>
              <w:t>74</w:t>
            </w:r>
          </w:p>
        </w:tc>
        <w:tc>
          <w:tcPr>
            <w:tcW w:w="360" w:type="dxa"/>
            <w:vAlign w:val="bottom"/>
          </w:tcPr>
          <w:p>
            <w:pPr>
              <w:spacing w:after="0"/>
              <w:rPr>
                <w:sz w:val="15"/>
                <w:szCs w:val="15"/>
                <w:color w:val="auto"/>
              </w:rPr>
            </w:pPr>
          </w:p>
        </w:tc>
      </w:tr>
      <w:tr>
        <w:trPr>
          <w:trHeight w:val="20"/>
        </w:trPr>
        <w:tc>
          <w:tcPr>
            <w:tcW w:w="14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76"/>
        </w:trPr>
        <w:tc>
          <w:tcPr>
            <w:tcW w:w="1400" w:type="dxa"/>
            <w:vAlign w:val="bottom"/>
            <w:shd w:val="clear" w:color="auto" w:fill="F5F5F5"/>
          </w:tcPr>
          <w:p>
            <w:pPr>
              <w:ind w:left="20"/>
              <w:spacing w:after="0" w:line="175" w:lineRule="exact"/>
              <w:rPr>
                <w:sz w:val="20"/>
                <w:szCs w:val="20"/>
                <w:color w:val="auto"/>
              </w:rPr>
            </w:pPr>
            <w:r>
              <w:rPr>
                <w:rFonts w:ascii="Arial" w:cs="Arial" w:eastAsia="Arial" w:hAnsi="Arial"/>
                <w:sz w:val="16"/>
                <w:szCs w:val="16"/>
                <w:color w:val="auto"/>
              </w:rPr>
              <w:t>Note 15.</w:t>
            </w:r>
          </w:p>
        </w:tc>
        <w:tc>
          <w:tcPr>
            <w:tcW w:w="8780" w:type="dxa"/>
            <w:vAlign w:val="bottom"/>
            <w:gridSpan w:val="18"/>
            <w:shd w:val="clear" w:color="auto" w:fill="F5F5F5"/>
          </w:tcPr>
          <w:p>
            <w:pPr>
              <w:spacing w:after="0" w:line="175" w:lineRule="exact"/>
              <w:rPr>
                <w:sz w:val="20"/>
                <w:szCs w:val="20"/>
                <w:color w:val="auto"/>
              </w:rPr>
            </w:pPr>
            <w:r>
              <w:rPr>
                <w:rFonts w:ascii="Arial" w:cs="Arial" w:eastAsia="Arial" w:hAnsi="Arial"/>
                <w:sz w:val="16"/>
                <w:szCs w:val="16"/>
                <w:color w:val="0000FF"/>
              </w:rPr>
              <w:t>ACCUMULATED OTHER COMPREHENSIVE LOSS</w:t>
            </w:r>
          </w:p>
        </w:tc>
        <w:tc>
          <w:tcPr>
            <w:tcW w:w="680" w:type="dxa"/>
            <w:vAlign w:val="bottom"/>
            <w:gridSpan w:val="3"/>
            <w:shd w:val="clear" w:color="auto" w:fill="F5F5F5"/>
          </w:tcPr>
          <w:p>
            <w:pPr>
              <w:jc w:val="center"/>
              <w:spacing w:after="0" w:line="175" w:lineRule="exact"/>
              <w:rPr>
                <w:sz w:val="20"/>
                <w:szCs w:val="20"/>
                <w:color w:val="auto"/>
              </w:rPr>
            </w:pPr>
            <w:r>
              <w:rPr>
                <w:rFonts w:ascii="Arial" w:cs="Arial" w:eastAsia="Arial" w:hAnsi="Arial"/>
                <w:sz w:val="16"/>
                <w:szCs w:val="16"/>
                <w:color w:val="0000FF"/>
              </w:rPr>
              <w:t>75</w:t>
            </w:r>
          </w:p>
        </w:tc>
        <w:tc>
          <w:tcPr>
            <w:tcW w:w="360" w:type="dxa"/>
            <w:vAlign w:val="bottom"/>
            <w:shd w:val="clear" w:color="auto" w:fill="F5F5F5"/>
          </w:tcPr>
          <w:p>
            <w:pPr>
              <w:spacing w:after="0"/>
              <w:rPr>
                <w:sz w:val="15"/>
                <w:szCs w:val="15"/>
                <w:color w:val="auto"/>
              </w:rPr>
            </w:pPr>
          </w:p>
        </w:tc>
      </w:tr>
      <w:tr>
        <w:trPr>
          <w:trHeight w:val="21"/>
        </w:trPr>
        <w:tc>
          <w:tcPr>
            <w:tcW w:w="1400" w:type="dxa"/>
            <w:vAlign w:val="bottom"/>
            <w:tcBorders>
              <w:top w:val="single" w:sz="8" w:color="F5F5F5"/>
            </w:tcBorders>
            <w:shd w:val="clear" w:color="auto" w:fill="F5F5F5"/>
          </w:tcPr>
          <w:p>
            <w:pPr>
              <w:spacing w:after="0" w:line="20" w:lineRule="exact"/>
              <w:rPr>
                <w:sz w:val="1"/>
                <w:szCs w:val="1"/>
                <w:color w:val="auto"/>
              </w:rPr>
            </w:pPr>
          </w:p>
        </w:tc>
        <w:tc>
          <w:tcPr>
            <w:tcW w:w="640" w:type="dxa"/>
            <w:vAlign w:val="bottom"/>
            <w:tcBorders>
              <w:top w:val="single" w:sz="8" w:color="0000FF"/>
            </w:tcBorders>
            <w:shd w:val="clear" w:color="auto" w:fill="F5F5F5"/>
          </w:tcPr>
          <w:p>
            <w:pPr>
              <w:spacing w:after="0" w:line="20" w:lineRule="exact"/>
              <w:rPr>
                <w:sz w:val="1"/>
                <w:szCs w:val="1"/>
                <w:color w:val="auto"/>
              </w:rPr>
            </w:pPr>
          </w:p>
        </w:tc>
        <w:tc>
          <w:tcPr>
            <w:tcW w:w="280" w:type="dxa"/>
            <w:vAlign w:val="bottom"/>
            <w:tcBorders>
              <w:top w:val="single" w:sz="8" w:color="0000FF"/>
            </w:tcBorders>
            <w:shd w:val="clear" w:color="auto" w:fill="F5F5F5"/>
          </w:tcPr>
          <w:p>
            <w:pPr>
              <w:spacing w:after="0" w:line="20" w:lineRule="exact"/>
              <w:rPr>
                <w:sz w:val="1"/>
                <w:szCs w:val="1"/>
                <w:color w:val="auto"/>
              </w:rPr>
            </w:pPr>
          </w:p>
        </w:tc>
        <w:tc>
          <w:tcPr>
            <w:tcW w:w="180" w:type="dxa"/>
            <w:vAlign w:val="bottom"/>
            <w:tcBorders>
              <w:top w:val="single" w:sz="8" w:color="0000FF"/>
            </w:tcBorders>
            <w:shd w:val="clear" w:color="auto" w:fill="F5F5F5"/>
          </w:tcPr>
          <w:p>
            <w:pPr>
              <w:spacing w:after="0" w:line="20" w:lineRule="exact"/>
              <w:rPr>
                <w:sz w:val="1"/>
                <w:szCs w:val="1"/>
                <w:color w:val="auto"/>
              </w:rPr>
            </w:pPr>
          </w:p>
        </w:tc>
        <w:tc>
          <w:tcPr>
            <w:tcW w:w="40" w:type="dxa"/>
            <w:vAlign w:val="bottom"/>
            <w:tcBorders>
              <w:top w:val="single" w:sz="8" w:color="0000FF"/>
            </w:tcBorders>
            <w:shd w:val="clear" w:color="auto" w:fill="F5F5F5"/>
          </w:tcPr>
          <w:p>
            <w:pPr>
              <w:spacing w:after="0" w:line="20" w:lineRule="exact"/>
              <w:rPr>
                <w:sz w:val="1"/>
                <w:szCs w:val="1"/>
                <w:color w:val="auto"/>
              </w:rPr>
            </w:pPr>
          </w:p>
        </w:tc>
        <w:tc>
          <w:tcPr>
            <w:tcW w:w="20" w:type="dxa"/>
            <w:vAlign w:val="bottom"/>
            <w:tcBorders>
              <w:top w:val="single" w:sz="8" w:color="0000FF"/>
            </w:tcBorders>
            <w:shd w:val="clear" w:color="auto" w:fill="F5F5F5"/>
          </w:tcPr>
          <w:p>
            <w:pPr>
              <w:spacing w:after="0" w:line="20" w:lineRule="exact"/>
              <w:rPr>
                <w:sz w:val="1"/>
                <w:szCs w:val="1"/>
                <w:color w:val="auto"/>
              </w:rPr>
            </w:pPr>
          </w:p>
        </w:tc>
        <w:tc>
          <w:tcPr>
            <w:tcW w:w="60" w:type="dxa"/>
            <w:vAlign w:val="bottom"/>
            <w:tcBorders>
              <w:top w:val="single" w:sz="8" w:color="0000FF"/>
            </w:tcBorders>
            <w:shd w:val="clear" w:color="auto" w:fill="F5F5F5"/>
          </w:tcPr>
          <w:p>
            <w:pPr>
              <w:spacing w:after="0" w:line="20" w:lineRule="exact"/>
              <w:rPr>
                <w:sz w:val="1"/>
                <w:szCs w:val="1"/>
                <w:color w:val="auto"/>
              </w:rPr>
            </w:pPr>
          </w:p>
        </w:tc>
        <w:tc>
          <w:tcPr>
            <w:tcW w:w="140" w:type="dxa"/>
            <w:vAlign w:val="bottom"/>
            <w:tcBorders>
              <w:top w:val="single" w:sz="8" w:color="0000FF"/>
            </w:tcBorders>
            <w:shd w:val="clear" w:color="auto" w:fill="F5F5F5"/>
          </w:tcPr>
          <w:p>
            <w:pPr>
              <w:spacing w:after="0" w:line="20" w:lineRule="exact"/>
              <w:rPr>
                <w:sz w:val="1"/>
                <w:szCs w:val="1"/>
                <w:color w:val="auto"/>
              </w:rPr>
            </w:pPr>
          </w:p>
        </w:tc>
        <w:tc>
          <w:tcPr>
            <w:tcW w:w="220" w:type="dxa"/>
            <w:vAlign w:val="bottom"/>
            <w:tcBorders>
              <w:top w:val="single" w:sz="8" w:color="0000FF"/>
            </w:tcBorders>
            <w:shd w:val="clear" w:color="auto" w:fill="F5F5F5"/>
          </w:tcPr>
          <w:p>
            <w:pPr>
              <w:spacing w:after="0" w:line="20" w:lineRule="exact"/>
              <w:rPr>
                <w:sz w:val="1"/>
                <w:szCs w:val="1"/>
                <w:color w:val="auto"/>
              </w:rPr>
            </w:pPr>
          </w:p>
        </w:tc>
        <w:tc>
          <w:tcPr>
            <w:tcW w:w="140" w:type="dxa"/>
            <w:vAlign w:val="bottom"/>
            <w:tcBorders>
              <w:top w:val="single" w:sz="8" w:color="0000FF"/>
            </w:tcBorders>
            <w:shd w:val="clear" w:color="auto" w:fill="F5F5F5"/>
          </w:tcPr>
          <w:p>
            <w:pPr>
              <w:spacing w:after="0" w:line="20" w:lineRule="exact"/>
              <w:rPr>
                <w:sz w:val="1"/>
                <w:szCs w:val="1"/>
                <w:color w:val="auto"/>
              </w:rPr>
            </w:pPr>
          </w:p>
        </w:tc>
        <w:tc>
          <w:tcPr>
            <w:tcW w:w="80" w:type="dxa"/>
            <w:vAlign w:val="bottom"/>
            <w:tcBorders>
              <w:top w:val="single" w:sz="8" w:color="0000FF"/>
            </w:tcBorders>
            <w:shd w:val="clear" w:color="auto" w:fill="F5F5F5"/>
          </w:tcPr>
          <w:p>
            <w:pPr>
              <w:spacing w:after="0" w:line="20" w:lineRule="exact"/>
              <w:rPr>
                <w:sz w:val="1"/>
                <w:szCs w:val="1"/>
                <w:color w:val="auto"/>
              </w:rPr>
            </w:pPr>
          </w:p>
        </w:tc>
        <w:tc>
          <w:tcPr>
            <w:tcW w:w="180" w:type="dxa"/>
            <w:vAlign w:val="bottom"/>
            <w:tcBorders>
              <w:top w:val="single" w:sz="8" w:color="0000FF"/>
            </w:tcBorders>
            <w:shd w:val="clear" w:color="auto" w:fill="F5F5F5"/>
          </w:tcPr>
          <w:p>
            <w:pPr>
              <w:spacing w:after="0" w:line="20" w:lineRule="exact"/>
              <w:rPr>
                <w:sz w:val="1"/>
                <w:szCs w:val="1"/>
                <w:color w:val="auto"/>
              </w:rPr>
            </w:pPr>
          </w:p>
        </w:tc>
        <w:tc>
          <w:tcPr>
            <w:tcW w:w="180" w:type="dxa"/>
            <w:vAlign w:val="bottom"/>
            <w:tcBorders>
              <w:top w:val="single" w:sz="8" w:color="0000FF"/>
            </w:tcBorders>
            <w:shd w:val="clear" w:color="auto" w:fill="F5F5F5"/>
          </w:tcPr>
          <w:p>
            <w:pPr>
              <w:spacing w:after="0" w:line="20" w:lineRule="exact"/>
              <w:rPr>
                <w:sz w:val="1"/>
                <w:szCs w:val="1"/>
                <w:color w:val="auto"/>
              </w:rPr>
            </w:pPr>
          </w:p>
        </w:tc>
        <w:tc>
          <w:tcPr>
            <w:tcW w:w="360" w:type="dxa"/>
            <w:vAlign w:val="bottom"/>
            <w:tcBorders>
              <w:top w:val="single" w:sz="8" w:color="0000FF"/>
            </w:tcBorders>
            <w:shd w:val="clear" w:color="auto" w:fill="F5F5F5"/>
          </w:tcPr>
          <w:p>
            <w:pPr>
              <w:spacing w:after="0" w:line="20" w:lineRule="exact"/>
              <w:rPr>
                <w:sz w:val="1"/>
                <w:szCs w:val="1"/>
                <w:color w:val="auto"/>
              </w:rPr>
            </w:pPr>
          </w:p>
        </w:tc>
        <w:tc>
          <w:tcPr>
            <w:tcW w:w="160" w:type="dxa"/>
            <w:vAlign w:val="bottom"/>
            <w:tcBorders>
              <w:top w:val="single" w:sz="8" w:color="0000FF"/>
            </w:tcBorders>
            <w:shd w:val="clear" w:color="auto" w:fill="F5F5F5"/>
          </w:tcPr>
          <w:p>
            <w:pPr>
              <w:spacing w:after="0" w:line="20" w:lineRule="exact"/>
              <w:rPr>
                <w:sz w:val="1"/>
                <w:szCs w:val="1"/>
                <w:color w:val="auto"/>
              </w:rPr>
            </w:pPr>
          </w:p>
        </w:tc>
        <w:tc>
          <w:tcPr>
            <w:tcW w:w="100" w:type="dxa"/>
            <w:vAlign w:val="bottom"/>
            <w:tcBorders>
              <w:top w:val="single" w:sz="8" w:color="0000FF"/>
            </w:tcBorders>
            <w:shd w:val="clear" w:color="auto" w:fill="F5F5F5"/>
          </w:tcPr>
          <w:p>
            <w:pPr>
              <w:spacing w:after="0" w:line="20" w:lineRule="exact"/>
              <w:rPr>
                <w:sz w:val="1"/>
                <w:szCs w:val="1"/>
                <w:color w:val="auto"/>
              </w:rPr>
            </w:pPr>
          </w:p>
        </w:tc>
        <w:tc>
          <w:tcPr>
            <w:tcW w:w="1000" w:type="dxa"/>
            <w:vAlign w:val="bottom"/>
            <w:tcBorders>
              <w:top w:val="single" w:sz="8" w:color="0000FF"/>
            </w:tcBorders>
            <w:shd w:val="clear" w:color="auto" w:fill="F5F5F5"/>
          </w:tcPr>
          <w:p>
            <w:pPr>
              <w:spacing w:after="0" w:line="20" w:lineRule="exact"/>
              <w:rPr>
                <w:sz w:val="1"/>
                <w:szCs w:val="1"/>
                <w:color w:val="auto"/>
              </w:rPr>
            </w:pPr>
          </w:p>
        </w:tc>
        <w:tc>
          <w:tcPr>
            <w:tcW w:w="320" w:type="dxa"/>
            <w:vAlign w:val="bottom"/>
            <w:tcBorders>
              <w:top w:val="single" w:sz="8" w:color="F5F5F5"/>
            </w:tcBorders>
            <w:shd w:val="clear" w:color="auto" w:fill="F5F5F5"/>
          </w:tcPr>
          <w:p>
            <w:pPr>
              <w:spacing w:after="0" w:line="20" w:lineRule="exact"/>
              <w:rPr>
                <w:sz w:val="1"/>
                <w:szCs w:val="1"/>
                <w:color w:val="auto"/>
              </w:rPr>
            </w:pPr>
          </w:p>
        </w:tc>
        <w:tc>
          <w:tcPr>
            <w:tcW w:w="4680" w:type="dxa"/>
            <w:vAlign w:val="bottom"/>
            <w:tcBorders>
              <w:top w:val="single" w:sz="8" w:color="F5F5F5"/>
            </w:tcBorders>
            <w:shd w:val="clear" w:color="auto" w:fill="F5F5F5"/>
          </w:tcPr>
          <w:p>
            <w:pPr>
              <w:spacing w:after="0" w:line="20" w:lineRule="exact"/>
              <w:rPr>
                <w:sz w:val="1"/>
                <w:szCs w:val="1"/>
                <w:color w:val="auto"/>
              </w:rPr>
            </w:pPr>
          </w:p>
        </w:tc>
        <w:tc>
          <w:tcPr>
            <w:tcW w:w="260" w:type="dxa"/>
            <w:vAlign w:val="bottom"/>
            <w:tcBorders>
              <w:top w:val="single" w:sz="8" w:color="F5F5F5"/>
            </w:tcBorders>
            <w:shd w:val="clear" w:color="auto" w:fill="F5F5F5"/>
          </w:tcPr>
          <w:p>
            <w:pPr>
              <w:spacing w:after="0" w:line="20" w:lineRule="exact"/>
              <w:rPr>
                <w:sz w:val="1"/>
                <w:szCs w:val="1"/>
                <w:color w:val="auto"/>
              </w:rPr>
            </w:pPr>
          </w:p>
        </w:tc>
        <w:tc>
          <w:tcPr>
            <w:tcW w:w="180" w:type="dxa"/>
            <w:vAlign w:val="bottom"/>
            <w:tcBorders>
              <w:top w:val="single" w:sz="8" w:color="0000FF"/>
            </w:tcBorders>
            <w:shd w:val="clear" w:color="auto" w:fill="F5F5F5"/>
          </w:tcPr>
          <w:p>
            <w:pPr>
              <w:spacing w:after="0" w:line="20" w:lineRule="exact"/>
              <w:rPr>
                <w:sz w:val="1"/>
                <w:szCs w:val="1"/>
                <w:color w:val="auto"/>
              </w:rPr>
            </w:pPr>
          </w:p>
        </w:tc>
        <w:tc>
          <w:tcPr>
            <w:tcW w:w="240" w:type="dxa"/>
            <w:vAlign w:val="bottom"/>
            <w:tcBorders>
              <w:top w:val="single" w:sz="8" w:color="F5F5F5"/>
            </w:tcBorders>
            <w:shd w:val="clear" w:color="auto" w:fill="F5F5F5"/>
          </w:tcPr>
          <w:p>
            <w:pPr>
              <w:spacing w:after="0" w:line="20" w:lineRule="exact"/>
              <w:rPr>
                <w:sz w:val="1"/>
                <w:szCs w:val="1"/>
                <w:color w:val="auto"/>
              </w:rPr>
            </w:pPr>
          </w:p>
        </w:tc>
        <w:tc>
          <w:tcPr>
            <w:tcW w:w="360" w:type="dxa"/>
            <w:vAlign w:val="bottom"/>
            <w:tcBorders>
              <w:top w:val="single" w:sz="8" w:color="F5F5F5"/>
            </w:tcBorders>
            <w:shd w:val="clear" w:color="auto" w:fill="F5F5F5"/>
          </w:tcPr>
          <w:p>
            <w:pPr>
              <w:spacing w:after="0" w:line="20" w:lineRule="exact"/>
              <w:rPr>
                <w:sz w:val="1"/>
                <w:szCs w:val="1"/>
                <w:color w:val="auto"/>
              </w:rPr>
            </w:pPr>
          </w:p>
        </w:tc>
      </w:tr>
      <w:tr>
        <w:trPr>
          <w:trHeight w:val="175"/>
        </w:trPr>
        <w:tc>
          <w:tcPr>
            <w:tcW w:w="1400" w:type="dxa"/>
            <w:vAlign w:val="bottom"/>
          </w:tcPr>
          <w:p>
            <w:pPr>
              <w:ind w:left="20"/>
              <w:spacing w:after="0" w:line="175" w:lineRule="exact"/>
              <w:rPr>
                <w:sz w:val="20"/>
                <w:szCs w:val="20"/>
                <w:color w:val="auto"/>
              </w:rPr>
            </w:pPr>
            <w:r>
              <w:rPr>
                <w:rFonts w:ascii="Arial" w:cs="Arial" w:eastAsia="Arial" w:hAnsi="Arial"/>
                <w:sz w:val="16"/>
                <w:szCs w:val="16"/>
                <w:color w:val="auto"/>
              </w:rPr>
              <w:t>Note 16.</w:t>
            </w:r>
          </w:p>
        </w:tc>
        <w:tc>
          <w:tcPr>
            <w:tcW w:w="3780" w:type="dxa"/>
            <w:vAlign w:val="bottom"/>
            <w:gridSpan w:val="16"/>
          </w:tcPr>
          <w:p>
            <w:pPr>
              <w:spacing w:after="0" w:line="175" w:lineRule="exact"/>
              <w:rPr>
                <w:sz w:val="20"/>
                <w:szCs w:val="20"/>
                <w:color w:val="auto"/>
              </w:rPr>
            </w:pPr>
            <w:r>
              <w:rPr>
                <w:rFonts w:ascii="Arial" w:cs="Arial" w:eastAsia="Arial" w:hAnsi="Arial"/>
                <w:sz w:val="16"/>
                <w:szCs w:val="16"/>
                <w:color w:val="0000FF"/>
              </w:rPr>
              <w:t>SAVINGS AND RETIREMENT PLANS</w:t>
            </w:r>
          </w:p>
        </w:tc>
        <w:tc>
          <w:tcPr>
            <w:tcW w:w="5000" w:type="dxa"/>
            <w:vAlign w:val="bottom"/>
            <w:gridSpan w:val="2"/>
          </w:tcPr>
          <w:p>
            <w:pPr>
              <w:spacing w:after="0"/>
              <w:rPr>
                <w:sz w:val="15"/>
                <w:szCs w:val="15"/>
                <w:color w:val="auto"/>
              </w:rPr>
            </w:pPr>
          </w:p>
        </w:tc>
        <w:tc>
          <w:tcPr>
            <w:tcW w:w="680" w:type="dxa"/>
            <w:vAlign w:val="bottom"/>
            <w:gridSpan w:val="3"/>
          </w:tcPr>
          <w:p>
            <w:pPr>
              <w:jc w:val="center"/>
              <w:spacing w:after="0" w:line="175" w:lineRule="exact"/>
              <w:rPr>
                <w:sz w:val="20"/>
                <w:szCs w:val="20"/>
                <w:color w:val="auto"/>
              </w:rPr>
            </w:pPr>
            <w:r>
              <w:rPr>
                <w:rFonts w:ascii="Arial" w:cs="Arial" w:eastAsia="Arial" w:hAnsi="Arial"/>
                <w:sz w:val="16"/>
                <w:szCs w:val="16"/>
                <w:color w:val="0000FF"/>
              </w:rPr>
              <w:t>75</w:t>
            </w:r>
          </w:p>
        </w:tc>
        <w:tc>
          <w:tcPr>
            <w:tcW w:w="360" w:type="dxa"/>
            <w:vAlign w:val="bottom"/>
          </w:tcPr>
          <w:p>
            <w:pPr>
              <w:spacing w:after="0"/>
              <w:rPr>
                <w:sz w:val="15"/>
                <w:szCs w:val="15"/>
                <w:color w:val="auto"/>
              </w:rPr>
            </w:pPr>
          </w:p>
        </w:tc>
      </w:tr>
      <w:tr>
        <w:trPr>
          <w:trHeight w:val="21"/>
        </w:trPr>
        <w:tc>
          <w:tcPr>
            <w:tcW w:w="14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75"/>
        </w:trPr>
        <w:tc>
          <w:tcPr>
            <w:tcW w:w="1400" w:type="dxa"/>
            <w:vAlign w:val="bottom"/>
            <w:shd w:val="clear" w:color="auto" w:fill="F5F5F5"/>
          </w:tcPr>
          <w:p>
            <w:pPr>
              <w:ind w:left="20"/>
              <w:spacing w:after="0" w:line="175" w:lineRule="exact"/>
              <w:rPr>
                <w:sz w:val="20"/>
                <w:szCs w:val="20"/>
                <w:color w:val="auto"/>
              </w:rPr>
            </w:pPr>
            <w:r>
              <w:rPr>
                <w:rFonts w:ascii="Arial" w:cs="Arial" w:eastAsia="Arial" w:hAnsi="Arial"/>
                <w:sz w:val="16"/>
                <w:szCs w:val="16"/>
                <w:color w:val="auto"/>
              </w:rPr>
              <w:t>Note 17.</w:t>
            </w:r>
          </w:p>
        </w:tc>
        <w:tc>
          <w:tcPr>
            <w:tcW w:w="8780" w:type="dxa"/>
            <w:vAlign w:val="bottom"/>
            <w:gridSpan w:val="18"/>
            <w:shd w:val="clear" w:color="auto" w:fill="F5F5F5"/>
          </w:tcPr>
          <w:p>
            <w:pPr>
              <w:spacing w:after="0" w:line="175" w:lineRule="exact"/>
              <w:rPr>
                <w:sz w:val="20"/>
                <w:szCs w:val="20"/>
                <w:color w:val="auto"/>
              </w:rPr>
            </w:pPr>
            <w:r>
              <w:rPr>
                <w:rFonts w:ascii="Arial" w:cs="Arial" w:eastAsia="Arial" w:hAnsi="Arial"/>
                <w:sz w:val="16"/>
                <w:szCs w:val="16"/>
                <w:color w:val="0000FF"/>
              </w:rPr>
              <w:t>SEGMENT REPORTING</w:t>
            </w:r>
          </w:p>
        </w:tc>
        <w:tc>
          <w:tcPr>
            <w:tcW w:w="680" w:type="dxa"/>
            <w:vAlign w:val="bottom"/>
            <w:gridSpan w:val="3"/>
            <w:shd w:val="clear" w:color="auto" w:fill="F5F5F5"/>
          </w:tcPr>
          <w:p>
            <w:pPr>
              <w:jc w:val="center"/>
              <w:spacing w:after="0" w:line="175" w:lineRule="exact"/>
              <w:rPr>
                <w:sz w:val="20"/>
                <w:szCs w:val="20"/>
                <w:color w:val="auto"/>
              </w:rPr>
            </w:pPr>
            <w:r>
              <w:rPr>
                <w:rFonts w:ascii="Arial" w:cs="Arial" w:eastAsia="Arial" w:hAnsi="Arial"/>
                <w:sz w:val="16"/>
                <w:szCs w:val="16"/>
                <w:color w:val="0000FF"/>
              </w:rPr>
              <w:t>76</w:t>
            </w:r>
          </w:p>
        </w:tc>
        <w:tc>
          <w:tcPr>
            <w:tcW w:w="360" w:type="dxa"/>
            <w:vAlign w:val="bottom"/>
            <w:shd w:val="clear" w:color="auto" w:fill="F5F5F5"/>
          </w:tcPr>
          <w:p>
            <w:pPr>
              <w:spacing w:after="0"/>
              <w:rPr>
                <w:sz w:val="15"/>
                <w:szCs w:val="15"/>
                <w:color w:val="auto"/>
              </w:rPr>
            </w:pPr>
          </w:p>
        </w:tc>
      </w:tr>
      <w:tr>
        <w:trPr>
          <w:trHeight w:val="21"/>
        </w:trPr>
        <w:tc>
          <w:tcPr>
            <w:tcW w:w="1400" w:type="dxa"/>
            <w:vAlign w:val="bottom"/>
            <w:tcBorders>
              <w:top w:val="single" w:sz="8" w:color="F5F5F5"/>
            </w:tcBorders>
            <w:shd w:val="clear" w:color="auto" w:fill="F5F5F5"/>
          </w:tcPr>
          <w:p>
            <w:pPr>
              <w:spacing w:after="0" w:line="20" w:lineRule="exact"/>
              <w:rPr>
                <w:sz w:val="1"/>
                <w:szCs w:val="1"/>
                <w:color w:val="auto"/>
              </w:rPr>
            </w:pPr>
          </w:p>
        </w:tc>
        <w:tc>
          <w:tcPr>
            <w:tcW w:w="640" w:type="dxa"/>
            <w:vAlign w:val="bottom"/>
            <w:tcBorders>
              <w:top w:val="single" w:sz="8" w:color="0000FF"/>
            </w:tcBorders>
            <w:shd w:val="clear" w:color="auto" w:fill="F5F5F5"/>
          </w:tcPr>
          <w:p>
            <w:pPr>
              <w:spacing w:after="0" w:line="20" w:lineRule="exact"/>
              <w:rPr>
                <w:sz w:val="1"/>
                <w:szCs w:val="1"/>
                <w:color w:val="auto"/>
              </w:rPr>
            </w:pPr>
          </w:p>
        </w:tc>
        <w:tc>
          <w:tcPr>
            <w:tcW w:w="280" w:type="dxa"/>
            <w:vAlign w:val="bottom"/>
            <w:tcBorders>
              <w:top w:val="single" w:sz="8" w:color="0000FF"/>
            </w:tcBorders>
            <w:shd w:val="clear" w:color="auto" w:fill="F5F5F5"/>
          </w:tcPr>
          <w:p>
            <w:pPr>
              <w:spacing w:after="0" w:line="20" w:lineRule="exact"/>
              <w:rPr>
                <w:sz w:val="1"/>
                <w:szCs w:val="1"/>
                <w:color w:val="auto"/>
              </w:rPr>
            </w:pPr>
          </w:p>
        </w:tc>
        <w:tc>
          <w:tcPr>
            <w:tcW w:w="180" w:type="dxa"/>
            <w:vAlign w:val="bottom"/>
            <w:tcBorders>
              <w:top w:val="single" w:sz="8" w:color="0000FF"/>
            </w:tcBorders>
            <w:shd w:val="clear" w:color="auto" w:fill="F5F5F5"/>
          </w:tcPr>
          <w:p>
            <w:pPr>
              <w:spacing w:after="0" w:line="20" w:lineRule="exact"/>
              <w:rPr>
                <w:sz w:val="1"/>
                <w:szCs w:val="1"/>
                <w:color w:val="auto"/>
              </w:rPr>
            </w:pPr>
          </w:p>
        </w:tc>
        <w:tc>
          <w:tcPr>
            <w:tcW w:w="40" w:type="dxa"/>
            <w:vAlign w:val="bottom"/>
            <w:tcBorders>
              <w:top w:val="single" w:sz="8" w:color="0000FF"/>
            </w:tcBorders>
            <w:shd w:val="clear" w:color="auto" w:fill="F5F5F5"/>
          </w:tcPr>
          <w:p>
            <w:pPr>
              <w:spacing w:after="0" w:line="20" w:lineRule="exact"/>
              <w:rPr>
                <w:sz w:val="1"/>
                <w:szCs w:val="1"/>
                <w:color w:val="auto"/>
              </w:rPr>
            </w:pPr>
          </w:p>
        </w:tc>
        <w:tc>
          <w:tcPr>
            <w:tcW w:w="20" w:type="dxa"/>
            <w:vAlign w:val="bottom"/>
            <w:tcBorders>
              <w:top w:val="single" w:sz="8" w:color="0000FF"/>
            </w:tcBorders>
            <w:shd w:val="clear" w:color="auto" w:fill="F5F5F5"/>
          </w:tcPr>
          <w:p>
            <w:pPr>
              <w:spacing w:after="0" w:line="20" w:lineRule="exact"/>
              <w:rPr>
                <w:sz w:val="1"/>
                <w:szCs w:val="1"/>
                <w:color w:val="auto"/>
              </w:rPr>
            </w:pPr>
          </w:p>
        </w:tc>
        <w:tc>
          <w:tcPr>
            <w:tcW w:w="60" w:type="dxa"/>
            <w:vAlign w:val="bottom"/>
            <w:tcBorders>
              <w:top w:val="single" w:sz="8" w:color="0000FF"/>
            </w:tcBorders>
            <w:shd w:val="clear" w:color="auto" w:fill="F5F5F5"/>
          </w:tcPr>
          <w:p>
            <w:pPr>
              <w:spacing w:after="0" w:line="20" w:lineRule="exact"/>
              <w:rPr>
                <w:sz w:val="1"/>
                <w:szCs w:val="1"/>
                <w:color w:val="auto"/>
              </w:rPr>
            </w:pPr>
          </w:p>
        </w:tc>
        <w:tc>
          <w:tcPr>
            <w:tcW w:w="140" w:type="dxa"/>
            <w:vAlign w:val="bottom"/>
            <w:tcBorders>
              <w:top w:val="single" w:sz="8" w:color="0000FF"/>
            </w:tcBorders>
            <w:shd w:val="clear" w:color="auto" w:fill="F5F5F5"/>
          </w:tcPr>
          <w:p>
            <w:pPr>
              <w:spacing w:after="0" w:line="20" w:lineRule="exact"/>
              <w:rPr>
                <w:sz w:val="1"/>
                <w:szCs w:val="1"/>
                <w:color w:val="auto"/>
              </w:rPr>
            </w:pPr>
          </w:p>
        </w:tc>
        <w:tc>
          <w:tcPr>
            <w:tcW w:w="220" w:type="dxa"/>
            <w:vAlign w:val="bottom"/>
            <w:tcBorders>
              <w:top w:val="single" w:sz="8" w:color="0000FF"/>
            </w:tcBorders>
            <w:shd w:val="clear" w:color="auto" w:fill="F5F5F5"/>
          </w:tcPr>
          <w:p>
            <w:pPr>
              <w:spacing w:after="0" w:line="20" w:lineRule="exact"/>
              <w:rPr>
                <w:sz w:val="1"/>
                <w:szCs w:val="1"/>
                <w:color w:val="auto"/>
              </w:rPr>
            </w:pPr>
          </w:p>
        </w:tc>
        <w:tc>
          <w:tcPr>
            <w:tcW w:w="140" w:type="dxa"/>
            <w:vAlign w:val="bottom"/>
            <w:tcBorders>
              <w:top w:val="single" w:sz="8" w:color="0000FF"/>
            </w:tcBorders>
            <w:shd w:val="clear" w:color="auto" w:fill="F5F5F5"/>
          </w:tcPr>
          <w:p>
            <w:pPr>
              <w:spacing w:after="0" w:line="20" w:lineRule="exact"/>
              <w:rPr>
                <w:sz w:val="1"/>
                <w:szCs w:val="1"/>
                <w:color w:val="auto"/>
              </w:rPr>
            </w:pPr>
          </w:p>
        </w:tc>
        <w:tc>
          <w:tcPr>
            <w:tcW w:w="80" w:type="dxa"/>
            <w:vAlign w:val="bottom"/>
            <w:tcBorders>
              <w:top w:val="single" w:sz="8" w:color="0000FF"/>
            </w:tcBorders>
            <w:shd w:val="clear" w:color="auto" w:fill="F5F5F5"/>
          </w:tcPr>
          <w:p>
            <w:pPr>
              <w:spacing w:after="0" w:line="20" w:lineRule="exact"/>
              <w:rPr>
                <w:sz w:val="1"/>
                <w:szCs w:val="1"/>
                <w:color w:val="auto"/>
              </w:rPr>
            </w:pPr>
          </w:p>
        </w:tc>
        <w:tc>
          <w:tcPr>
            <w:tcW w:w="180" w:type="dxa"/>
            <w:vAlign w:val="bottom"/>
            <w:tcBorders>
              <w:top w:val="single" w:sz="8" w:color="F5F5F5"/>
            </w:tcBorders>
            <w:shd w:val="clear" w:color="auto" w:fill="F5F5F5"/>
          </w:tcPr>
          <w:p>
            <w:pPr>
              <w:spacing w:after="0" w:line="20" w:lineRule="exact"/>
              <w:rPr>
                <w:sz w:val="1"/>
                <w:szCs w:val="1"/>
                <w:color w:val="auto"/>
              </w:rPr>
            </w:pPr>
          </w:p>
        </w:tc>
        <w:tc>
          <w:tcPr>
            <w:tcW w:w="180" w:type="dxa"/>
            <w:vAlign w:val="bottom"/>
            <w:tcBorders>
              <w:top w:val="single" w:sz="8" w:color="F5F5F5"/>
            </w:tcBorders>
            <w:shd w:val="clear" w:color="auto" w:fill="F5F5F5"/>
          </w:tcPr>
          <w:p>
            <w:pPr>
              <w:spacing w:after="0" w:line="20" w:lineRule="exact"/>
              <w:rPr>
                <w:sz w:val="1"/>
                <w:szCs w:val="1"/>
                <w:color w:val="auto"/>
              </w:rPr>
            </w:pPr>
          </w:p>
        </w:tc>
        <w:tc>
          <w:tcPr>
            <w:tcW w:w="360" w:type="dxa"/>
            <w:vAlign w:val="bottom"/>
            <w:tcBorders>
              <w:top w:val="single" w:sz="8" w:color="F5F5F5"/>
            </w:tcBorders>
            <w:shd w:val="clear" w:color="auto" w:fill="F5F5F5"/>
          </w:tcPr>
          <w:p>
            <w:pPr>
              <w:spacing w:after="0" w:line="20" w:lineRule="exact"/>
              <w:rPr>
                <w:sz w:val="1"/>
                <w:szCs w:val="1"/>
                <w:color w:val="auto"/>
              </w:rPr>
            </w:pPr>
          </w:p>
        </w:tc>
        <w:tc>
          <w:tcPr>
            <w:tcW w:w="160" w:type="dxa"/>
            <w:vAlign w:val="bottom"/>
            <w:tcBorders>
              <w:top w:val="single" w:sz="8" w:color="F5F5F5"/>
            </w:tcBorders>
            <w:shd w:val="clear" w:color="auto" w:fill="F5F5F5"/>
          </w:tcPr>
          <w:p>
            <w:pPr>
              <w:spacing w:after="0" w:line="20" w:lineRule="exact"/>
              <w:rPr>
                <w:sz w:val="1"/>
                <w:szCs w:val="1"/>
                <w:color w:val="auto"/>
              </w:rPr>
            </w:pPr>
          </w:p>
        </w:tc>
        <w:tc>
          <w:tcPr>
            <w:tcW w:w="100" w:type="dxa"/>
            <w:vAlign w:val="bottom"/>
            <w:tcBorders>
              <w:top w:val="single" w:sz="8" w:color="F5F5F5"/>
            </w:tcBorders>
            <w:shd w:val="clear" w:color="auto" w:fill="F5F5F5"/>
          </w:tcPr>
          <w:p>
            <w:pPr>
              <w:spacing w:after="0" w:line="20" w:lineRule="exact"/>
              <w:rPr>
                <w:sz w:val="1"/>
                <w:szCs w:val="1"/>
                <w:color w:val="auto"/>
              </w:rPr>
            </w:pPr>
          </w:p>
        </w:tc>
        <w:tc>
          <w:tcPr>
            <w:tcW w:w="1000" w:type="dxa"/>
            <w:vAlign w:val="bottom"/>
            <w:tcBorders>
              <w:top w:val="single" w:sz="8" w:color="F5F5F5"/>
            </w:tcBorders>
            <w:shd w:val="clear" w:color="auto" w:fill="F5F5F5"/>
          </w:tcPr>
          <w:p>
            <w:pPr>
              <w:spacing w:after="0" w:line="20" w:lineRule="exact"/>
              <w:rPr>
                <w:sz w:val="1"/>
                <w:szCs w:val="1"/>
                <w:color w:val="auto"/>
              </w:rPr>
            </w:pPr>
          </w:p>
        </w:tc>
        <w:tc>
          <w:tcPr>
            <w:tcW w:w="320" w:type="dxa"/>
            <w:vAlign w:val="bottom"/>
            <w:tcBorders>
              <w:top w:val="single" w:sz="8" w:color="F5F5F5"/>
            </w:tcBorders>
            <w:shd w:val="clear" w:color="auto" w:fill="F5F5F5"/>
          </w:tcPr>
          <w:p>
            <w:pPr>
              <w:spacing w:after="0" w:line="20" w:lineRule="exact"/>
              <w:rPr>
                <w:sz w:val="1"/>
                <w:szCs w:val="1"/>
                <w:color w:val="auto"/>
              </w:rPr>
            </w:pPr>
          </w:p>
        </w:tc>
        <w:tc>
          <w:tcPr>
            <w:tcW w:w="4680" w:type="dxa"/>
            <w:vAlign w:val="bottom"/>
            <w:tcBorders>
              <w:top w:val="single" w:sz="8" w:color="F5F5F5"/>
            </w:tcBorders>
            <w:shd w:val="clear" w:color="auto" w:fill="F5F5F5"/>
          </w:tcPr>
          <w:p>
            <w:pPr>
              <w:spacing w:after="0" w:line="20" w:lineRule="exact"/>
              <w:rPr>
                <w:sz w:val="1"/>
                <w:szCs w:val="1"/>
                <w:color w:val="auto"/>
              </w:rPr>
            </w:pPr>
          </w:p>
        </w:tc>
        <w:tc>
          <w:tcPr>
            <w:tcW w:w="260" w:type="dxa"/>
            <w:vAlign w:val="bottom"/>
            <w:tcBorders>
              <w:top w:val="single" w:sz="8" w:color="F5F5F5"/>
            </w:tcBorders>
            <w:shd w:val="clear" w:color="auto" w:fill="F5F5F5"/>
          </w:tcPr>
          <w:p>
            <w:pPr>
              <w:spacing w:after="0" w:line="20" w:lineRule="exact"/>
              <w:rPr>
                <w:sz w:val="1"/>
                <w:szCs w:val="1"/>
                <w:color w:val="auto"/>
              </w:rPr>
            </w:pPr>
          </w:p>
        </w:tc>
        <w:tc>
          <w:tcPr>
            <w:tcW w:w="180" w:type="dxa"/>
            <w:vAlign w:val="bottom"/>
            <w:tcBorders>
              <w:top w:val="single" w:sz="8" w:color="0000FF"/>
            </w:tcBorders>
            <w:shd w:val="clear" w:color="auto" w:fill="F5F5F5"/>
          </w:tcPr>
          <w:p>
            <w:pPr>
              <w:spacing w:after="0" w:line="20" w:lineRule="exact"/>
              <w:rPr>
                <w:sz w:val="1"/>
                <w:szCs w:val="1"/>
                <w:color w:val="auto"/>
              </w:rPr>
            </w:pPr>
          </w:p>
        </w:tc>
        <w:tc>
          <w:tcPr>
            <w:tcW w:w="240" w:type="dxa"/>
            <w:vAlign w:val="bottom"/>
            <w:tcBorders>
              <w:top w:val="single" w:sz="8" w:color="F5F5F5"/>
            </w:tcBorders>
            <w:shd w:val="clear" w:color="auto" w:fill="F5F5F5"/>
          </w:tcPr>
          <w:p>
            <w:pPr>
              <w:spacing w:after="0" w:line="20" w:lineRule="exact"/>
              <w:rPr>
                <w:sz w:val="1"/>
                <w:szCs w:val="1"/>
                <w:color w:val="auto"/>
              </w:rPr>
            </w:pPr>
          </w:p>
        </w:tc>
        <w:tc>
          <w:tcPr>
            <w:tcW w:w="360" w:type="dxa"/>
            <w:vAlign w:val="bottom"/>
            <w:tcBorders>
              <w:top w:val="single" w:sz="8" w:color="F5F5F5"/>
            </w:tcBorders>
            <w:shd w:val="clear" w:color="auto" w:fill="F5F5F5"/>
          </w:tcPr>
          <w:p>
            <w:pPr>
              <w:spacing w:after="0" w:line="20" w:lineRule="exact"/>
              <w:rPr>
                <w:sz w:val="1"/>
                <w:szCs w:val="1"/>
                <w:color w:val="auto"/>
              </w:rPr>
            </w:pPr>
          </w:p>
        </w:tc>
      </w:tr>
      <w:tr>
        <w:trPr>
          <w:trHeight w:val="176"/>
        </w:trPr>
        <w:tc>
          <w:tcPr>
            <w:tcW w:w="1400" w:type="dxa"/>
            <w:vAlign w:val="bottom"/>
          </w:tcPr>
          <w:p>
            <w:pPr>
              <w:ind w:left="20"/>
              <w:spacing w:after="0" w:line="175" w:lineRule="exact"/>
              <w:rPr>
                <w:sz w:val="20"/>
                <w:szCs w:val="20"/>
                <w:color w:val="auto"/>
              </w:rPr>
            </w:pPr>
            <w:r>
              <w:rPr>
                <w:rFonts w:ascii="Arial" w:cs="Arial" w:eastAsia="Arial" w:hAnsi="Arial"/>
                <w:sz w:val="16"/>
                <w:szCs w:val="16"/>
                <w:color w:val="auto"/>
              </w:rPr>
              <w:t>Note 18.</w:t>
            </w:r>
          </w:p>
        </w:tc>
        <w:tc>
          <w:tcPr>
            <w:tcW w:w="1360" w:type="dxa"/>
            <w:vAlign w:val="bottom"/>
            <w:gridSpan w:val="7"/>
          </w:tcPr>
          <w:p>
            <w:pPr>
              <w:spacing w:after="0" w:line="175" w:lineRule="exact"/>
              <w:rPr>
                <w:sz w:val="20"/>
                <w:szCs w:val="20"/>
                <w:color w:val="auto"/>
              </w:rPr>
            </w:pPr>
            <w:r>
              <w:rPr>
                <w:rFonts w:ascii="Arial" w:cs="Arial" w:eastAsia="Arial" w:hAnsi="Arial"/>
                <w:sz w:val="16"/>
                <w:szCs w:val="16"/>
                <w:color w:val="0000FF"/>
              </w:rPr>
              <w:t>CONTINGENCIES</w:t>
            </w:r>
          </w:p>
        </w:tc>
        <w:tc>
          <w:tcPr>
            <w:tcW w:w="440" w:type="dxa"/>
            <w:vAlign w:val="bottom"/>
            <w:gridSpan w:val="3"/>
          </w:tcPr>
          <w:p>
            <w:pPr>
              <w:spacing w:after="0"/>
              <w:rPr>
                <w:sz w:val="15"/>
                <w:szCs w:val="15"/>
                <w:color w:val="auto"/>
              </w:rPr>
            </w:pPr>
          </w:p>
        </w:tc>
        <w:tc>
          <w:tcPr>
            <w:tcW w:w="6980" w:type="dxa"/>
            <w:vAlign w:val="bottom"/>
            <w:gridSpan w:val="8"/>
          </w:tcPr>
          <w:p>
            <w:pPr>
              <w:spacing w:after="0"/>
              <w:rPr>
                <w:sz w:val="15"/>
                <w:szCs w:val="15"/>
                <w:color w:val="auto"/>
              </w:rPr>
            </w:pPr>
          </w:p>
        </w:tc>
        <w:tc>
          <w:tcPr>
            <w:tcW w:w="680" w:type="dxa"/>
            <w:vAlign w:val="bottom"/>
            <w:gridSpan w:val="3"/>
          </w:tcPr>
          <w:p>
            <w:pPr>
              <w:jc w:val="center"/>
              <w:spacing w:after="0" w:line="175" w:lineRule="exact"/>
              <w:rPr>
                <w:sz w:val="20"/>
                <w:szCs w:val="20"/>
                <w:color w:val="auto"/>
              </w:rPr>
            </w:pPr>
            <w:r>
              <w:rPr>
                <w:rFonts w:ascii="Arial" w:cs="Arial" w:eastAsia="Arial" w:hAnsi="Arial"/>
                <w:sz w:val="16"/>
                <w:szCs w:val="16"/>
                <w:color w:val="0000FF"/>
              </w:rPr>
              <w:t>79</w:t>
            </w:r>
          </w:p>
        </w:tc>
        <w:tc>
          <w:tcPr>
            <w:tcW w:w="360" w:type="dxa"/>
            <w:vAlign w:val="bottom"/>
          </w:tcPr>
          <w:p>
            <w:pPr>
              <w:spacing w:after="0"/>
              <w:rPr>
                <w:sz w:val="15"/>
                <w:szCs w:val="15"/>
                <w:color w:val="auto"/>
              </w:rPr>
            </w:pPr>
          </w:p>
        </w:tc>
      </w:tr>
      <w:tr>
        <w:trPr>
          <w:trHeight w:val="20"/>
        </w:trPr>
        <w:tc>
          <w:tcPr>
            <w:tcW w:w="14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49</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9" w:name="page50"/>
    <w:bookmarkEnd w:id="4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Abercrombie &amp; Fitch Co.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C7E65"/>
        </w:rPr>
        <w:t>1. NATURE OF BUSINESS</w:t>
      </w:r>
    </w:p>
    <w:p>
      <w:pPr>
        <w:spacing w:after="0" w:line="24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Abercrombie &amp; Fitch Co. (“A&amp;F”), a company incorporated in Delaware in 1996, through its subsidiaries (collectively, A&amp;F and its subsidiaries are referred to as the “Company”), is a global, digitally-led, omnichannel retailer. The Company offers a broad assortment of apparel, personal care products and accessories for men, women and kids, which are sold primarily through its Company-owned stores and digital channels, as well as through various third-party arrangements.</w:t>
      </w:r>
    </w:p>
    <w:p>
      <w:pPr>
        <w:spacing w:after="0" w:line="2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manages its business on a geographic basis, consisting of three reportable segments: Americas; Europe, the Middle East and Africa (“EMEA”); and Asia-Pacific (“APAC”). Corporate functions and other income and expenses are evaluated on a consolidated basis and are not allocated to the Company’s segments, and therefore are included as a reconciling item between segment and total operating income (loss).</w:t>
      </w:r>
    </w:p>
    <w:p>
      <w:pPr>
        <w:spacing w:after="0" w:line="19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Company’s brand families include Abercrombie brands and Hollister brands. These brands share a commitment to offering unique products of enduring quality and exceptional comfort that allow customers around the world to express their own individuality and style.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C7E65"/>
        </w:rPr>
        <w:t>2. SUMMARY OF SIGNIFICANT ACCOUNTING POLICIES</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Principles of Consolidation</w:t>
      </w:r>
    </w:p>
    <w:p>
      <w:pPr>
        <w:spacing w:after="0" w:line="246"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accompanying Consolidated Financial Statements include historical financial statements of, and transactions applicable to, the Company and reflect its financial position, results of operations and cash flows.</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 has interests in an Emirati business venture and in a Kuwaiti business venture with Majid al Futtaim Lifestyle L.L.C. (“MAF”), each of which meets the definition of a variable interest entity (“VIE”). The purpose of the business ventures with MAF is to operate stores in the United Arab Emirates and Kuwait. The Company is deemed to be the primary beneficiary of these VIEs; therefore, the Company has consolidated the operating results, assets and liabilities of these VIEs, with the noncontrolling interests’ (“NCI”) portions of net income presented as net income attributable to NCI on the Consolidated Statements of Operations and Comprehensive Income (Loss) and the NCI portion of stockholders equity presented as NCI on the Consolidated Balance Sheets.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Fiscal Year</w:t>
      </w:r>
    </w:p>
    <w:p>
      <w:pPr>
        <w:spacing w:after="0" w:line="260" w:lineRule="exact"/>
        <w:rPr>
          <w:sz w:val="20"/>
          <w:szCs w:val="20"/>
          <w:color w:val="auto"/>
        </w:rPr>
      </w:pPr>
    </w:p>
    <w:p>
      <w:pPr>
        <w:jc w:val="both"/>
        <w:ind w:right="20"/>
        <w:spacing w:after="0" w:line="272" w:lineRule="auto"/>
        <w:rPr>
          <w:sz w:val="20"/>
          <w:szCs w:val="20"/>
          <w:color w:val="auto"/>
        </w:rPr>
      </w:pPr>
      <w:r>
        <w:rPr>
          <w:rFonts w:ascii="Arial" w:cs="Arial" w:eastAsia="Arial" w:hAnsi="Arial"/>
          <w:sz w:val="16"/>
          <w:szCs w:val="16"/>
          <w:color w:val="auto"/>
        </w:rPr>
        <w:t>The Company’s fiscal year ends on the Saturday closest to January 31. This typically results in a fifty-two week year, but occasionally gives rise to an additional week, resulting in a fifty-three week year, as was the case in Fiscal 2023. Fiscal years are designated in the Consolidated Financial Statements and notes by the calendar year in which the fiscal year commences. All references herein to the Company’s fiscal years are as follows:</w:t>
      </w:r>
    </w:p>
    <w:tbl>
      <w:tblPr>
        <w:tblLayout w:type="fixed"/>
        <w:tblInd w:w="0" w:type="dxa"/>
        <w:tblCellMar>
          <w:top w:w="0" w:type="dxa"/>
          <w:left w:w="0" w:type="dxa"/>
          <w:bottom w:w="0" w:type="dxa"/>
          <w:right w:w="0" w:type="dxa"/>
        </w:tblCellMar>
      </w:tblPr>
      <w:tr>
        <w:trPr>
          <w:trHeight w:val="194"/>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Fiscal year</w:t>
            </w:r>
          </w:p>
        </w:tc>
        <w:tc>
          <w:tcPr>
            <w:tcW w:w="100" w:type="dxa"/>
            <w:vAlign w:val="bottom"/>
            <w:tcBorders>
              <w:bottom w:val="single" w:sz="8" w:color="F5F5F5"/>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Year ended/ ending</w:t>
            </w:r>
          </w:p>
        </w:tc>
        <w:tc>
          <w:tcPr>
            <w:tcW w:w="120" w:type="dxa"/>
            <w:vAlign w:val="bottom"/>
            <w:tcBorders>
              <w:bottom w:val="single" w:sz="8" w:color="F5F5F5"/>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Number of weeks</w:t>
            </w:r>
          </w:p>
        </w:tc>
      </w:tr>
      <w:tr>
        <w:trPr>
          <w:trHeight w:val="200"/>
        </w:trPr>
        <w:tc>
          <w:tcPr>
            <w:tcW w:w="7620" w:type="dxa"/>
            <w:vAlign w:val="bottom"/>
            <w:gridSpan w:val="2"/>
            <w:shd w:val="clear" w:color="auto" w:fill="F5F5F5"/>
          </w:tcPr>
          <w:p>
            <w:pPr>
              <w:ind w:left="20"/>
              <w:spacing w:after="0"/>
              <w:rPr>
                <w:sz w:val="20"/>
                <w:szCs w:val="20"/>
                <w:color w:val="auto"/>
              </w:rPr>
            </w:pPr>
            <w:r>
              <w:rPr>
                <w:rFonts w:ascii="Arial" w:cs="Arial" w:eastAsia="Arial" w:hAnsi="Arial"/>
                <w:sz w:val="14"/>
                <w:szCs w:val="14"/>
                <w:color w:val="auto"/>
              </w:rPr>
              <w:t>Fiscal 2021</w:t>
            </w:r>
          </w:p>
        </w:tc>
        <w:tc>
          <w:tcPr>
            <w:tcW w:w="1840" w:type="dxa"/>
            <w:vAlign w:val="bottom"/>
            <w:gridSpan w:val="2"/>
            <w:shd w:val="clear" w:color="auto" w:fill="F5F5F5"/>
          </w:tcPr>
          <w:p>
            <w:pPr>
              <w:jc w:val="center"/>
              <w:ind w:right="100"/>
              <w:spacing w:after="0"/>
              <w:rPr>
                <w:sz w:val="20"/>
                <w:szCs w:val="20"/>
                <w:color w:val="auto"/>
              </w:rPr>
            </w:pPr>
            <w:r>
              <w:rPr>
                <w:rFonts w:ascii="Arial" w:cs="Arial" w:eastAsia="Arial" w:hAnsi="Arial"/>
                <w:sz w:val="14"/>
                <w:szCs w:val="14"/>
                <w:color w:val="auto"/>
              </w:rPr>
              <w:t>January 29, 2022</w:t>
            </w:r>
          </w:p>
        </w:tc>
        <w:tc>
          <w:tcPr>
            <w:tcW w:w="1720" w:type="dxa"/>
            <w:vAlign w:val="bottom"/>
            <w:shd w:val="clear" w:color="auto" w:fill="F5F5F5"/>
          </w:tcPr>
          <w:p>
            <w:pPr>
              <w:jc w:val="center"/>
              <w:spacing w:after="0"/>
              <w:rPr>
                <w:sz w:val="20"/>
                <w:szCs w:val="20"/>
                <w:color w:val="auto"/>
              </w:rPr>
            </w:pPr>
            <w:r>
              <w:rPr>
                <w:rFonts w:ascii="Arial" w:cs="Arial" w:eastAsia="Arial" w:hAnsi="Arial"/>
                <w:sz w:val="14"/>
                <w:szCs w:val="14"/>
                <w:color w:val="auto"/>
              </w:rPr>
              <w:t>52</w:t>
            </w:r>
          </w:p>
        </w:tc>
      </w:tr>
      <w:tr>
        <w:trPr>
          <w:trHeight w:val="198"/>
        </w:trPr>
        <w:tc>
          <w:tcPr>
            <w:tcW w:w="7620" w:type="dxa"/>
            <w:vAlign w:val="bottom"/>
            <w:gridSpan w:val="2"/>
          </w:tcPr>
          <w:p>
            <w:pPr>
              <w:ind w:left="20"/>
              <w:spacing w:after="0"/>
              <w:rPr>
                <w:sz w:val="20"/>
                <w:szCs w:val="20"/>
                <w:color w:val="auto"/>
              </w:rPr>
            </w:pPr>
            <w:r>
              <w:rPr>
                <w:rFonts w:ascii="Arial" w:cs="Arial" w:eastAsia="Arial" w:hAnsi="Arial"/>
                <w:sz w:val="14"/>
                <w:szCs w:val="14"/>
                <w:color w:val="auto"/>
              </w:rPr>
              <w:t>Fiscal 2022</w:t>
            </w:r>
          </w:p>
        </w:tc>
        <w:tc>
          <w:tcPr>
            <w:tcW w:w="1840" w:type="dxa"/>
            <w:vAlign w:val="bottom"/>
            <w:gridSpan w:val="2"/>
          </w:tcPr>
          <w:p>
            <w:pPr>
              <w:jc w:val="center"/>
              <w:ind w:right="100"/>
              <w:spacing w:after="0"/>
              <w:rPr>
                <w:sz w:val="20"/>
                <w:szCs w:val="20"/>
                <w:color w:val="auto"/>
              </w:rPr>
            </w:pPr>
            <w:r>
              <w:rPr>
                <w:rFonts w:ascii="Arial" w:cs="Arial" w:eastAsia="Arial" w:hAnsi="Arial"/>
                <w:sz w:val="14"/>
                <w:szCs w:val="14"/>
                <w:color w:val="auto"/>
              </w:rPr>
              <w:t>January 28, 2023</w:t>
            </w:r>
          </w:p>
        </w:tc>
        <w:tc>
          <w:tcPr>
            <w:tcW w:w="1720" w:type="dxa"/>
            <w:vAlign w:val="bottom"/>
          </w:tcPr>
          <w:p>
            <w:pPr>
              <w:jc w:val="center"/>
              <w:spacing w:after="0"/>
              <w:rPr>
                <w:sz w:val="20"/>
                <w:szCs w:val="20"/>
                <w:color w:val="auto"/>
              </w:rPr>
            </w:pPr>
            <w:r>
              <w:rPr>
                <w:rFonts w:ascii="Arial" w:cs="Arial" w:eastAsia="Arial" w:hAnsi="Arial"/>
                <w:sz w:val="14"/>
                <w:szCs w:val="14"/>
                <w:color w:val="auto"/>
              </w:rPr>
              <w:t>52</w:t>
            </w:r>
          </w:p>
        </w:tc>
      </w:tr>
      <w:tr>
        <w:trPr>
          <w:trHeight w:val="207"/>
        </w:trPr>
        <w:tc>
          <w:tcPr>
            <w:tcW w:w="7620" w:type="dxa"/>
            <w:vAlign w:val="bottom"/>
            <w:gridSpan w:val="2"/>
            <w:shd w:val="clear" w:color="auto" w:fill="F5F5F5"/>
          </w:tcPr>
          <w:p>
            <w:pPr>
              <w:ind w:left="20"/>
              <w:spacing w:after="0"/>
              <w:rPr>
                <w:sz w:val="20"/>
                <w:szCs w:val="20"/>
                <w:color w:val="auto"/>
              </w:rPr>
            </w:pPr>
            <w:r>
              <w:rPr>
                <w:rFonts w:ascii="Arial" w:cs="Arial" w:eastAsia="Arial" w:hAnsi="Arial"/>
                <w:sz w:val="14"/>
                <w:szCs w:val="14"/>
                <w:color w:val="auto"/>
              </w:rPr>
              <w:t>Fiscal 2023</w:t>
            </w:r>
          </w:p>
        </w:tc>
        <w:tc>
          <w:tcPr>
            <w:tcW w:w="1840" w:type="dxa"/>
            <w:vAlign w:val="bottom"/>
            <w:gridSpan w:val="2"/>
            <w:shd w:val="clear" w:color="auto" w:fill="F5F5F5"/>
          </w:tcPr>
          <w:p>
            <w:pPr>
              <w:jc w:val="center"/>
              <w:ind w:right="100"/>
              <w:spacing w:after="0"/>
              <w:rPr>
                <w:sz w:val="20"/>
                <w:szCs w:val="20"/>
                <w:color w:val="auto"/>
              </w:rPr>
            </w:pPr>
            <w:r>
              <w:rPr>
                <w:rFonts w:ascii="Arial" w:cs="Arial" w:eastAsia="Arial" w:hAnsi="Arial"/>
                <w:sz w:val="14"/>
                <w:szCs w:val="14"/>
                <w:color w:val="auto"/>
              </w:rPr>
              <w:t>February 3, 2024</w:t>
            </w:r>
          </w:p>
        </w:tc>
        <w:tc>
          <w:tcPr>
            <w:tcW w:w="1720" w:type="dxa"/>
            <w:vAlign w:val="bottom"/>
            <w:shd w:val="clear" w:color="auto" w:fill="F5F5F5"/>
          </w:tcPr>
          <w:p>
            <w:pPr>
              <w:jc w:val="center"/>
              <w:spacing w:after="0"/>
              <w:rPr>
                <w:sz w:val="20"/>
                <w:szCs w:val="20"/>
                <w:color w:val="auto"/>
              </w:rPr>
            </w:pPr>
            <w:r>
              <w:rPr>
                <w:rFonts w:ascii="Arial" w:cs="Arial" w:eastAsia="Arial" w:hAnsi="Arial"/>
                <w:sz w:val="14"/>
                <w:szCs w:val="14"/>
                <w:color w:val="auto"/>
              </w:rPr>
              <w:t>53</w:t>
            </w:r>
          </w:p>
        </w:tc>
      </w:tr>
      <w:tr>
        <w:trPr>
          <w:trHeight w:val="198"/>
        </w:trPr>
        <w:tc>
          <w:tcPr>
            <w:tcW w:w="7620" w:type="dxa"/>
            <w:vAlign w:val="bottom"/>
            <w:gridSpan w:val="2"/>
          </w:tcPr>
          <w:p>
            <w:pPr>
              <w:ind w:left="20"/>
              <w:spacing w:after="0"/>
              <w:rPr>
                <w:sz w:val="20"/>
                <w:szCs w:val="20"/>
                <w:color w:val="auto"/>
              </w:rPr>
            </w:pPr>
            <w:r>
              <w:rPr>
                <w:rFonts w:ascii="Arial" w:cs="Arial" w:eastAsia="Arial" w:hAnsi="Arial"/>
                <w:sz w:val="14"/>
                <w:szCs w:val="14"/>
                <w:color w:val="auto"/>
              </w:rPr>
              <w:t>Fiscal 2024</w:t>
            </w:r>
          </w:p>
        </w:tc>
        <w:tc>
          <w:tcPr>
            <w:tcW w:w="1840" w:type="dxa"/>
            <w:vAlign w:val="bottom"/>
            <w:gridSpan w:val="2"/>
          </w:tcPr>
          <w:p>
            <w:pPr>
              <w:jc w:val="center"/>
              <w:ind w:right="100"/>
              <w:spacing w:after="0"/>
              <w:rPr>
                <w:sz w:val="20"/>
                <w:szCs w:val="20"/>
                <w:color w:val="auto"/>
              </w:rPr>
            </w:pPr>
            <w:r>
              <w:rPr>
                <w:rFonts w:ascii="Arial" w:cs="Arial" w:eastAsia="Arial" w:hAnsi="Arial"/>
                <w:sz w:val="14"/>
                <w:szCs w:val="14"/>
                <w:color w:val="auto"/>
              </w:rPr>
              <w:t>February 1, 2025</w:t>
            </w:r>
          </w:p>
        </w:tc>
        <w:tc>
          <w:tcPr>
            <w:tcW w:w="1720" w:type="dxa"/>
            <w:vAlign w:val="bottom"/>
          </w:tcPr>
          <w:p>
            <w:pPr>
              <w:jc w:val="center"/>
              <w:spacing w:after="0"/>
              <w:rPr>
                <w:sz w:val="20"/>
                <w:szCs w:val="20"/>
                <w:color w:val="auto"/>
              </w:rPr>
            </w:pPr>
            <w:r>
              <w:rPr>
                <w:rFonts w:ascii="Arial" w:cs="Arial" w:eastAsia="Arial" w:hAnsi="Arial"/>
                <w:sz w:val="14"/>
                <w:szCs w:val="14"/>
                <w:color w:val="auto"/>
              </w:rPr>
              <w:t>52</w:t>
            </w:r>
          </w:p>
        </w:tc>
      </w:tr>
      <w:tr>
        <w:trPr>
          <w:trHeight w:val="207"/>
        </w:trPr>
        <w:tc>
          <w:tcPr>
            <w:tcW w:w="7620" w:type="dxa"/>
            <w:vAlign w:val="bottom"/>
            <w:gridSpan w:val="2"/>
            <w:shd w:val="clear" w:color="auto" w:fill="F5F5F5"/>
          </w:tcPr>
          <w:p>
            <w:pPr>
              <w:ind w:left="20"/>
              <w:spacing w:after="0"/>
              <w:rPr>
                <w:sz w:val="20"/>
                <w:szCs w:val="20"/>
                <w:color w:val="auto"/>
              </w:rPr>
            </w:pPr>
            <w:r>
              <w:rPr>
                <w:rFonts w:ascii="Arial" w:cs="Arial" w:eastAsia="Arial" w:hAnsi="Arial"/>
                <w:sz w:val="14"/>
                <w:szCs w:val="14"/>
                <w:color w:val="auto"/>
              </w:rPr>
              <w:t>Fiscal 2025</w:t>
            </w:r>
          </w:p>
        </w:tc>
        <w:tc>
          <w:tcPr>
            <w:tcW w:w="1840" w:type="dxa"/>
            <w:vAlign w:val="bottom"/>
            <w:gridSpan w:val="2"/>
            <w:shd w:val="clear" w:color="auto" w:fill="F5F5F5"/>
          </w:tcPr>
          <w:p>
            <w:pPr>
              <w:jc w:val="center"/>
              <w:ind w:right="100"/>
              <w:spacing w:after="0"/>
              <w:rPr>
                <w:sz w:val="20"/>
                <w:szCs w:val="20"/>
                <w:color w:val="auto"/>
              </w:rPr>
            </w:pPr>
            <w:r>
              <w:rPr>
                <w:rFonts w:ascii="Arial" w:cs="Arial" w:eastAsia="Arial" w:hAnsi="Arial"/>
                <w:sz w:val="14"/>
                <w:szCs w:val="14"/>
                <w:color w:val="auto"/>
              </w:rPr>
              <w:t>January 31, 2026</w:t>
            </w:r>
          </w:p>
        </w:tc>
        <w:tc>
          <w:tcPr>
            <w:tcW w:w="1720" w:type="dxa"/>
            <w:vAlign w:val="bottom"/>
            <w:shd w:val="clear" w:color="auto" w:fill="F5F5F5"/>
          </w:tcPr>
          <w:p>
            <w:pPr>
              <w:jc w:val="center"/>
              <w:spacing w:after="0"/>
              <w:rPr>
                <w:sz w:val="20"/>
                <w:szCs w:val="20"/>
                <w:color w:val="auto"/>
              </w:rPr>
            </w:pPr>
            <w:r>
              <w:rPr>
                <w:rFonts w:ascii="Arial" w:cs="Arial" w:eastAsia="Arial" w:hAnsi="Arial"/>
                <w:sz w:val="14"/>
                <w:szCs w:val="14"/>
                <w:color w:val="auto"/>
              </w:rPr>
              <w:t>52</w:t>
            </w:r>
          </w:p>
        </w:tc>
      </w:tr>
    </w:tbl>
    <w:p>
      <w:pPr>
        <w:spacing w:after="0" w:line="32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Use of Estimates</w:t>
      </w:r>
    </w:p>
    <w:p>
      <w:pPr>
        <w:spacing w:after="0" w:line="24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(“GAAP”), requires management to make estimates and assumptions that affect the reported amounts of assets and liabilities and disclosure of contingent assets and liabilities at the date of the financial statements and the reported amounts of net sales and expenses during the reporting period. Due to the inherent uncertainty involved with estimates, actual results may differ. Additionally, these estimates and assumptions may change as a result of the impact of global economic conditions such as the uncertainty regarding a slowing economy, volatile interest rates, continued inflation, fluctuation in foreign exchange rates, and geopolitical concerns, all of which could result in material impacts to the Company’s consolidated financial statements in future reporting periods.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50</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Abercrombie &amp; Fitch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Reclassifications</w:t>
      </w:r>
    </w:p>
    <w:p>
      <w:pPr>
        <w:spacing w:after="0" w:line="1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 xml:space="preserve">In prior periods, the Company included stores and distribution expense and marketing, general and administrative expense as individual expense categories on the Consolidated Statements of Operations and Comprehensive Income (Loss). Stores &amp; distribution expense was recaptioned as selling expense, while marketing, general and administrative expense was recaptioned as general and administrative expense. In conjunction with these changes, all marketing expenses, including amounts previously presented in marketing, general and administrative expense, were moved into selling expense, while certain management and IT costs were moved out of stores and distribution expense and into general and administrative expense. The net changes associated with these reclassifications results in selling expense that is $38.3 million and $35.0 million lower than the stores and distribution expense that was previously presented for Fiscal 2023 and Fiscal 2022, respectively, and in general and administrative expense that is $38.3 million and $35.0 million higher than the marketing, general, and administrative expense that was previously presented for Fiscal 2023 and Fiscal 2022, respectively. Refer to </w:t>
      </w:r>
      <w:r>
        <w:rPr>
          <w:rFonts w:ascii="Arial" w:cs="Arial" w:eastAsia="Arial" w:hAnsi="Arial"/>
          <w:sz w:val="16"/>
          <w:szCs w:val="16"/>
          <w:u w:val="single" w:color="auto"/>
          <w:color w:val="0000FF"/>
        </w:rPr>
        <w:t>selling expense</w:t>
      </w:r>
      <w:r>
        <w:rPr>
          <w:rFonts w:ascii="Arial" w:cs="Arial" w:eastAsia="Arial" w:hAnsi="Arial"/>
          <w:sz w:val="16"/>
          <w:szCs w:val="16"/>
          <w:color w:val="auto"/>
        </w:rPr>
        <w:t xml:space="preserve"> and </w:t>
      </w:r>
      <w:r>
        <w:rPr>
          <w:rFonts w:ascii="Arial" w:cs="Arial" w:eastAsia="Arial" w:hAnsi="Arial"/>
          <w:sz w:val="16"/>
          <w:szCs w:val="16"/>
          <w:u w:val="single" w:color="auto"/>
          <w:color w:val="0000FF"/>
        </w:rPr>
        <w:t>general and administrative expense</w:t>
      </w:r>
      <w:r>
        <w:rPr>
          <w:rFonts w:ascii="Arial" w:cs="Arial" w:eastAsia="Arial" w:hAnsi="Arial"/>
          <w:sz w:val="16"/>
          <w:szCs w:val="16"/>
          <w:color w:val="0000FF"/>
        </w:rPr>
        <w:t xml:space="preserve"> </w:t>
      </w:r>
      <w:r>
        <w:rPr>
          <w:rFonts w:ascii="Arial" w:cs="Arial" w:eastAsia="Arial" w:hAnsi="Arial"/>
          <w:sz w:val="16"/>
          <w:szCs w:val="16"/>
          <w:color w:val="000000"/>
        </w:rPr>
        <w:t>below for details regarding the composition of these expenses categories. There were no changes to operating income</w:t>
      </w:r>
      <w:r>
        <w:rPr>
          <w:rFonts w:ascii="Arial" w:cs="Arial" w:eastAsia="Arial" w:hAnsi="Arial"/>
          <w:sz w:val="16"/>
          <w:szCs w:val="16"/>
          <w:color w:val="0000FF"/>
        </w:rPr>
        <w:t xml:space="preserve"> </w:t>
      </w:r>
      <w:r>
        <w:rPr>
          <w:rFonts w:ascii="Arial" w:cs="Arial" w:eastAsia="Arial" w:hAnsi="Arial"/>
          <w:sz w:val="16"/>
          <w:szCs w:val="16"/>
          <w:color w:val="000000"/>
        </w:rPr>
        <w:t>(loss) or net income (loss). Prior period amounts have been reclassified to conform to the current fiscal year’s presentation.</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Cash and Equivalents</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A summary of cash and equivalents on the Consolidated Balance Sheets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0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6"/>
                <w:szCs w:val="16"/>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color w:val="auto"/>
              </w:rPr>
              <w:t>February 1, 2025</w:t>
            </w: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February 3, 2024</w:t>
            </w:r>
          </w:p>
        </w:tc>
      </w:tr>
      <w:tr>
        <w:trPr>
          <w:trHeight w:val="200"/>
        </w:trPr>
        <w:tc>
          <w:tcPr>
            <w:tcW w:w="8080" w:type="dxa"/>
            <w:vAlign w:val="bottom"/>
            <w:tcBorders>
              <w:top w:val="single" w:sz="8" w:color="F5F5F5"/>
            </w:tcBorders>
            <w:shd w:val="clear" w:color="auto" w:fill="F5F5F5"/>
          </w:tcPr>
          <w:p>
            <w:pPr>
              <w:ind w:left="20"/>
              <w:spacing w:after="0" w:line="200" w:lineRule="exact"/>
              <w:rPr>
                <w:sz w:val="20"/>
                <w:szCs w:val="20"/>
                <w:color w:val="auto"/>
              </w:rPr>
            </w:pPr>
            <w:r>
              <w:rPr>
                <w:rFonts w:ascii="Arial" w:cs="Arial" w:eastAsia="Arial" w:hAnsi="Arial"/>
                <w:sz w:val="14"/>
                <w:szCs w:val="14"/>
                <w:color w:val="auto"/>
              </w:rPr>
              <w:t xml:space="preserve">Cash </w:t>
            </w:r>
            <w:r>
              <w:rPr>
                <w:rFonts w:ascii="Arial" w:cs="Arial" w:eastAsia="Arial" w:hAnsi="Arial"/>
                <w:sz w:val="18"/>
                <w:szCs w:val="18"/>
                <w:color w:val="auto"/>
                <w:vertAlign w:val="superscript"/>
              </w:rPr>
              <w:t>(1)</w:t>
            </w:r>
          </w:p>
        </w:tc>
        <w:tc>
          <w:tcPr>
            <w:tcW w:w="260" w:type="dxa"/>
            <w:vAlign w:val="bottom"/>
            <w:tcBorders>
              <w:top w:val="single" w:sz="8" w:color="auto"/>
            </w:tcBorders>
            <w:shd w:val="clear" w:color="auto" w:fill="F5F5F5"/>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467,642</w:t>
            </w:r>
          </w:p>
        </w:tc>
        <w:tc>
          <w:tcPr>
            <w:tcW w:w="120" w:type="dxa"/>
            <w:vAlign w:val="bottom"/>
            <w:tcBorders>
              <w:top w:val="single" w:sz="8" w:color="F5F5F5"/>
            </w:tcBorders>
            <w:shd w:val="clear" w:color="auto" w:fill="F5F5F5"/>
          </w:tcPr>
          <w:p>
            <w:pPr>
              <w:spacing w:after="0"/>
              <w:rPr>
                <w:sz w:val="17"/>
                <w:szCs w:val="17"/>
                <w:color w:val="auto"/>
              </w:rPr>
            </w:pPr>
          </w:p>
        </w:tc>
        <w:tc>
          <w:tcPr>
            <w:tcW w:w="240" w:type="dxa"/>
            <w:vAlign w:val="bottom"/>
            <w:tcBorders>
              <w:top w:val="single" w:sz="8" w:color="auto"/>
            </w:tcBorders>
            <w:shd w:val="clear" w:color="auto" w:fill="F5F5F5"/>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524,735</w:t>
            </w:r>
          </w:p>
        </w:tc>
      </w:tr>
      <w:tr>
        <w:trPr>
          <w:trHeight w:val="203"/>
        </w:trPr>
        <w:tc>
          <w:tcPr>
            <w:tcW w:w="808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Cash equivalents: </w:t>
            </w:r>
            <w:r>
              <w:rPr>
                <w:rFonts w:ascii="Arial" w:cs="Arial" w:eastAsia="Arial" w:hAnsi="Arial"/>
                <w:sz w:val="18"/>
                <w:szCs w:val="18"/>
                <w:color w:val="auto"/>
                <w:vertAlign w:val="superscript"/>
              </w:rPr>
              <w:t>(2)</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8080" w:type="dxa"/>
            <w:vAlign w:val="bottom"/>
            <w:shd w:val="clear" w:color="auto" w:fill="F5F5F5"/>
          </w:tcPr>
          <w:p>
            <w:pPr>
              <w:ind w:left="140"/>
              <w:spacing w:after="0"/>
              <w:rPr>
                <w:sz w:val="20"/>
                <w:szCs w:val="20"/>
                <w:color w:val="auto"/>
              </w:rPr>
            </w:pPr>
            <w:r>
              <w:rPr>
                <w:rFonts w:ascii="Arial" w:cs="Arial" w:eastAsia="Arial" w:hAnsi="Arial"/>
                <w:sz w:val="14"/>
                <w:szCs w:val="14"/>
                <w:color w:val="auto"/>
              </w:rPr>
              <w:t>Time deposits</w:t>
            </w:r>
          </w:p>
        </w:tc>
        <w:tc>
          <w:tcPr>
            <w:tcW w:w="260" w:type="dxa"/>
            <w:vAlign w:val="bottom"/>
            <w:shd w:val="clear" w:color="auto" w:fill="F5F5F5"/>
          </w:tcPr>
          <w:p>
            <w:pPr>
              <w:spacing w:after="0"/>
              <w:rPr>
                <w:sz w:val="17"/>
                <w:szCs w:val="17"/>
                <w:color w:val="auto"/>
              </w:rPr>
            </w:pPr>
          </w:p>
        </w:tc>
        <w:tc>
          <w:tcPr>
            <w:tcW w:w="126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1,013</w:t>
            </w:r>
          </w:p>
        </w:tc>
        <w:tc>
          <w:tcPr>
            <w:tcW w:w="120" w:type="dxa"/>
            <w:vAlign w:val="bottom"/>
            <w:shd w:val="clear" w:color="auto" w:fill="F5F5F5"/>
          </w:tcPr>
          <w:p>
            <w:pPr>
              <w:spacing w:after="0"/>
              <w:rPr>
                <w:sz w:val="17"/>
                <w:szCs w:val="17"/>
                <w:color w:val="auto"/>
              </w:rPr>
            </w:pPr>
          </w:p>
        </w:tc>
        <w:tc>
          <w:tcPr>
            <w:tcW w:w="240" w:type="dxa"/>
            <w:vAlign w:val="bottom"/>
            <w:shd w:val="clear" w:color="auto" w:fill="F5F5F5"/>
          </w:tcPr>
          <w:p>
            <w:pPr>
              <w:spacing w:after="0"/>
              <w:rPr>
                <w:sz w:val="17"/>
                <w:szCs w:val="17"/>
                <w:color w:val="auto"/>
              </w:rPr>
            </w:pPr>
          </w:p>
        </w:tc>
        <w:tc>
          <w:tcPr>
            <w:tcW w:w="12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26,975</w:t>
            </w:r>
          </w:p>
        </w:tc>
      </w:tr>
      <w:tr>
        <w:trPr>
          <w:trHeight w:val="199"/>
        </w:trPr>
        <w:tc>
          <w:tcPr>
            <w:tcW w:w="8080" w:type="dxa"/>
            <w:vAlign w:val="bottom"/>
            <w:tcBorders>
              <w:bottom w:val="single" w:sz="8" w:color="F5F5F5"/>
            </w:tcBorders>
          </w:tcPr>
          <w:p>
            <w:pPr>
              <w:ind w:left="140"/>
              <w:spacing w:after="0"/>
              <w:rPr>
                <w:sz w:val="20"/>
                <w:szCs w:val="20"/>
                <w:color w:val="auto"/>
              </w:rPr>
            </w:pPr>
            <w:r>
              <w:rPr>
                <w:rFonts w:ascii="Arial" w:cs="Arial" w:eastAsia="Arial" w:hAnsi="Arial"/>
                <w:sz w:val="14"/>
                <w:szCs w:val="14"/>
                <w:color w:val="auto"/>
              </w:rPr>
              <w:t>Money market funds</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304,072</w:t>
            </w:r>
          </w:p>
        </w:tc>
        <w:tc>
          <w:tcPr>
            <w:tcW w:w="120" w:type="dxa"/>
            <w:vAlign w:val="bottom"/>
            <w:tcBorders>
              <w:bottom w:val="single" w:sz="8" w:color="F5F5F5"/>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349,174</w:t>
            </w:r>
          </w:p>
        </w:tc>
      </w:tr>
      <w:tr>
        <w:trPr>
          <w:trHeight w:val="221"/>
        </w:trPr>
        <w:tc>
          <w:tcPr>
            <w:tcW w:w="8080" w:type="dxa"/>
            <w:vAlign w:val="bottom"/>
            <w:tcBorders>
              <w:bottom w:val="single" w:sz="8" w:color="F5F5F5"/>
            </w:tcBorders>
            <w:shd w:val="clear" w:color="auto" w:fill="F5F5F5"/>
          </w:tcPr>
          <w:p>
            <w:pPr>
              <w:ind w:left="20"/>
              <w:spacing w:after="0"/>
              <w:rPr>
                <w:sz w:val="20"/>
                <w:szCs w:val="20"/>
                <w:color w:val="auto"/>
              </w:rPr>
            </w:pPr>
            <w:r>
              <w:rPr>
                <w:rFonts w:ascii="Arial" w:cs="Arial" w:eastAsia="Arial" w:hAnsi="Arial"/>
                <w:sz w:val="14"/>
                <w:szCs w:val="14"/>
                <w:color w:val="auto"/>
              </w:rPr>
              <w:t>Cash and equivalents</w:t>
            </w:r>
          </w:p>
        </w:tc>
        <w:tc>
          <w:tcPr>
            <w:tcW w:w="260" w:type="dxa"/>
            <w:vAlign w:val="bottom"/>
            <w:tcBorders>
              <w:bottom w:val="single" w:sz="8" w:color="auto"/>
            </w:tcBorders>
            <w:shd w:val="clear" w:color="auto" w:fill="F5F5F5"/>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772,727</w:t>
            </w:r>
          </w:p>
        </w:tc>
        <w:tc>
          <w:tcPr>
            <w:tcW w:w="120" w:type="dxa"/>
            <w:vAlign w:val="bottom"/>
            <w:tcBorders>
              <w:bottom w:val="single" w:sz="8" w:color="F5F5F5"/>
            </w:tcBorders>
            <w:shd w:val="clear" w:color="auto" w:fill="F5F5F5"/>
          </w:tcPr>
          <w:p>
            <w:pPr>
              <w:spacing w:after="0"/>
              <w:rPr>
                <w:sz w:val="18"/>
                <w:szCs w:val="18"/>
                <w:color w:val="auto"/>
              </w:rPr>
            </w:pPr>
          </w:p>
        </w:tc>
        <w:tc>
          <w:tcPr>
            <w:tcW w:w="240" w:type="dxa"/>
            <w:vAlign w:val="bottom"/>
            <w:tcBorders>
              <w:bottom w:val="single" w:sz="8" w:color="auto"/>
            </w:tcBorders>
            <w:shd w:val="clear" w:color="auto" w:fill="F5F5F5"/>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900,884</w:t>
            </w:r>
          </w:p>
        </w:tc>
      </w:tr>
      <w:tr>
        <w:trPr>
          <w:trHeight w:val="20"/>
        </w:trPr>
        <w:tc>
          <w:tcPr>
            <w:tcW w:w="8080" w:type="dxa"/>
            <w:vAlign w:val="bottom"/>
            <w:tcBorders>
              <w:top w:val="single" w:sz="8" w:color="F5F5F5"/>
            </w:tcBorders>
          </w:tcPr>
          <w:p>
            <w:pPr>
              <w:spacing w:after="0" w:line="20" w:lineRule="exact"/>
              <w:rPr>
                <w:sz w:val="1"/>
                <w:szCs w:val="1"/>
                <w:color w:val="auto"/>
              </w:rPr>
            </w:pPr>
          </w:p>
        </w:tc>
        <w:tc>
          <w:tcPr>
            <w:tcW w:w="260" w:type="dxa"/>
            <w:vAlign w:val="bottom"/>
            <w:tcBorders>
              <w:top w:val="single" w:sz="8" w:color="F5F5F5"/>
              <w:bottom w:val="single" w:sz="8" w:color="auto"/>
            </w:tcBorders>
          </w:tcPr>
          <w:p>
            <w:pPr>
              <w:spacing w:after="0" w:line="20" w:lineRule="exact"/>
              <w:rPr>
                <w:sz w:val="1"/>
                <w:szCs w:val="1"/>
                <w:color w:val="auto"/>
              </w:rPr>
            </w:pPr>
          </w:p>
        </w:tc>
        <w:tc>
          <w:tcPr>
            <w:tcW w:w="1260" w:type="dxa"/>
            <w:vAlign w:val="bottom"/>
            <w:tcBorders>
              <w:top w:val="single" w:sz="8" w:color="F5F5F5"/>
              <w:bottom w:val="single" w:sz="8" w:color="auto"/>
            </w:tcBorders>
          </w:tcPr>
          <w:p>
            <w:pPr>
              <w:spacing w:after="0" w:line="20" w:lineRule="exact"/>
              <w:rPr>
                <w:sz w:val="1"/>
                <w:szCs w:val="1"/>
                <w:color w:val="auto"/>
              </w:rPr>
            </w:pPr>
          </w:p>
        </w:tc>
        <w:tc>
          <w:tcPr>
            <w:tcW w:w="120" w:type="dxa"/>
            <w:vAlign w:val="bottom"/>
            <w:tcBorders>
              <w:top w:val="single" w:sz="8" w:color="F5F5F5"/>
            </w:tcBorders>
          </w:tcPr>
          <w:p>
            <w:pPr>
              <w:spacing w:after="0" w:line="20" w:lineRule="exact"/>
              <w:rPr>
                <w:sz w:val="1"/>
                <w:szCs w:val="1"/>
                <w:color w:val="auto"/>
              </w:rPr>
            </w:pPr>
          </w:p>
        </w:tc>
        <w:tc>
          <w:tcPr>
            <w:tcW w:w="240" w:type="dxa"/>
            <w:vAlign w:val="bottom"/>
            <w:tcBorders>
              <w:top w:val="single" w:sz="8" w:color="F5F5F5"/>
              <w:bottom w:val="single" w:sz="8" w:color="auto"/>
            </w:tcBorders>
          </w:tcPr>
          <w:p>
            <w:pPr>
              <w:spacing w:after="0" w:line="20" w:lineRule="exact"/>
              <w:rPr>
                <w:sz w:val="1"/>
                <w:szCs w:val="1"/>
                <w:color w:val="auto"/>
              </w:rPr>
            </w:pPr>
          </w:p>
        </w:tc>
        <w:tc>
          <w:tcPr>
            <w:tcW w:w="1280" w:type="dxa"/>
            <w:vAlign w:val="bottom"/>
            <w:tcBorders>
              <w:top w:val="single" w:sz="8" w:color="F5F5F5"/>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220" w:hanging="212"/>
        <w:spacing w:after="0"/>
        <w:tabs>
          <w:tab w:leader="none" w:pos="220" w:val="left"/>
        </w:tabs>
        <w:numPr>
          <w:ilvl w:val="0"/>
          <w:numId w:val="48"/>
        </w:numPr>
        <w:rPr>
          <w:rFonts w:ascii="Arial" w:cs="Arial" w:eastAsia="Arial" w:hAnsi="Arial"/>
          <w:sz w:val="18"/>
          <w:szCs w:val="18"/>
          <w:color w:val="auto"/>
          <w:vertAlign w:val="superscript"/>
        </w:rPr>
      </w:pPr>
      <w:r>
        <w:rPr>
          <w:rFonts w:ascii="Arial" w:cs="Arial" w:eastAsia="Arial" w:hAnsi="Arial"/>
          <w:sz w:val="13"/>
          <w:szCs w:val="13"/>
          <w:color w:val="auto"/>
        </w:rPr>
        <w:t>Primarily consists of amounts on deposit with financial institutions.</w:t>
      </w:r>
    </w:p>
    <w:p>
      <w:pPr>
        <w:ind w:left="220" w:hanging="212"/>
        <w:spacing w:after="0" w:line="190" w:lineRule="auto"/>
        <w:tabs>
          <w:tab w:leader="none" w:pos="220" w:val="left"/>
        </w:tabs>
        <w:numPr>
          <w:ilvl w:val="0"/>
          <w:numId w:val="48"/>
        </w:numPr>
        <w:rPr>
          <w:rFonts w:ascii="Arial" w:cs="Arial" w:eastAsia="Arial" w:hAnsi="Arial"/>
          <w:sz w:val="18"/>
          <w:szCs w:val="18"/>
          <w:color w:val="auto"/>
          <w:vertAlign w:val="superscript"/>
        </w:rPr>
      </w:pPr>
      <w:r>
        <w:rPr>
          <w:rFonts w:ascii="Arial" w:cs="Arial" w:eastAsia="Arial" w:hAnsi="Arial"/>
          <w:sz w:val="13"/>
          <w:szCs w:val="13"/>
          <w:color w:val="auto"/>
        </w:rPr>
        <w:t>Investments with original maturities of less than three months.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Consolidated Statements of Cash Flows Reconciliation</w:t>
      </w:r>
    </w:p>
    <w:p>
      <w:pPr>
        <w:spacing w:after="0" w:line="24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following table provides a reconciliation of cash and equivalents and restricted cash and equivalents to the amounts shown on the Consolidated Statements of Cash Flows: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4520" w:type="dxa"/>
            <w:vAlign w:val="bottom"/>
            <w:tcBorders>
              <w:bottom w:val="single" w:sz="8" w:color="F5F5F5"/>
            </w:tcBorders>
          </w:tcPr>
          <w:p>
            <w:pPr>
              <w:spacing w:after="0"/>
              <w:rPr>
                <w:sz w:val="20"/>
                <w:szCs w:val="20"/>
                <w:color w:val="auto"/>
              </w:rPr>
            </w:pPr>
            <w:r>
              <w:rPr>
                <w:rFonts w:ascii="Arial" w:cs="Arial" w:eastAsia="Arial" w:hAnsi="Arial"/>
                <w:sz w:val="14"/>
                <w:szCs w:val="14"/>
                <w:i w:val="1"/>
                <w:iCs w:val="1"/>
                <w:color w:val="auto"/>
              </w:rPr>
              <w:t>(in thousands)</w:t>
            </w:r>
          </w:p>
        </w:tc>
        <w:tc>
          <w:tcPr>
            <w:tcW w:w="1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Location</w:t>
            </w:r>
          </w:p>
        </w:tc>
        <w:tc>
          <w:tcPr>
            <w:tcW w:w="120" w:type="dxa"/>
            <w:vAlign w:val="bottom"/>
            <w:tcBorders>
              <w:bottom w:val="single" w:sz="8" w:color="F5F5F5"/>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February 1, 2025</w:t>
            </w:r>
          </w:p>
        </w:tc>
        <w:tc>
          <w:tcPr>
            <w:tcW w:w="120" w:type="dxa"/>
            <w:vAlign w:val="bottom"/>
            <w:tcBorders>
              <w:bottom w:val="single" w:sz="8" w:color="F5F5F5"/>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February 3, 2024</w:t>
            </w:r>
          </w:p>
        </w:tc>
        <w:tc>
          <w:tcPr>
            <w:tcW w:w="120" w:type="dxa"/>
            <w:vAlign w:val="bottom"/>
            <w:tcBorders>
              <w:bottom w:val="single" w:sz="8" w:color="F5F5F5"/>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January 28, 2023</w:t>
            </w:r>
          </w:p>
        </w:tc>
      </w:tr>
      <w:tr>
        <w:trPr>
          <w:trHeight w:val="200"/>
        </w:trPr>
        <w:tc>
          <w:tcPr>
            <w:tcW w:w="4520" w:type="dxa"/>
            <w:vAlign w:val="bottom"/>
            <w:shd w:val="clear" w:color="auto" w:fill="F5F5F5"/>
          </w:tcPr>
          <w:p>
            <w:pPr>
              <w:spacing w:after="0"/>
              <w:rPr>
                <w:sz w:val="20"/>
                <w:szCs w:val="20"/>
                <w:color w:val="auto"/>
              </w:rPr>
            </w:pPr>
            <w:r>
              <w:rPr>
                <w:rFonts w:ascii="Arial" w:cs="Arial" w:eastAsia="Arial" w:hAnsi="Arial"/>
                <w:sz w:val="14"/>
                <w:szCs w:val="14"/>
                <w:color w:val="auto"/>
              </w:rPr>
              <w:t>Cash and equivalents</w:t>
            </w:r>
          </w:p>
        </w:tc>
        <w:tc>
          <w:tcPr>
            <w:tcW w:w="1920" w:type="dxa"/>
            <w:vAlign w:val="bottom"/>
            <w:gridSpan w:val="2"/>
            <w:shd w:val="clear" w:color="auto" w:fill="F5F5F5"/>
          </w:tcPr>
          <w:p>
            <w:pPr>
              <w:spacing w:after="0"/>
              <w:rPr>
                <w:sz w:val="20"/>
                <w:szCs w:val="20"/>
                <w:color w:val="auto"/>
              </w:rPr>
            </w:pPr>
            <w:r>
              <w:rPr>
                <w:rFonts w:ascii="Arial" w:cs="Arial" w:eastAsia="Arial" w:hAnsi="Arial"/>
                <w:sz w:val="14"/>
                <w:szCs w:val="14"/>
                <w:color w:val="auto"/>
              </w:rPr>
              <w:t>Cash and equivalents</w:t>
            </w:r>
          </w:p>
        </w:tc>
        <w:tc>
          <w:tcPr>
            <w:tcW w:w="240" w:type="dxa"/>
            <w:vAlign w:val="bottom"/>
            <w:shd w:val="clear" w:color="auto" w:fill="F5F5F5"/>
          </w:tcPr>
          <w:p>
            <w:pPr>
              <w:jc w:val="right"/>
              <w:ind w:right="8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F5F5F5"/>
          </w:tcPr>
          <w:p>
            <w:pPr>
              <w:jc w:val="right"/>
              <w:spacing w:after="0"/>
              <w:rPr>
                <w:sz w:val="20"/>
                <w:szCs w:val="20"/>
                <w:color w:val="auto"/>
              </w:rPr>
            </w:pPr>
            <w:r>
              <w:rPr>
                <w:rFonts w:ascii="Arial" w:cs="Arial" w:eastAsia="Arial" w:hAnsi="Arial"/>
                <w:sz w:val="14"/>
                <w:szCs w:val="14"/>
                <w:color w:val="auto"/>
              </w:rPr>
              <w:t>772,727</w:t>
            </w:r>
          </w:p>
        </w:tc>
        <w:tc>
          <w:tcPr>
            <w:tcW w:w="120" w:type="dxa"/>
            <w:vAlign w:val="bottom"/>
            <w:shd w:val="clear" w:color="auto" w:fill="F5F5F5"/>
          </w:tcPr>
          <w:p>
            <w:pPr>
              <w:spacing w:after="0"/>
              <w:rPr>
                <w:sz w:val="17"/>
                <w:szCs w:val="17"/>
                <w:color w:val="auto"/>
              </w:rPr>
            </w:pPr>
          </w:p>
        </w:tc>
        <w:tc>
          <w:tcPr>
            <w:tcW w:w="240" w:type="dxa"/>
            <w:vAlign w:val="bottom"/>
            <w:shd w:val="clear" w:color="auto" w:fill="F5F5F5"/>
          </w:tcPr>
          <w:p>
            <w:pPr>
              <w:jc w:val="right"/>
              <w:ind w:right="8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F5F5F5"/>
          </w:tcPr>
          <w:p>
            <w:pPr>
              <w:jc w:val="right"/>
              <w:spacing w:after="0"/>
              <w:rPr>
                <w:sz w:val="20"/>
                <w:szCs w:val="20"/>
                <w:color w:val="auto"/>
              </w:rPr>
            </w:pPr>
            <w:r>
              <w:rPr>
                <w:rFonts w:ascii="Arial" w:cs="Arial" w:eastAsia="Arial" w:hAnsi="Arial"/>
                <w:sz w:val="14"/>
                <w:szCs w:val="14"/>
                <w:color w:val="auto"/>
              </w:rPr>
              <w:t>900,884</w:t>
            </w:r>
          </w:p>
        </w:tc>
        <w:tc>
          <w:tcPr>
            <w:tcW w:w="120" w:type="dxa"/>
            <w:vAlign w:val="bottom"/>
            <w:shd w:val="clear" w:color="auto" w:fill="F5F5F5"/>
          </w:tcPr>
          <w:p>
            <w:pPr>
              <w:spacing w:after="0"/>
              <w:rPr>
                <w:sz w:val="17"/>
                <w:szCs w:val="17"/>
                <w:color w:val="auto"/>
              </w:rPr>
            </w:pPr>
          </w:p>
        </w:tc>
        <w:tc>
          <w:tcPr>
            <w:tcW w:w="220" w:type="dxa"/>
            <w:vAlign w:val="bottom"/>
            <w:shd w:val="clear" w:color="auto" w:fill="F5F5F5"/>
          </w:tcPr>
          <w:p>
            <w:pPr>
              <w:jc w:val="right"/>
              <w:ind w:right="68"/>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517,602</w:t>
            </w: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4"/>
                <w:szCs w:val="14"/>
                <w:color w:val="auto"/>
              </w:rPr>
              <w:t xml:space="preserve">Restricted cash and equivalents </w:t>
            </w:r>
            <w:r>
              <w:rPr>
                <w:rFonts w:ascii="Arial" w:cs="Arial" w:eastAsia="Arial" w:hAnsi="Arial"/>
                <w:sz w:val="18"/>
                <w:szCs w:val="18"/>
                <w:color w:val="auto"/>
                <w:vertAlign w:val="superscript"/>
              </w:rPr>
              <w:t>(1)</w:t>
            </w:r>
          </w:p>
        </w:tc>
        <w:tc>
          <w:tcPr>
            <w:tcW w:w="1920" w:type="dxa"/>
            <w:vAlign w:val="bottom"/>
            <w:gridSpan w:val="2"/>
          </w:tcPr>
          <w:p>
            <w:pPr>
              <w:spacing w:after="0"/>
              <w:rPr>
                <w:sz w:val="20"/>
                <w:szCs w:val="20"/>
                <w:color w:val="auto"/>
              </w:rPr>
            </w:pPr>
            <w:r>
              <w:rPr>
                <w:rFonts w:ascii="Arial" w:cs="Arial" w:eastAsia="Arial" w:hAnsi="Arial"/>
                <w:sz w:val="14"/>
                <w:szCs w:val="14"/>
                <w:color w:val="auto"/>
              </w:rPr>
              <w:t>Other assets</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7,668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8,801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9,967</w:t>
            </w:r>
          </w:p>
        </w:tc>
      </w:tr>
      <w:tr>
        <w:trPr>
          <w:trHeight w:val="223"/>
        </w:trPr>
        <w:tc>
          <w:tcPr>
            <w:tcW w:w="4520" w:type="dxa"/>
            <w:vAlign w:val="bottom"/>
            <w:tcBorders>
              <w:bottom w:val="single" w:sz="8" w:color="F5F5F5"/>
            </w:tcBorders>
            <w:shd w:val="clear" w:color="auto" w:fill="F5F5F5"/>
          </w:tcPr>
          <w:p>
            <w:pPr>
              <w:spacing w:after="0"/>
              <w:rPr>
                <w:sz w:val="20"/>
                <w:szCs w:val="20"/>
                <w:color w:val="auto"/>
              </w:rPr>
            </w:pPr>
            <w:r>
              <w:rPr>
                <w:rFonts w:ascii="Arial" w:cs="Arial" w:eastAsia="Arial" w:hAnsi="Arial"/>
                <w:sz w:val="14"/>
                <w:szCs w:val="14"/>
                <w:color w:val="auto"/>
              </w:rPr>
              <w:t>Cash and equivalents and restricted cash and equivalents</w:t>
            </w:r>
          </w:p>
        </w:tc>
        <w:tc>
          <w:tcPr>
            <w:tcW w:w="1800" w:type="dxa"/>
            <w:vAlign w:val="bottom"/>
            <w:tcBorders>
              <w:bottom w:val="single" w:sz="8" w:color="F5F5F5"/>
            </w:tcBorders>
            <w:shd w:val="clear" w:color="auto" w:fill="F5F5F5"/>
          </w:tcPr>
          <w:p>
            <w:pPr>
              <w:spacing w:after="0"/>
              <w:rPr>
                <w:sz w:val="19"/>
                <w:szCs w:val="19"/>
                <w:color w:val="auto"/>
              </w:rPr>
            </w:pPr>
          </w:p>
        </w:tc>
        <w:tc>
          <w:tcPr>
            <w:tcW w:w="120" w:type="dxa"/>
            <w:vAlign w:val="bottom"/>
            <w:tcBorders>
              <w:bottom w:val="single" w:sz="8" w:color="F5F5F5"/>
            </w:tcBorders>
            <w:shd w:val="clear" w:color="auto" w:fill="F5F5F5"/>
          </w:tcPr>
          <w:p>
            <w:pPr>
              <w:spacing w:after="0"/>
              <w:rPr>
                <w:sz w:val="19"/>
                <w:szCs w:val="19"/>
                <w:color w:val="auto"/>
              </w:rPr>
            </w:pPr>
          </w:p>
        </w:tc>
        <w:tc>
          <w:tcPr>
            <w:tcW w:w="240" w:type="dxa"/>
            <w:vAlign w:val="bottom"/>
            <w:tcBorders>
              <w:bottom w:val="single" w:sz="8" w:color="auto"/>
            </w:tcBorders>
            <w:shd w:val="clear" w:color="auto" w:fill="F5F5F5"/>
          </w:tcPr>
          <w:p>
            <w:pPr>
              <w:jc w:val="right"/>
              <w:ind w:right="8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780,395</w:t>
            </w:r>
          </w:p>
        </w:tc>
        <w:tc>
          <w:tcPr>
            <w:tcW w:w="120" w:type="dxa"/>
            <w:vAlign w:val="bottom"/>
            <w:tcBorders>
              <w:bottom w:val="single" w:sz="8" w:color="F5F5F5"/>
            </w:tcBorders>
            <w:shd w:val="clear" w:color="auto" w:fill="F5F5F5"/>
          </w:tcPr>
          <w:p>
            <w:pPr>
              <w:spacing w:after="0"/>
              <w:rPr>
                <w:sz w:val="19"/>
                <w:szCs w:val="19"/>
                <w:color w:val="auto"/>
              </w:rPr>
            </w:pPr>
          </w:p>
        </w:tc>
        <w:tc>
          <w:tcPr>
            <w:tcW w:w="240" w:type="dxa"/>
            <w:vAlign w:val="bottom"/>
            <w:tcBorders>
              <w:bottom w:val="single" w:sz="8" w:color="auto"/>
            </w:tcBorders>
            <w:shd w:val="clear" w:color="auto" w:fill="F5F5F5"/>
          </w:tcPr>
          <w:p>
            <w:pPr>
              <w:jc w:val="right"/>
              <w:ind w:right="8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909,685</w:t>
            </w:r>
          </w:p>
        </w:tc>
        <w:tc>
          <w:tcPr>
            <w:tcW w:w="120" w:type="dxa"/>
            <w:vAlign w:val="bottom"/>
            <w:tcBorders>
              <w:bottom w:val="single" w:sz="8" w:color="F5F5F5"/>
            </w:tcBorders>
            <w:shd w:val="clear" w:color="auto" w:fill="F5F5F5"/>
          </w:tcPr>
          <w:p>
            <w:pPr>
              <w:spacing w:after="0"/>
              <w:rPr>
                <w:sz w:val="19"/>
                <w:szCs w:val="19"/>
                <w:color w:val="auto"/>
              </w:rPr>
            </w:pPr>
          </w:p>
        </w:tc>
        <w:tc>
          <w:tcPr>
            <w:tcW w:w="220" w:type="dxa"/>
            <w:vAlign w:val="bottom"/>
            <w:tcBorders>
              <w:bottom w:val="single" w:sz="8" w:color="auto"/>
            </w:tcBorders>
            <w:shd w:val="clear" w:color="auto" w:fill="F5F5F5"/>
          </w:tcPr>
          <w:p>
            <w:pPr>
              <w:jc w:val="right"/>
              <w:ind w:right="68"/>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527,569</w:t>
            </w:r>
          </w:p>
        </w:tc>
      </w:tr>
      <w:tr>
        <w:trPr>
          <w:trHeight w:val="20"/>
        </w:trPr>
        <w:tc>
          <w:tcPr>
            <w:tcW w:w="4520" w:type="dxa"/>
            <w:vAlign w:val="bottom"/>
            <w:tcBorders>
              <w:top w:val="single" w:sz="8" w:color="F5F5F5"/>
            </w:tcBorders>
          </w:tcPr>
          <w:p>
            <w:pPr>
              <w:spacing w:after="0" w:line="20" w:lineRule="exact"/>
              <w:rPr>
                <w:sz w:val="1"/>
                <w:szCs w:val="1"/>
                <w:color w:val="auto"/>
              </w:rPr>
            </w:pPr>
          </w:p>
        </w:tc>
        <w:tc>
          <w:tcPr>
            <w:tcW w:w="1800" w:type="dxa"/>
            <w:vAlign w:val="bottom"/>
            <w:tcBorders>
              <w:top w:val="single" w:sz="8" w:color="F5F5F5"/>
            </w:tcBorders>
          </w:tcPr>
          <w:p>
            <w:pPr>
              <w:spacing w:after="0" w:line="20" w:lineRule="exact"/>
              <w:rPr>
                <w:sz w:val="1"/>
                <w:szCs w:val="1"/>
                <w:color w:val="auto"/>
              </w:rPr>
            </w:pPr>
          </w:p>
        </w:tc>
        <w:tc>
          <w:tcPr>
            <w:tcW w:w="120" w:type="dxa"/>
            <w:vAlign w:val="bottom"/>
            <w:tcBorders>
              <w:top w:val="single" w:sz="8" w:color="F5F5F5"/>
            </w:tcBorders>
          </w:tcPr>
          <w:p>
            <w:pPr>
              <w:spacing w:after="0" w:line="20" w:lineRule="exact"/>
              <w:rPr>
                <w:sz w:val="1"/>
                <w:szCs w:val="1"/>
                <w:color w:val="auto"/>
              </w:rPr>
            </w:pPr>
          </w:p>
        </w:tc>
        <w:tc>
          <w:tcPr>
            <w:tcW w:w="240" w:type="dxa"/>
            <w:vAlign w:val="bottom"/>
            <w:tcBorders>
              <w:top w:val="single" w:sz="8" w:color="F5F5F5"/>
              <w:bottom w:val="single" w:sz="8" w:color="auto"/>
            </w:tcBorders>
          </w:tcPr>
          <w:p>
            <w:pPr>
              <w:spacing w:after="0" w:line="20" w:lineRule="exact"/>
              <w:rPr>
                <w:sz w:val="1"/>
                <w:szCs w:val="1"/>
                <w:color w:val="auto"/>
              </w:rPr>
            </w:pPr>
          </w:p>
        </w:tc>
        <w:tc>
          <w:tcPr>
            <w:tcW w:w="1260" w:type="dxa"/>
            <w:vAlign w:val="bottom"/>
            <w:tcBorders>
              <w:top w:val="single" w:sz="8" w:color="F5F5F5"/>
              <w:bottom w:val="single" w:sz="8" w:color="auto"/>
            </w:tcBorders>
          </w:tcPr>
          <w:p>
            <w:pPr>
              <w:spacing w:after="0" w:line="20" w:lineRule="exact"/>
              <w:rPr>
                <w:sz w:val="1"/>
                <w:szCs w:val="1"/>
                <w:color w:val="auto"/>
              </w:rPr>
            </w:pPr>
          </w:p>
        </w:tc>
        <w:tc>
          <w:tcPr>
            <w:tcW w:w="120" w:type="dxa"/>
            <w:vAlign w:val="bottom"/>
            <w:tcBorders>
              <w:top w:val="single" w:sz="8" w:color="F5F5F5"/>
            </w:tcBorders>
          </w:tcPr>
          <w:p>
            <w:pPr>
              <w:spacing w:after="0" w:line="20" w:lineRule="exact"/>
              <w:rPr>
                <w:sz w:val="1"/>
                <w:szCs w:val="1"/>
                <w:color w:val="auto"/>
              </w:rPr>
            </w:pPr>
          </w:p>
        </w:tc>
        <w:tc>
          <w:tcPr>
            <w:tcW w:w="240" w:type="dxa"/>
            <w:vAlign w:val="bottom"/>
            <w:tcBorders>
              <w:top w:val="single" w:sz="8" w:color="F5F5F5"/>
              <w:bottom w:val="single" w:sz="8" w:color="auto"/>
            </w:tcBorders>
          </w:tcPr>
          <w:p>
            <w:pPr>
              <w:spacing w:after="0" w:line="20" w:lineRule="exact"/>
              <w:rPr>
                <w:sz w:val="1"/>
                <w:szCs w:val="1"/>
                <w:color w:val="auto"/>
              </w:rPr>
            </w:pPr>
          </w:p>
        </w:tc>
        <w:tc>
          <w:tcPr>
            <w:tcW w:w="1260" w:type="dxa"/>
            <w:vAlign w:val="bottom"/>
            <w:tcBorders>
              <w:top w:val="single" w:sz="8" w:color="F5F5F5"/>
              <w:bottom w:val="single" w:sz="8" w:color="auto"/>
            </w:tcBorders>
          </w:tcPr>
          <w:p>
            <w:pPr>
              <w:spacing w:after="0" w:line="20" w:lineRule="exact"/>
              <w:rPr>
                <w:sz w:val="1"/>
                <w:szCs w:val="1"/>
                <w:color w:val="auto"/>
              </w:rPr>
            </w:pPr>
          </w:p>
        </w:tc>
        <w:tc>
          <w:tcPr>
            <w:tcW w:w="120" w:type="dxa"/>
            <w:vAlign w:val="bottom"/>
            <w:tcBorders>
              <w:top w:val="single" w:sz="8" w:color="F5F5F5"/>
            </w:tcBorders>
          </w:tcPr>
          <w:p>
            <w:pPr>
              <w:spacing w:after="0" w:line="20" w:lineRule="exact"/>
              <w:rPr>
                <w:sz w:val="1"/>
                <w:szCs w:val="1"/>
                <w:color w:val="auto"/>
              </w:rPr>
            </w:pPr>
          </w:p>
        </w:tc>
        <w:tc>
          <w:tcPr>
            <w:tcW w:w="220" w:type="dxa"/>
            <w:vAlign w:val="bottom"/>
            <w:tcBorders>
              <w:top w:val="single" w:sz="8" w:color="F5F5F5"/>
              <w:bottom w:val="single" w:sz="8" w:color="auto"/>
            </w:tcBorders>
          </w:tcPr>
          <w:p>
            <w:pPr>
              <w:spacing w:after="0" w:line="20" w:lineRule="exact"/>
              <w:rPr>
                <w:sz w:val="1"/>
                <w:szCs w:val="1"/>
                <w:color w:val="auto"/>
              </w:rPr>
            </w:pPr>
          </w:p>
        </w:tc>
        <w:tc>
          <w:tcPr>
            <w:tcW w:w="1280" w:type="dxa"/>
            <w:vAlign w:val="bottom"/>
            <w:tcBorders>
              <w:top w:val="single" w:sz="8" w:color="F5F5F5"/>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ind w:left="260" w:right="20" w:hanging="252"/>
        <w:spacing w:after="0" w:line="227" w:lineRule="auto"/>
        <w:tabs>
          <w:tab w:leader="none" w:pos="262" w:val="left"/>
        </w:tabs>
        <w:numPr>
          <w:ilvl w:val="0"/>
          <w:numId w:val="49"/>
        </w:numPr>
        <w:rPr>
          <w:rFonts w:ascii="Arial" w:cs="Arial" w:eastAsia="Arial" w:hAnsi="Arial"/>
          <w:sz w:val="18"/>
          <w:szCs w:val="18"/>
          <w:color w:val="auto"/>
          <w:vertAlign w:val="superscript"/>
        </w:rPr>
      </w:pPr>
      <w:r>
        <w:rPr>
          <w:rFonts w:ascii="Arial" w:cs="Arial" w:eastAsia="Arial" w:hAnsi="Arial"/>
          <w:sz w:val="13"/>
          <w:szCs w:val="13"/>
          <w:color w:val="auto"/>
        </w:rPr>
        <w:t>Restricted cash and equivalents primarily consist of amounts on deposit with banks that are used as collateral for customary non-debt banking commitments and deposits into trust accounts to conform to standard insurance security requirements.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Marketable securities</w:t>
      </w:r>
    </w:p>
    <w:p>
      <w:pPr>
        <w:spacing w:after="0" w:line="2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Marketable securities that the Company has the positive intent and ability to hold to maturity are classified as held-to-maturity securities and recorded at amortized cost. Marketable securities consist of short-term investments of time deposits with original maturities greater than three months and with maturities within one year as of balance sheet date. Interest income is recognized when earned. Cash inflows and outflows related to the sale and purchase of marketable securities are classified as investing activities on the Consolidated Statements of Cash Flows.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Refer to Note 5, “</w:t>
      </w:r>
      <w:r>
        <w:rPr>
          <w:rFonts w:ascii="Arial" w:cs="Arial" w:eastAsia="Arial" w:hAnsi="Arial"/>
          <w:sz w:val="16"/>
          <w:szCs w:val="16"/>
          <w:i w:val="1"/>
          <w:iCs w:val="1"/>
          <w:u w:val="single" w:color="auto"/>
          <w:color w:val="0000FF"/>
        </w:rPr>
        <w:t>INVESTMENTS</w:t>
      </w:r>
      <w:r>
        <w:rPr>
          <w:rFonts w:ascii="Arial" w:cs="Arial" w:eastAsia="Arial" w:hAnsi="Arial"/>
          <w:sz w:val="16"/>
          <w:szCs w:val="16"/>
          <w:color w:val="auto"/>
        </w:rPr>
        <w:t>.”</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Receivables</w:t>
      </w:r>
    </w:p>
    <w:p>
      <w:pPr>
        <w:spacing w:after="0" w:line="246"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Receivables on the Consolidated Balance Sheets primarily include credit card receivables, lessor construction allowance and lease incentive receivables, value added tax (“VAT”) receivables and trade receivables or refunds.</w:t>
      </w:r>
    </w:p>
    <w:p>
      <w:pPr>
        <w:spacing w:after="0" w:line="19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As part of the normal course of business, the Company has approximately three to four days of proceeds from sales transactions outstanding with its third-party credit card vendors at any point. The Company classifies these outstanding balances as credit card receivables. Lessor construction allowances are recorded for certain store lease agreements for improvements completed by the Company. VAT receivables are payments the Company has made on purchases of goods that will be recovered as those goods are sold. Trade receivables are amounts billed by the Company to wholesale, franchise and licensing partners in the ordinary course of business. Income tax receivables represent refunds of certain tax payments along with net operating loss and credit carryback claims for which the Company expects to receive refunds within the next 12 months.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51</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6"/>
          <w:szCs w:val="16"/>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Abercrombie &amp; Fitch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Inventories</w:t>
      </w:r>
    </w:p>
    <w:p>
      <w:pPr>
        <w:spacing w:after="0" w:line="24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Inventories on the Consolidated Balance Sheets are valued at the lower of cost and net realizable value on a weighted-average cost basis. The Company reduces the carrying value of inventory through a lower of cost and net realizable value adjustment, the impact of which is reflected in cost of sales, exclusive of depreciation and amortization, on the Consolidated Statements of Operations and Comprehensive Income (Loss). The lower of cost and net realizable value adjustment is based on the Company’s consideration of multiple factors and assumptions including demand forecasts, current sales volumes, expected sell-off activity, composition and aging of inventory, historical recoverability experience and risk of obsolescence from changes in economic conditions or customer preferences.</w:t>
      </w:r>
    </w:p>
    <w:p>
      <w:pPr>
        <w:spacing w:after="0" w:line="21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Additionally, as part of inventory valuation, inventory shrinkage estimates based on historical trends from actual physical inventories are made each quarter that reduce the inventory value for lost or stolen items. The Company performs physical inventories on a periodic basis and adjusts the gross inventory balance and shrink estimate accordingly. Refer to Note 6, “</w:t>
      </w:r>
      <w:r>
        <w:rPr>
          <w:rFonts w:ascii="Arial" w:cs="Arial" w:eastAsia="Arial" w:hAnsi="Arial"/>
          <w:sz w:val="16"/>
          <w:szCs w:val="16"/>
          <w:i w:val="1"/>
          <w:iCs w:val="1"/>
          <w:u w:val="single" w:color="auto"/>
          <w:color w:val="0000FF"/>
        </w:rPr>
        <w:t>INVENTORIES</w:t>
      </w:r>
      <w:r>
        <w:rPr>
          <w:rFonts w:ascii="Arial" w:cs="Arial" w:eastAsia="Arial" w:hAnsi="Arial"/>
          <w:sz w:val="16"/>
          <w:szCs w:val="16"/>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Company’s global sourcing of merchandise is generally negotiated, contracted, and settled in U.S. Dollars.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Other Current Assets</w:t>
      </w:r>
    </w:p>
    <w:p>
      <w:pPr>
        <w:spacing w:after="0" w:line="26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Other current assets on the Consolidated Balance Sheets consist of: prepaid expenses including those related to rent, information technology maintenance and taxes; current store supplies; derivative contracts and other.</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Property and Equipment, Net</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Depreciation of property and equipment is computed for financial reporting purposes on a straight-line basis using the following service lives: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Category of property and equipment</w:t>
            </w:r>
          </w:p>
        </w:tc>
        <w:tc>
          <w:tcPr>
            <w:tcW w:w="100" w:type="dxa"/>
            <w:vAlign w:val="bottom"/>
            <w:tcBorders>
              <w:bottom w:val="single" w:sz="8" w:color="F5F5F5"/>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Service lives</w:t>
            </w:r>
          </w:p>
        </w:tc>
      </w:tr>
      <w:tr>
        <w:trPr>
          <w:trHeight w:val="200"/>
        </w:trPr>
        <w:tc>
          <w:tcPr>
            <w:tcW w:w="9660" w:type="dxa"/>
            <w:vAlign w:val="bottom"/>
            <w:gridSpan w:val="2"/>
            <w:shd w:val="clear" w:color="auto" w:fill="F5F5F5"/>
          </w:tcPr>
          <w:p>
            <w:pPr>
              <w:ind w:left="20"/>
              <w:spacing w:after="0"/>
              <w:rPr>
                <w:sz w:val="20"/>
                <w:szCs w:val="20"/>
                <w:color w:val="auto"/>
              </w:rPr>
            </w:pPr>
            <w:r>
              <w:rPr>
                <w:rFonts w:ascii="Arial" w:cs="Arial" w:eastAsia="Arial" w:hAnsi="Arial"/>
                <w:sz w:val="14"/>
                <w:szCs w:val="14"/>
                <w:color w:val="auto"/>
              </w:rPr>
              <w:t>Information technology</w:t>
            </w:r>
          </w:p>
        </w:tc>
        <w:tc>
          <w:tcPr>
            <w:tcW w:w="1580" w:type="dxa"/>
            <w:vAlign w:val="bottom"/>
            <w:shd w:val="clear" w:color="auto" w:fill="F5F5F5"/>
          </w:tcPr>
          <w:p>
            <w:pPr>
              <w:jc w:val="center"/>
              <w:spacing w:after="0"/>
              <w:rPr>
                <w:sz w:val="20"/>
                <w:szCs w:val="20"/>
                <w:color w:val="auto"/>
              </w:rPr>
            </w:pPr>
            <w:r>
              <w:rPr>
                <w:rFonts w:ascii="Arial" w:cs="Arial" w:eastAsia="Arial" w:hAnsi="Arial"/>
                <w:sz w:val="14"/>
                <w:szCs w:val="14"/>
                <w:color w:val="auto"/>
              </w:rPr>
              <w:t>3 - 7 years</w:t>
            </w:r>
          </w:p>
        </w:tc>
      </w:tr>
      <w:tr>
        <w:trPr>
          <w:trHeight w:val="198"/>
        </w:trPr>
        <w:tc>
          <w:tcPr>
            <w:tcW w:w="9660" w:type="dxa"/>
            <w:vAlign w:val="bottom"/>
            <w:gridSpan w:val="2"/>
          </w:tcPr>
          <w:p>
            <w:pPr>
              <w:ind w:left="20"/>
              <w:spacing w:after="0"/>
              <w:rPr>
                <w:sz w:val="20"/>
                <w:szCs w:val="20"/>
                <w:color w:val="auto"/>
              </w:rPr>
            </w:pPr>
            <w:r>
              <w:rPr>
                <w:rFonts w:ascii="Arial" w:cs="Arial" w:eastAsia="Arial" w:hAnsi="Arial"/>
                <w:sz w:val="14"/>
                <w:szCs w:val="14"/>
                <w:color w:val="auto"/>
              </w:rPr>
              <w:t>Furniture, fixtures and equipment</w:t>
            </w:r>
          </w:p>
        </w:tc>
        <w:tc>
          <w:tcPr>
            <w:tcW w:w="1580" w:type="dxa"/>
            <w:vAlign w:val="bottom"/>
          </w:tcPr>
          <w:p>
            <w:pPr>
              <w:jc w:val="center"/>
              <w:spacing w:after="0"/>
              <w:rPr>
                <w:sz w:val="20"/>
                <w:szCs w:val="20"/>
                <w:color w:val="auto"/>
              </w:rPr>
            </w:pPr>
            <w:r>
              <w:rPr>
                <w:rFonts w:ascii="Arial" w:cs="Arial" w:eastAsia="Arial" w:hAnsi="Arial"/>
                <w:sz w:val="14"/>
                <w:szCs w:val="14"/>
                <w:color w:val="auto"/>
              </w:rPr>
              <w:t>3 - 10 years</w:t>
            </w:r>
          </w:p>
        </w:tc>
      </w:tr>
      <w:tr>
        <w:trPr>
          <w:trHeight w:val="207"/>
        </w:trPr>
        <w:tc>
          <w:tcPr>
            <w:tcW w:w="9660" w:type="dxa"/>
            <w:vAlign w:val="bottom"/>
            <w:gridSpan w:val="2"/>
            <w:shd w:val="clear" w:color="auto" w:fill="F5F5F5"/>
          </w:tcPr>
          <w:p>
            <w:pPr>
              <w:ind w:left="20"/>
              <w:spacing w:after="0"/>
              <w:rPr>
                <w:sz w:val="20"/>
                <w:szCs w:val="20"/>
                <w:color w:val="auto"/>
              </w:rPr>
            </w:pPr>
            <w:r>
              <w:rPr>
                <w:rFonts w:ascii="Arial" w:cs="Arial" w:eastAsia="Arial" w:hAnsi="Arial"/>
                <w:sz w:val="14"/>
                <w:szCs w:val="14"/>
                <w:color w:val="auto"/>
              </w:rPr>
              <w:t>Leasehold improvements</w:t>
            </w:r>
          </w:p>
        </w:tc>
        <w:tc>
          <w:tcPr>
            <w:tcW w:w="1580" w:type="dxa"/>
            <w:vAlign w:val="bottom"/>
            <w:shd w:val="clear" w:color="auto" w:fill="F5F5F5"/>
          </w:tcPr>
          <w:p>
            <w:pPr>
              <w:jc w:val="center"/>
              <w:spacing w:after="0"/>
              <w:rPr>
                <w:sz w:val="20"/>
                <w:szCs w:val="20"/>
                <w:color w:val="auto"/>
              </w:rPr>
            </w:pPr>
            <w:r>
              <w:rPr>
                <w:rFonts w:ascii="Arial" w:cs="Arial" w:eastAsia="Arial" w:hAnsi="Arial"/>
                <w:sz w:val="14"/>
                <w:szCs w:val="14"/>
                <w:color w:val="auto"/>
              </w:rPr>
              <w:t>1 - 15 years</w:t>
            </w:r>
          </w:p>
        </w:tc>
      </w:tr>
      <w:tr>
        <w:trPr>
          <w:trHeight w:val="198"/>
        </w:trPr>
        <w:tc>
          <w:tcPr>
            <w:tcW w:w="9660" w:type="dxa"/>
            <w:vAlign w:val="bottom"/>
            <w:gridSpan w:val="2"/>
          </w:tcPr>
          <w:p>
            <w:pPr>
              <w:ind w:left="20"/>
              <w:spacing w:after="0"/>
              <w:rPr>
                <w:sz w:val="20"/>
                <w:szCs w:val="20"/>
                <w:color w:val="auto"/>
              </w:rPr>
            </w:pPr>
            <w:r>
              <w:rPr>
                <w:rFonts w:ascii="Arial" w:cs="Arial" w:eastAsia="Arial" w:hAnsi="Arial"/>
                <w:sz w:val="14"/>
                <w:szCs w:val="14"/>
                <w:color w:val="auto"/>
              </w:rPr>
              <w:t>Other property and equipment</w:t>
            </w:r>
          </w:p>
        </w:tc>
        <w:tc>
          <w:tcPr>
            <w:tcW w:w="1580" w:type="dxa"/>
            <w:vAlign w:val="bottom"/>
          </w:tcPr>
          <w:p>
            <w:pPr>
              <w:jc w:val="center"/>
              <w:spacing w:after="0"/>
              <w:rPr>
                <w:sz w:val="20"/>
                <w:szCs w:val="20"/>
                <w:color w:val="auto"/>
              </w:rPr>
            </w:pPr>
            <w:r>
              <w:rPr>
                <w:rFonts w:ascii="Arial" w:cs="Arial" w:eastAsia="Arial" w:hAnsi="Arial"/>
                <w:sz w:val="14"/>
                <w:szCs w:val="14"/>
                <w:color w:val="auto"/>
              </w:rPr>
              <w:t>5 years</w:t>
            </w:r>
          </w:p>
        </w:tc>
      </w:tr>
      <w:tr>
        <w:trPr>
          <w:trHeight w:val="207"/>
        </w:trPr>
        <w:tc>
          <w:tcPr>
            <w:tcW w:w="9660" w:type="dxa"/>
            <w:vAlign w:val="bottom"/>
            <w:gridSpan w:val="2"/>
            <w:shd w:val="clear" w:color="auto" w:fill="F5F5F5"/>
          </w:tcPr>
          <w:p>
            <w:pPr>
              <w:ind w:left="20"/>
              <w:spacing w:after="0"/>
              <w:rPr>
                <w:sz w:val="20"/>
                <w:szCs w:val="20"/>
                <w:color w:val="auto"/>
              </w:rPr>
            </w:pPr>
            <w:r>
              <w:rPr>
                <w:rFonts w:ascii="Arial" w:cs="Arial" w:eastAsia="Arial" w:hAnsi="Arial"/>
                <w:sz w:val="14"/>
                <w:szCs w:val="14"/>
                <w:color w:val="auto"/>
              </w:rPr>
              <w:t>Buildings</w:t>
            </w:r>
          </w:p>
        </w:tc>
        <w:tc>
          <w:tcPr>
            <w:tcW w:w="1580" w:type="dxa"/>
            <w:vAlign w:val="bottom"/>
            <w:shd w:val="clear" w:color="auto" w:fill="F5F5F5"/>
          </w:tcPr>
          <w:p>
            <w:pPr>
              <w:jc w:val="center"/>
              <w:spacing w:after="0"/>
              <w:rPr>
                <w:sz w:val="20"/>
                <w:szCs w:val="20"/>
                <w:color w:val="auto"/>
              </w:rPr>
            </w:pPr>
            <w:r>
              <w:rPr>
                <w:rFonts w:ascii="Arial" w:cs="Arial" w:eastAsia="Arial" w:hAnsi="Arial"/>
                <w:sz w:val="14"/>
                <w:szCs w:val="14"/>
                <w:color w:val="auto"/>
              </w:rPr>
              <w:t>30 years</w:t>
            </w:r>
          </w:p>
        </w:tc>
      </w:tr>
    </w:tbl>
    <w:p>
      <w:pPr>
        <w:spacing w:after="0" w:line="32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Leasehold improvements are amortized over either their respective lease terms or their service lives, whichever is shorter. The cost of assets sold or retired and the related accumulated depreciation are removed from the accounts with any resulting gain or loss included in net income on the Consolidated Statements of Operations and Comprehensive Income (Loss). Maintenance and repairs are charged to expense as incurred. Major remodels and improvements that extend the service lives of the related assets are capitalized.</w:t>
      </w:r>
    </w:p>
    <w:p>
      <w:pPr>
        <w:spacing w:after="0" w:line="200"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Company capitalizes certain direct costs associated with the development and purchase of internal-use software within property and equipment and other assets. Capitalized costs are amortized on a straight-line basis over the estimated useful lives of the software, generally not exceeding seven years.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Refer to Note 7, “</w:t>
      </w:r>
      <w:r>
        <w:rPr>
          <w:rFonts w:ascii="Arial" w:cs="Arial" w:eastAsia="Arial" w:hAnsi="Arial"/>
          <w:sz w:val="16"/>
          <w:szCs w:val="16"/>
          <w:i w:val="1"/>
          <w:iCs w:val="1"/>
          <w:u w:val="single" w:color="auto"/>
          <w:color w:val="0000FF"/>
        </w:rPr>
        <w:t>PROPERTY AND EQUIPMENT, NET</w:t>
      </w:r>
      <w:r>
        <w:rPr>
          <w:rFonts w:ascii="Arial" w:cs="Arial" w:eastAsia="Arial" w:hAnsi="Arial"/>
          <w:sz w:val="16"/>
          <w:szCs w:val="16"/>
          <w:color w:val="auto"/>
        </w:rPr>
        <w:t>.”</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Leases</w:t>
      </w:r>
    </w:p>
    <w:p>
      <w:pPr>
        <w:spacing w:after="0" w:line="260"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The Company determines if an arrangement is an operating lease at inception. For new operating leases, the Company recognizes an asset for the right to use a leased asset and a liability based on the present value of remaining lease payments over the lease term on the lease commencement date. The commencement date for new leases is when the lessor makes the leased asset available for use by the Company, typically the possession date.</w:t>
      </w:r>
    </w:p>
    <w:p>
      <w:pPr>
        <w:spacing w:after="0" w:line="21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As the rates implicit in the Company’s leases are not readily determinable, the Company uses its incremental borrowing rate, based on the local economic environment and the duration of the lease term, for the initial measurement of the operating lease right-of-use asset and liability.</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52</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6"/>
          <w:szCs w:val="16"/>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Abercrombie &amp; Fitch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color w:val="auto"/>
        </w:rPr>
        <w:t>The measurement of operating lease right-of-use assets and liabilities includes amounts related to:</w:t>
      </w:r>
    </w:p>
    <w:p>
      <w:pPr>
        <w:spacing w:after="0" w:line="21" w:lineRule="exact"/>
        <w:rPr>
          <w:sz w:val="20"/>
          <w:szCs w:val="20"/>
          <w:color w:val="auto"/>
        </w:rPr>
      </w:pPr>
    </w:p>
    <w:p>
      <w:pPr>
        <w:ind w:left="640" w:hanging="308"/>
        <w:spacing w:after="0"/>
        <w:tabs>
          <w:tab w:leader="none" w:pos="6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Lease payments made prior to the lease commencement date;</w:t>
      </w:r>
    </w:p>
    <w:p>
      <w:pPr>
        <w:spacing w:after="0" w:line="14" w:lineRule="exact"/>
        <w:rPr>
          <w:rFonts w:ascii="Arial" w:cs="Arial" w:eastAsia="Arial" w:hAnsi="Arial"/>
          <w:sz w:val="16"/>
          <w:szCs w:val="16"/>
          <w:color w:val="auto"/>
        </w:rPr>
      </w:pPr>
    </w:p>
    <w:p>
      <w:pPr>
        <w:ind w:left="660" w:hanging="328"/>
        <w:spacing w:after="0" w:line="255" w:lineRule="auto"/>
        <w:tabs>
          <w:tab w:leader="none" w:pos="649"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Incentives from landlords received by the Company for signing a lease, including construction allowances or deferred lease credits paid to the Company by landlords towards construction and tenant improvement costs, which are presented as a reduction to the right-of-use asset recorded;</w:t>
      </w:r>
    </w:p>
    <w:p>
      <w:pPr>
        <w:ind w:left="640" w:hanging="308"/>
        <w:spacing w:after="0"/>
        <w:tabs>
          <w:tab w:leader="none" w:pos="6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Fixed payments related to operating lease components, such as rent escalation payments scheduled at the lease commencement date;</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Fixed payments related to nonlease components, such as taxes, insurance, and maintenance costs; and</w:t>
      </w:r>
    </w:p>
    <w:p>
      <w:pPr>
        <w:spacing w:after="0" w:line="5" w:lineRule="exact"/>
        <w:rPr>
          <w:rFonts w:ascii="Arial" w:cs="Arial" w:eastAsia="Arial" w:hAnsi="Arial"/>
          <w:sz w:val="16"/>
          <w:szCs w:val="16"/>
          <w:color w:val="auto"/>
        </w:rPr>
      </w:pPr>
    </w:p>
    <w:p>
      <w:pPr>
        <w:jc w:val="both"/>
        <w:ind w:left="660" w:right="20" w:hanging="328"/>
        <w:spacing w:after="0" w:line="264" w:lineRule="auto"/>
        <w:tabs>
          <w:tab w:leader="none" w:pos="649" w:val="left"/>
        </w:tabs>
        <w:numPr>
          <w:ilvl w:val="0"/>
          <w:numId w:val="50"/>
        </w:numPr>
        <w:rPr>
          <w:rFonts w:ascii="Arial" w:cs="Arial" w:eastAsia="Arial" w:hAnsi="Arial"/>
          <w:sz w:val="16"/>
          <w:szCs w:val="16"/>
          <w:color w:val="auto"/>
        </w:rPr>
      </w:pPr>
      <w:r>
        <w:rPr>
          <w:rFonts w:ascii="Arial" w:cs="Arial" w:eastAsia="Arial" w:hAnsi="Arial"/>
          <w:sz w:val="16"/>
          <w:szCs w:val="16"/>
          <w:color w:val="auto"/>
        </w:rPr>
        <w:t>Unamortized initial direct costs incurred in conjunction with securing a lease, including key money, which are amounts paid directly to a landlord in exchange for securing the lease, and leasehold acquisition costs, which are amounts paid to parties other than the landlord, such as an existing tenant, to secure the desired lease.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measurement of operating lease right-of-use assets and liabilities excludes amounts related to:</w:t>
      </w:r>
    </w:p>
    <w:p>
      <w:pPr>
        <w:spacing w:after="0" w:line="21" w:lineRule="exact"/>
        <w:rPr>
          <w:sz w:val="20"/>
          <w:szCs w:val="20"/>
          <w:color w:val="auto"/>
        </w:rPr>
      </w:pPr>
    </w:p>
    <w:p>
      <w:pPr>
        <w:ind w:left="660" w:hanging="328"/>
        <w:spacing w:after="0" w:line="252" w:lineRule="auto"/>
        <w:tabs>
          <w:tab w:leader="none" w:pos="649" w:val="left"/>
        </w:tabs>
        <w:numPr>
          <w:ilvl w:val="0"/>
          <w:numId w:val="51"/>
        </w:numPr>
        <w:rPr>
          <w:rFonts w:ascii="Arial" w:cs="Arial" w:eastAsia="Arial" w:hAnsi="Arial"/>
          <w:sz w:val="16"/>
          <w:szCs w:val="16"/>
          <w:color w:val="auto"/>
        </w:rPr>
      </w:pPr>
      <w:r>
        <w:rPr>
          <w:rFonts w:ascii="Arial" w:cs="Arial" w:eastAsia="Arial" w:hAnsi="Arial"/>
          <w:sz w:val="16"/>
          <w:szCs w:val="16"/>
          <w:color w:val="auto"/>
        </w:rPr>
        <w:t>Costs expected to be incurred to return a leased asset to its original condition, also referred to as asset retirement obligations, which are classified within other liabilities on the Consolidated Balance Sheets;</w:t>
      </w:r>
    </w:p>
    <w:p>
      <w:pPr>
        <w:spacing w:after="0" w:line="1" w:lineRule="exact"/>
        <w:rPr>
          <w:rFonts w:ascii="Arial" w:cs="Arial" w:eastAsia="Arial" w:hAnsi="Arial"/>
          <w:sz w:val="16"/>
          <w:szCs w:val="16"/>
          <w:color w:val="auto"/>
        </w:rPr>
      </w:pPr>
    </w:p>
    <w:p>
      <w:pPr>
        <w:ind w:left="660" w:right="20" w:hanging="328"/>
        <w:spacing w:after="0" w:line="249" w:lineRule="auto"/>
        <w:tabs>
          <w:tab w:leader="none" w:pos="649" w:val="left"/>
        </w:tabs>
        <w:numPr>
          <w:ilvl w:val="0"/>
          <w:numId w:val="51"/>
        </w:numPr>
        <w:rPr>
          <w:rFonts w:ascii="Arial" w:cs="Arial" w:eastAsia="Arial" w:hAnsi="Arial"/>
          <w:sz w:val="16"/>
          <w:szCs w:val="16"/>
          <w:color w:val="auto"/>
        </w:rPr>
      </w:pPr>
      <w:r>
        <w:rPr>
          <w:rFonts w:ascii="Arial" w:cs="Arial" w:eastAsia="Arial" w:hAnsi="Arial"/>
          <w:sz w:val="16"/>
          <w:szCs w:val="16"/>
          <w:color w:val="auto"/>
        </w:rPr>
        <w:t>Variable payments related to operating lease components, such as contingent rent payments made by the Company based on performance, the expense of which is recognized in the period incurred on the Consolidated Statements of Operations and Comprehensive Income (Loss);</w:t>
      </w:r>
    </w:p>
    <w:p>
      <w:pPr>
        <w:ind w:left="660" w:hanging="328"/>
        <w:spacing w:after="0" w:line="255" w:lineRule="auto"/>
        <w:tabs>
          <w:tab w:leader="none" w:pos="649" w:val="left"/>
        </w:tabs>
        <w:numPr>
          <w:ilvl w:val="0"/>
          <w:numId w:val="51"/>
        </w:numPr>
        <w:rPr>
          <w:rFonts w:ascii="Arial" w:cs="Arial" w:eastAsia="Arial" w:hAnsi="Arial"/>
          <w:sz w:val="16"/>
          <w:szCs w:val="16"/>
          <w:color w:val="auto"/>
        </w:rPr>
      </w:pPr>
      <w:r>
        <w:rPr>
          <w:rFonts w:ascii="Arial" w:cs="Arial" w:eastAsia="Arial" w:hAnsi="Arial"/>
          <w:sz w:val="16"/>
          <w:szCs w:val="16"/>
          <w:color w:val="auto"/>
        </w:rPr>
        <w:t>Variable payments related to nonlease components, such as taxes, insurance, and maintenance costs, the expense of which is recognized in the period incurred in the Consolidated Statements of Operations and Comprehensive Income (Loss); and</w:t>
      </w:r>
    </w:p>
    <w:p>
      <w:pPr>
        <w:ind w:left="660" w:hanging="328"/>
        <w:spacing w:after="0" w:line="283" w:lineRule="auto"/>
        <w:tabs>
          <w:tab w:leader="none" w:pos="649" w:val="left"/>
        </w:tabs>
        <w:numPr>
          <w:ilvl w:val="0"/>
          <w:numId w:val="51"/>
        </w:numPr>
        <w:rPr>
          <w:rFonts w:ascii="Arial" w:cs="Arial" w:eastAsia="Arial" w:hAnsi="Arial"/>
          <w:sz w:val="16"/>
          <w:szCs w:val="16"/>
          <w:color w:val="auto"/>
        </w:rPr>
      </w:pPr>
      <w:r>
        <w:rPr>
          <w:rFonts w:ascii="Arial" w:cs="Arial" w:eastAsia="Arial" w:hAnsi="Arial"/>
          <w:sz w:val="16"/>
          <w:szCs w:val="16"/>
          <w:color w:val="auto"/>
        </w:rPr>
        <w:t>Leases not related to Company-operated retail stores with an initial term of 12 months or less, the expense of which is recognized in the period incurred in the Consolidated Statements of Operations and Comprehensive Income (Loss).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Certain of the Company’s operating leases include options to extend the lease or to terminate the lease. The Company assesses these operating leases and, depending on the facts and circumstances, may or may not include these options in the measurement of the Company’s operating lease right-of-use assets and liabilities. Generally, the Company’s options to extend its operating leases are at the Company’s sole discretion and at the time of lease commencement are not reasonably certain of being exercised. There may be instances in which a lease is being renewed on a month-to-month basis and, in these instances, the Company will recognize lease expense in the period incurred in the Consolidated Statements of Operations and Comprehensive Income (Loss) until a new agreement has been executed. Upon the signing of the renewal agreement, the Company recognizes an asset for the right to use the leased asset and a liability based on the present value of remaining lease payments over the lease term.</w:t>
      </w:r>
    </w:p>
    <w:p>
      <w:pPr>
        <w:spacing w:after="0" w:line="21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Amortization and interest expense related to operating lease right-of-use assets and liabilities are generally calculated on a straight-line basis over the lease term. Amortization and interest expense related to previously impaired operating lease right-of-use assets are calculated on a front-loaded pattern. Depending on the nature of the operating lease, amortization and interest expense are primarily recorded within selling expense, or general and administrative expense, on the Consolidated Statements of Operations and Comprehensive Income (Loss).</w:t>
      </w:r>
    </w:p>
    <w:p>
      <w:pPr>
        <w:spacing w:after="0" w:line="200"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Company’s operating lease agreements do not contain any material residual value guarantees or material restrictive covenants. In addition, the Company does not have any sublease arrangements with any related party.</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Refer to Note 8, “</w:t>
      </w:r>
      <w:r>
        <w:rPr>
          <w:rFonts w:ascii="Arial" w:cs="Arial" w:eastAsia="Arial" w:hAnsi="Arial"/>
          <w:sz w:val="16"/>
          <w:szCs w:val="16"/>
          <w:i w:val="1"/>
          <w:iCs w:val="1"/>
          <w:u w:val="single" w:color="auto"/>
          <w:color w:val="0000FF"/>
        </w:rPr>
        <w:t>LEASES</w:t>
      </w:r>
      <w:r>
        <w:rPr>
          <w:rFonts w:ascii="Arial" w:cs="Arial" w:eastAsia="Arial" w:hAnsi="Arial"/>
          <w:sz w:val="16"/>
          <w:szCs w:val="16"/>
          <w:color w:val="auto"/>
        </w:rPr>
        <w:t>.”</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Long-lived Asset Impairment</w:t>
      </w:r>
    </w:p>
    <w:p>
      <w:pPr>
        <w:spacing w:after="0" w:line="24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For the purposes of asset impairment, the Company’s long-lived assets, primarily operating lease right-of-use assets, leasehold improvements, furniture, fixtures and equipment, are grouped with other assets and liabilities at the store level, which is the lowest level for which identifiable cash flows are largely independent of the cash flows of other assets and liabilities. On at least a quarterly basis, management reviews the Company’s asset groups for indicators of impairment, which include, but are not limited to, material declines in operational performance, a history of losses, an expectation of future losses, adverse market conditions, store closure or relocation decisions, and any other events or changes in circumstances that would indicate the carrying amount of an asset group might not be recoverable.</w:t>
      </w:r>
    </w:p>
    <w:p>
      <w:pPr>
        <w:spacing w:after="0" w:line="20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If an asset group displays an indicator of impairment, it is tested for recoverability by comparing the sum of the estimated future undiscounted cash flows attributable to the asset group to the carrying amount of the asset group. This recoverability test requires management to make assumptions and judgments related, but not limited, to management’s expectations for future cash flows from operating the store. The key assumption used in developing these projected cash flows used in the recoverability test is estimated sales growth rate.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53</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u w:val="single" w:color="auto"/>
          <w:color w:val="0000FF"/>
        </w:rPr>
        <w:t>Table of Contents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Abercrombie &amp; Fitch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If the sum of the estimated future undiscounted cash flows attributable to an asset group is less than its carrying amount, and it is determined that the carrying amount of the asset group is not recoverable, management determines if there is an impairment loss by comparing the carrying amount of the asset group to its fair value. Fair value of an asset group measured on a non-recurring basis is based on the highest and best use of the asset group, often using a discounted cash flow model that utilizes Level 3 fair value inputs. The key assumptions used in the Company’s fair value analyses are estimated sales growth rate and comparable market rents. An impairment loss is recognized based on the excess of the carrying amount of the asset group over its fair value.</w:t>
      </w: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color w:val="auto"/>
        </w:rPr>
        <w:t>Refer to Note 9, “</w:t>
      </w:r>
      <w:r>
        <w:rPr>
          <w:rFonts w:ascii="Arial" w:cs="Arial" w:eastAsia="Arial" w:hAnsi="Arial"/>
          <w:sz w:val="16"/>
          <w:szCs w:val="16"/>
          <w:i w:val="1"/>
          <w:iCs w:val="1"/>
          <w:u w:val="single" w:color="auto"/>
          <w:color w:val="0000FF"/>
        </w:rPr>
        <w:t>ASSET IMPAIRMENT</w:t>
      </w:r>
      <w:r>
        <w:rPr>
          <w:rFonts w:ascii="Arial" w:cs="Arial" w:eastAsia="Arial" w:hAnsi="Arial"/>
          <w:sz w:val="16"/>
          <w:szCs w:val="16"/>
          <w:color w:val="auto"/>
        </w:rPr>
        <w:t>.”</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Other Assets</w:t>
      </w: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Other assets on the Consolidated Balance Sheets consist primarily of the Company’s trust-owned life insurance policies held in the irrevocable rabbi trust (the “Rabbi Trust”), deferred tax assets, long-term deposits, intellectual property, long-term restricted cash and equivalents, long-term supplies, certain costs incurred to develop internal-use computer software during the application development stage and various other assets.</w:t>
      </w:r>
    </w:p>
    <w:p>
      <w:pPr>
        <w:spacing w:after="0" w:line="21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 defers costs incurred with the implementation of a cloud computing arrangement (“CCA”) that is a service contract. The deferred implementation costs of cloud computing arrangements are amortized on a straight-line basis over the term of the cloud computing arrangement, generally ranging from 1 to 5 years, in general and administrative expenses on Consolidated Statements of Operations and Comprehensive Income (Loss). The eligible implementation costs incurred of a cloud computing arrangement are included in other assets on the Consolidated Balance Sheets, and in operating cash flows of the Consolidated statements of cash flows. The deferred CCA implementation costs were $73.3 million and $49.9 million, net of accumulated amortization of $25.5 million and $12.2 million for the years ended February 1, 2025 and February 3, 2024, respectively.</w:t>
      </w:r>
    </w:p>
    <w:p>
      <w:pPr>
        <w:spacing w:after="0" w:line="20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Rabbi Trust includes amounts, restricted in their use, to meet funding obligations to participants in the Abercrombie &amp; Fitch Co. Nonqualified Savings and Supplemental Retirement Plan I, the Abercrombie &amp; Fitch Co. Nonqualified Savings and Supplemental Retirement Plan II and the Supplemental Executive Retirement Plan. The Rabbi Trust assets primarily consist of trust-owned life insurance policies which are recorded at cash surrender value and are included in other assets on the Consolidated Balance Sheets. The change in cash surrender value of the life insurance policies in the Rabbi Trust is recorded in interest expense, net on the Consolidated Statements of Operations and Comprehensive Income (Loss).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Refer to Note 5, “</w:t>
      </w:r>
      <w:r>
        <w:rPr>
          <w:rFonts w:ascii="Arial" w:cs="Arial" w:eastAsia="Arial" w:hAnsi="Arial"/>
          <w:sz w:val="16"/>
          <w:szCs w:val="16"/>
          <w:i w:val="1"/>
          <w:iCs w:val="1"/>
          <w:u w:val="single" w:color="auto"/>
          <w:color w:val="0000FF"/>
        </w:rPr>
        <w:t>INVESTMENTS</w:t>
      </w:r>
      <w:r>
        <w:rPr>
          <w:rFonts w:ascii="Arial" w:cs="Arial" w:eastAsia="Arial" w:hAnsi="Arial"/>
          <w:sz w:val="16"/>
          <w:szCs w:val="16"/>
          <w:color w:val="auto"/>
        </w:rPr>
        <w:t>.”</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Intellectual Property</w:t>
      </w:r>
    </w:p>
    <w:p>
      <w:pPr>
        <w:spacing w:after="0" w:line="26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Intellectual property primarily includes trademark assets associated with the Company’s international operations, consisting of finite-lived and indefinite-lived intangible assets. The Company’s finite-lived intangible assets are amortized over a useful life of 10 to 20 years.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Supply Chain Finance Program</w:t>
      </w:r>
    </w:p>
    <w:p>
      <w:pPr>
        <w:spacing w:after="0" w:line="26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Under the supply chain finance (“SCF”) program, which is administered by a third party, the Company’s vendors, at their sole discretion, are given the opportunity to sell receivables from the Company to a participating financial institution at a discount that leverages the Company’s credit profile. The commercial terms negotiated by the Company with its vendors are consistent, irrespective of whether a vendor participates in the SCF program. A participating vendor has the option to be paid by the financial institution earlier than the original invoice due date. The Company’s responsibility is limited to making payment on the terms originally negotiated by the Company with each vendor, regardless of whether the vendor sells its receivable to a financial institution. If a vendor chooses to participate in the SCF program, the Company pays the financial institution the stated amount of confirmed merchandise invoices on the stated maturity date, which is typically 75 days from the invoice date. The agreement with the financial institution does not require the Company to provide assets pledged as security or other forms of guarantees for the SCF program.</w:t>
      </w:r>
    </w:p>
    <w:p>
      <w:pPr>
        <w:spacing w:after="0" w:line="2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of February 1, 2025 and February 3, 2024, $88.4 million and $72.4 million of SCF program liabilities were recorded in accounts payable in the Consolidated Balance Sheets, respectively, and reflected as a cash flow from operating activities in the Consolidated Statements of Cash Flows when settled.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54</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sz w:val="20"/>
          <w:szCs w:val="20"/>
          <w:color w:val="auto"/>
        </w:rPr>
      </w:pPr>
      <w:r>
        <w:rPr>
          <w:rFonts w:ascii="Arial" w:cs="Arial" w:eastAsia="Arial" w:hAnsi="Arial"/>
          <w:sz w:val="16"/>
          <w:szCs w:val="16"/>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Abercrombie &amp; Fitch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activity in the SCF program for Fiscal 2024:</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880" w:type="dxa"/>
            <w:vAlign w:val="bottom"/>
            <w:shd w:val="clear" w:color="auto" w:fill="F5F5F5"/>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shd w:val="clear" w:color="auto" w:fill="F5F5F5"/>
          </w:tcPr>
          <w:p>
            <w:pPr>
              <w:spacing w:after="0"/>
              <w:rPr>
                <w:sz w:val="17"/>
                <w:szCs w:val="17"/>
                <w:color w:val="auto"/>
              </w:rPr>
            </w:pPr>
          </w:p>
        </w:tc>
        <w:tc>
          <w:tcPr>
            <w:tcW w:w="100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Fiscal 2024</w:t>
            </w:r>
          </w:p>
        </w:tc>
      </w:tr>
      <w:tr>
        <w:trPr>
          <w:trHeight w:val="192"/>
        </w:trPr>
        <w:tc>
          <w:tcPr>
            <w:tcW w:w="9880" w:type="dxa"/>
            <w:vAlign w:val="bottom"/>
          </w:tcPr>
          <w:p>
            <w:pPr>
              <w:ind w:left="20"/>
              <w:spacing w:after="0"/>
              <w:rPr>
                <w:sz w:val="20"/>
                <w:szCs w:val="20"/>
                <w:color w:val="auto"/>
              </w:rPr>
            </w:pPr>
            <w:r>
              <w:rPr>
                <w:rFonts w:ascii="Arial" w:cs="Arial" w:eastAsia="Arial" w:hAnsi="Arial"/>
                <w:sz w:val="14"/>
                <w:szCs w:val="14"/>
                <w:color w:val="auto"/>
              </w:rPr>
              <w:t>Confirmed obligations outstanding at the beginning of the period</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72,376</w:t>
            </w:r>
          </w:p>
        </w:tc>
      </w:tr>
      <w:tr>
        <w:trPr>
          <w:trHeight w:val="207"/>
        </w:trPr>
        <w:tc>
          <w:tcPr>
            <w:tcW w:w="9880" w:type="dxa"/>
            <w:vAlign w:val="bottom"/>
            <w:shd w:val="clear" w:color="auto" w:fill="F5F5F5"/>
          </w:tcPr>
          <w:p>
            <w:pPr>
              <w:ind w:left="20"/>
              <w:spacing w:after="0"/>
              <w:rPr>
                <w:sz w:val="20"/>
                <w:szCs w:val="20"/>
                <w:color w:val="auto"/>
              </w:rPr>
            </w:pPr>
            <w:r>
              <w:rPr>
                <w:rFonts w:ascii="Arial" w:cs="Arial" w:eastAsia="Arial" w:hAnsi="Arial"/>
                <w:sz w:val="14"/>
                <w:szCs w:val="14"/>
                <w:color w:val="auto"/>
              </w:rPr>
              <w:t>Invoices confirmed during the period</w:t>
            </w:r>
          </w:p>
        </w:tc>
        <w:tc>
          <w:tcPr>
            <w:tcW w:w="360" w:type="dxa"/>
            <w:vAlign w:val="bottom"/>
            <w:shd w:val="clear" w:color="auto" w:fill="F5F5F5"/>
          </w:tcPr>
          <w:p>
            <w:pPr>
              <w:spacing w:after="0"/>
              <w:rPr>
                <w:sz w:val="17"/>
                <w:szCs w:val="17"/>
                <w:color w:val="auto"/>
              </w:rPr>
            </w:pPr>
          </w:p>
        </w:tc>
        <w:tc>
          <w:tcPr>
            <w:tcW w:w="10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440,125</w:t>
            </w:r>
          </w:p>
        </w:tc>
      </w:tr>
      <w:tr>
        <w:trPr>
          <w:trHeight w:val="198"/>
        </w:trPr>
        <w:tc>
          <w:tcPr>
            <w:tcW w:w="9880" w:type="dxa"/>
            <w:vAlign w:val="bottom"/>
            <w:tcBorders>
              <w:bottom w:val="single" w:sz="8" w:color="F5F5F5"/>
            </w:tcBorders>
          </w:tcPr>
          <w:p>
            <w:pPr>
              <w:ind w:left="20"/>
              <w:spacing w:after="0"/>
              <w:rPr>
                <w:sz w:val="20"/>
                <w:szCs w:val="20"/>
                <w:color w:val="auto"/>
              </w:rPr>
            </w:pPr>
            <w:r>
              <w:rPr>
                <w:rFonts w:ascii="Arial" w:cs="Arial" w:eastAsia="Arial" w:hAnsi="Arial"/>
                <w:sz w:val="14"/>
                <w:szCs w:val="14"/>
                <w:color w:val="auto"/>
              </w:rPr>
              <w:t>Confirmed invoices paid during the period</w:t>
            </w: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(424,112)</w:t>
            </w:r>
          </w:p>
        </w:tc>
      </w:tr>
      <w:tr>
        <w:trPr>
          <w:trHeight w:val="225"/>
        </w:trPr>
        <w:tc>
          <w:tcPr>
            <w:tcW w:w="9880" w:type="dxa"/>
            <w:vAlign w:val="bottom"/>
            <w:tcBorders>
              <w:bottom w:val="single" w:sz="8" w:color="F5F5F5"/>
            </w:tcBorders>
            <w:shd w:val="clear" w:color="auto" w:fill="F5F5F5"/>
          </w:tcPr>
          <w:p>
            <w:pPr>
              <w:ind w:left="20"/>
              <w:spacing w:after="0"/>
              <w:rPr>
                <w:sz w:val="20"/>
                <w:szCs w:val="20"/>
                <w:color w:val="auto"/>
              </w:rPr>
            </w:pPr>
            <w:r>
              <w:rPr>
                <w:rFonts w:ascii="Arial" w:cs="Arial" w:eastAsia="Arial" w:hAnsi="Arial"/>
                <w:sz w:val="14"/>
                <w:szCs w:val="14"/>
                <w:color w:val="auto"/>
              </w:rPr>
              <w:t>Confirmed obligations outstanding at the end of the period</w:t>
            </w:r>
          </w:p>
        </w:tc>
        <w:tc>
          <w:tcPr>
            <w:tcW w:w="360" w:type="dxa"/>
            <w:vAlign w:val="bottom"/>
            <w:tcBorders>
              <w:bottom w:val="single" w:sz="8" w:color="auto"/>
            </w:tcBorders>
            <w:shd w:val="clear" w:color="auto" w:fill="F5F5F5"/>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88,389</w:t>
            </w:r>
          </w:p>
        </w:tc>
      </w:tr>
      <w:tr>
        <w:trPr>
          <w:trHeight w:val="20"/>
        </w:trPr>
        <w:tc>
          <w:tcPr>
            <w:tcW w:w="9880" w:type="dxa"/>
            <w:vAlign w:val="bottom"/>
            <w:tcBorders>
              <w:top w:val="single" w:sz="8" w:color="F5F5F5"/>
            </w:tcBorders>
          </w:tcPr>
          <w:p>
            <w:pPr>
              <w:spacing w:after="0" w:line="20" w:lineRule="exact"/>
              <w:rPr>
                <w:sz w:val="1"/>
                <w:szCs w:val="1"/>
                <w:color w:val="auto"/>
              </w:rPr>
            </w:pPr>
          </w:p>
        </w:tc>
        <w:tc>
          <w:tcPr>
            <w:tcW w:w="360" w:type="dxa"/>
            <w:vAlign w:val="bottom"/>
            <w:tcBorders>
              <w:top w:val="single" w:sz="8" w:color="F5F5F5"/>
              <w:bottom w:val="single" w:sz="8" w:color="auto"/>
            </w:tcBorders>
          </w:tcPr>
          <w:p>
            <w:pPr>
              <w:spacing w:after="0" w:line="20" w:lineRule="exact"/>
              <w:rPr>
                <w:sz w:val="1"/>
                <w:szCs w:val="1"/>
                <w:color w:val="auto"/>
              </w:rPr>
            </w:pPr>
          </w:p>
        </w:tc>
        <w:tc>
          <w:tcPr>
            <w:tcW w:w="1000" w:type="dxa"/>
            <w:vAlign w:val="bottom"/>
            <w:tcBorders>
              <w:top w:val="single" w:sz="8" w:color="F5F5F5"/>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Income Taxes</w:t>
      </w:r>
    </w:p>
    <w:p>
      <w:pPr>
        <w:spacing w:after="0" w:line="24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Income taxes are calculated using the asset and liability method. Deferred tax assets and liabilities are recognized based on the difference between the financial statement carrying amounts of existing assets and liabilities and their respective tax bases. Deferred tax assets and liabilities are measured using current enacted tax rates in effect for the years in which those temporary differences are expected to reverse. Inherent in the determination of the Company’s income tax liability and related deferred income tax balances are certain judgments and interpretations of enacted tax law and published guidance with respect to applicability to the Company’s operations. The Company is subject to audit by taxing authorities, usually several years after tax returns have been filed, and the taxing authorities may have differing interpretations of tax laws. Valuation allowances are established to reduce deferred tax assets to the amount expected to be realized when it is more likely than not that some portion or all of the deferred tax assets will not be realized.</w:t>
      </w:r>
    </w:p>
    <w:p>
      <w:pPr>
        <w:spacing w:after="0" w:line="20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Company records tax expense or benefit that does not relate to ordinary income in the current fiscal year discretely in the period in which it occurs. Examples of such types of discrete items include, but are not limited to: changes in estimates of the outcome of tax matters related to prior years, assessments of valuation allowances, return-to-provision adjustments, tax-exempt income, the settlement of tax audits and changes in tax legislation and/or regulations.</w:t>
      </w:r>
    </w:p>
    <w:p>
      <w:pPr>
        <w:spacing w:after="0" w:line="200" w:lineRule="exact"/>
        <w:rPr>
          <w:sz w:val="20"/>
          <w:szCs w:val="20"/>
          <w:color w:val="auto"/>
        </w:rPr>
      </w:pP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Tax benefits from uncertain tax positions are recognized when it is more likely than not that the position will be sustained upon examination, including resolutions of any related appeals or litigation processes, based on the technical merits. The amount recognized is measured as the largest amount of tax benefit that is greater than 50 percent likely of being realized upon settlement. The Company’s effective tax rate includes the impact of reserve provisions and changes to reserves on uncertain tax positions that are not more likely than not to be sustained upon examination as well as related interest and penalties.</w:t>
      </w:r>
    </w:p>
    <w:p>
      <w:pPr>
        <w:spacing w:after="0" w:line="200" w:lineRule="exact"/>
        <w:rPr>
          <w:sz w:val="20"/>
          <w:szCs w:val="20"/>
          <w:color w:val="auto"/>
        </w:rPr>
      </w:pPr>
    </w:p>
    <w:p>
      <w:pPr>
        <w:spacing w:after="0" w:line="21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 number of years may elapse before a particular matter, for which the Company has established a reserve, is audited and finally resolved. The number of years with open tax audits varies depending on the tax jurisdiction. While it is often difficult to predict the final outcome or the timing of resolution of any particular tax matter, the Company believes that its reserves reflect the probable outcome of known tax contingencies. Unfavorable settlement of any particular issue may require use of the Company’s cash. Favorable resolution would be recognized as a reduction to the Company’s effective tax rate in the period of resolution.</w:t>
      </w:r>
    </w:p>
    <w:p>
      <w:pPr>
        <w:spacing w:after="0" w:line="21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recognizes accrued interest and penalties related to uncertain tax positions as a component of income tax expense on the Consolidated Statements of Operations and Comprehensive Income (Loss).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Refer to Note 11, “</w:t>
      </w:r>
      <w:r>
        <w:rPr>
          <w:rFonts w:ascii="Arial" w:cs="Arial" w:eastAsia="Arial" w:hAnsi="Arial"/>
          <w:sz w:val="16"/>
          <w:szCs w:val="16"/>
          <w:i w:val="1"/>
          <w:iCs w:val="1"/>
          <w:u w:val="single" w:color="auto"/>
          <w:color w:val="0000FF"/>
        </w:rPr>
        <w:t>INCOME TAXES</w:t>
      </w:r>
      <w:r>
        <w:rPr>
          <w:rFonts w:ascii="Arial" w:cs="Arial" w:eastAsia="Arial" w:hAnsi="Arial"/>
          <w:sz w:val="16"/>
          <w:szCs w:val="16"/>
          <w:color w:val="auto"/>
        </w:rPr>
        <w:t>.”</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Foreign Currency Translation and Transactions</w:t>
      </w:r>
    </w:p>
    <w:p>
      <w:pPr>
        <w:spacing w:after="0" w:line="24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functional currencies of the Company’s foreign subsidiaries are generally the currencies of the environments in which each subsidiary primarily generates and expends cash, which is often the local currency of the country in which each subsidiary operates. The financial statements of the Company’s foreign subsidiaries with functional currencies other than the U.S. Dollar are translated into U.S. Dollars (the Company’s reporting currency) as follows: assets and liabilities are translated at the exchange rate prevailing at the balance sheet date, equity accounts are translated at historical exchange rates, and revenues and expenses are translated at the monthly average exchange rate for the period.</w:t>
      </w:r>
    </w:p>
    <w:p>
      <w:pPr>
        <w:spacing w:after="0" w:line="19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Foreign currency transactions, which are transactions denominated in a currency other than the entity’s functional currency, are initially measured in the functional currency of the recording entity using the exchange rate in effect at that date. Subsequently, assets and liabilities associated with foreign currency transactions are remeasured into the entity’s functional currency using historical exchange rates when remeasuring nonmonetary assets and liabilities and current exchange rates when remeasuring monetary assets and liabilities.</w:t>
      </w:r>
    </w:p>
    <w:p>
      <w:pPr>
        <w:spacing w:after="0" w:line="2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Gains and losses resulting from the remeasurement of monetary assets and liabilities are included in other operating income, net, whereas translation adjustments and gains and losses associated with measuring inter-company loans of a long-term investment nature are reported as an element of other comprehensive income (loss).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55</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6"/>
          <w:szCs w:val="16"/>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Abercrombie &amp; Fitch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Derivative Instruments</w:t>
      </w:r>
    </w:p>
    <w:p>
      <w:pPr>
        <w:spacing w:after="0" w:line="24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is exposed to risks associated with changes in foreign currency exchange rates and uses derivative instruments, primarily forward contracts, to manage the financial impacts of these exposures. The Company does not use forward contracts to engage in currency speculation and does not enter into derivative financial instruments for trading purposes.</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order to qualify for hedge accounting treatment, a derivative instrument must be considered highly effective at offsetting changes in either the hedged item’s cash flows or fair value. Additionally, the hedge relationship must be documented to include the risk management objective and strategy, the hedging instrument, the hedged item, the risk exposure, and how hedge effectiveness will be assessed prospectively and retrospectively. The extent to which a hedging instrument has been, and is expected to continue to be, effective at offsetting changes in fair value or cash flows is assessed and documented at least quarterly. If the underlying hedged item is no longer probable of occurring, hedge accounting is discontinued.</w:t>
      </w:r>
    </w:p>
    <w:p>
      <w:pPr>
        <w:spacing w:after="0" w:line="21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For derivative instruments that either do not qualify for hedge accounting or are not designated as hedges, all changes in the fair value of the derivative instrument are recognized in earnings. For qualifying cash flow hedges, the change in the fair value of the derivative instrument is recorded as a component of other comprehensive income (loss) (“OCI”) and recognized in earnings when the hedged cash flows affect earnings. If the cash flow hedge relationship is terminated, the derivative instrument gains or losses that are deferred in OCI will be recognized in earnings when the hedged cash flows occur. However, for cash flow hedges that are terminated because the forecasted transaction is not expected to occur in the original specified time period, or a two-month period thereafter, the derivative instrument gains or losses are immediately recognized in earnings.</w:t>
      </w:r>
    </w:p>
    <w:p>
      <w:pPr>
        <w:spacing w:after="0" w:line="21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 uses derivative instruments, primarily forward contracts designated as cash flow hedges, to hedge the foreign currency exchange rate exposure associated with forecasted foreign-currency-denominated intercompany inventory transactions with foreign subsidiaries before inventory is sold to third parties. Fluctuations in exchange rates will either increase or decrease the Company’s intercompany equivalent cash flows and affect the Company’s U.S. Dollar earnings. Gains or losses on the foreign currency exchange forward contracts that are used to hedge these exposures are expected to partially offset this variability. Foreign currency exchange forward contracts represent agreements to exchange the currency of one country for the currency of another country at an agreed upon settlement date. These forward contracts typically have a maximum term of twelve months. The conversion of the inventory to cost of sales, exclusive of depreciation and amortization, will result in the reclassification of related derivative gains and losses that are reported in AOCL on the Consolidated Balance Sheets into earnings.</w:t>
      </w:r>
    </w:p>
    <w:p>
      <w:pPr>
        <w:spacing w:after="0" w:line="20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also uses foreign currency exchange forward contracts to hedge certain foreign-currency-denominated net monetary assets and liabilities, such as cash balances, receivables and payables. Fluctuations in foreign currency exchange rates result in transaction gains and losses being recorded in earnings as monetary assets and liabilities are remeasured at the spot exchange rate at the Company’s fiscal month-end or upon settlement. The Company has chosen not to apply hedge accounting to these foreign currency exchange forward contracts because there are no differences in the timing of gain or loss recognition on the hedging instruments and the hedged items.</w:t>
      </w:r>
    </w:p>
    <w:p>
      <w:pPr>
        <w:spacing w:after="0" w:line="19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Company presents its derivative assets and derivative liabilities at their gross fair values within other current assets and accrued liabilities, respectively, on the Consolidated Balance Sheets. However, the Company’s derivative instruments allow net settlements under certain conditions.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Refer to Note 14, “</w:t>
      </w:r>
      <w:r>
        <w:rPr>
          <w:rFonts w:ascii="Arial" w:cs="Arial" w:eastAsia="Arial" w:hAnsi="Arial"/>
          <w:sz w:val="16"/>
          <w:szCs w:val="16"/>
          <w:i w:val="1"/>
          <w:iCs w:val="1"/>
          <w:u w:val="single" w:color="auto"/>
          <w:color w:val="0000FF"/>
        </w:rPr>
        <w:t>DERIVATIVE INSTRUMENTS</w:t>
      </w:r>
      <w:r>
        <w:rPr>
          <w:rFonts w:ascii="Arial" w:cs="Arial" w:eastAsia="Arial" w:hAnsi="Arial"/>
          <w:sz w:val="16"/>
          <w:szCs w:val="16"/>
          <w:i w:val="1"/>
          <w:iCs w:val="1"/>
          <w:color w:val="auto"/>
        </w:rPr>
        <w:t>.</w:t>
      </w:r>
      <w:r>
        <w:rPr>
          <w:rFonts w:ascii="Arial" w:cs="Arial" w:eastAsia="Arial" w:hAnsi="Arial"/>
          <w:sz w:val="16"/>
          <w:szCs w:val="16"/>
          <w:color w:val="auto"/>
        </w:rPr>
        <w:t>”</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Stockholders’ Equity</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Company’s Class A Common Stock, $0.01 par value, and Class B Common Stock, $0.01 par value,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40" w:type="dxa"/>
            <w:vAlign w:val="bottom"/>
            <w:gridSpan w:val="2"/>
          </w:tcPr>
          <w:p>
            <w:pPr>
              <w:ind w:left="420"/>
              <w:spacing w:after="0"/>
              <w:rPr>
                <w:sz w:val="20"/>
                <w:szCs w:val="20"/>
                <w:color w:val="auto"/>
              </w:rPr>
            </w:pPr>
            <w:r>
              <w:rPr>
                <w:rFonts w:ascii="Arial" w:cs="Arial" w:eastAsia="Arial" w:hAnsi="Arial"/>
                <w:sz w:val="14"/>
                <w:szCs w:val="14"/>
                <w:color w:val="auto"/>
              </w:rPr>
              <w:t>February 1, 2025</w:t>
            </w:r>
          </w:p>
        </w:tc>
        <w:tc>
          <w:tcPr>
            <w:tcW w:w="1520" w:type="dxa"/>
            <w:vAlign w:val="bottom"/>
          </w:tcPr>
          <w:p>
            <w:pPr>
              <w:jc w:val="right"/>
              <w:spacing w:after="0"/>
              <w:rPr>
                <w:sz w:val="20"/>
                <w:szCs w:val="20"/>
                <w:color w:val="auto"/>
              </w:rPr>
            </w:pPr>
            <w:r>
              <w:rPr>
                <w:rFonts w:ascii="Arial" w:cs="Arial" w:eastAsia="Arial" w:hAnsi="Arial"/>
                <w:sz w:val="14"/>
                <w:szCs w:val="14"/>
                <w:color w:val="auto"/>
              </w:rPr>
              <w:t>February 3, 2024</w:t>
            </w:r>
          </w:p>
        </w:tc>
      </w:tr>
      <w:tr>
        <w:trPr>
          <w:trHeight w:val="188"/>
        </w:trPr>
        <w:tc>
          <w:tcPr>
            <w:tcW w:w="8080" w:type="dxa"/>
            <w:vAlign w:val="bottom"/>
          </w:tcPr>
          <w:p>
            <w:pPr>
              <w:ind w:left="20"/>
              <w:spacing w:after="0"/>
              <w:rPr>
                <w:sz w:val="20"/>
                <w:szCs w:val="20"/>
                <w:color w:val="auto"/>
              </w:rPr>
            </w:pPr>
            <w:r>
              <w:rPr>
                <w:rFonts w:ascii="Arial" w:cs="Arial" w:eastAsia="Arial" w:hAnsi="Arial"/>
                <w:sz w:val="14"/>
                <w:szCs w:val="14"/>
                <w:b w:val="1"/>
                <w:bCs w:val="1"/>
                <w:color w:val="auto"/>
              </w:rPr>
              <w:t>Class A Common Stock</w:t>
            </w:r>
          </w:p>
        </w:tc>
        <w:tc>
          <w:tcPr>
            <w:tcW w:w="15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r>
      <w:tr>
        <w:trPr>
          <w:trHeight w:val="203"/>
        </w:trPr>
        <w:tc>
          <w:tcPr>
            <w:tcW w:w="8080" w:type="dxa"/>
            <w:vAlign w:val="bottom"/>
            <w:shd w:val="clear" w:color="auto" w:fill="F5F5F5"/>
          </w:tcPr>
          <w:p>
            <w:pPr>
              <w:ind w:left="20"/>
              <w:spacing w:after="0"/>
              <w:rPr>
                <w:sz w:val="20"/>
                <w:szCs w:val="20"/>
                <w:color w:val="auto"/>
              </w:rPr>
            </w:pPr>
            <w:r>
              <w:rPr>
                <w:rFonts w:ascii="Arial" w:cs="Arial" w:eastAsia="Arial" w:hAnsi="Arial"/>
                <w:sz w:val="14"/>
                <w:szCs w:val="14"/>
                <w:color w:val="auto"/>
              </w:rPr>
              <w:t>Shares authorized</w:t>
            </w:r>
          </w:p>
        </w:tc>
        <w:tc>
          <w:tcPr>
            <w:tcW w:w="152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150,000</w:t>
            </w:r>
          </w:p>
        </w:tc>
        <w:tc>
          <w:tcPr>
            <w:tcW w:w="120" w:type="dxa"/>
            <w:vAlign w:val="bottom"/>
            <w:shd w:val="clear" w:color="auto" w:fill="F5F5F5"/>
          </w:tcPr>
          <w:p>
            <w:pPr>
              <w:spacing w:after="0"/>
              <w:rPr>
                <w:sz w:val="17"/>
                <w:szCs w:val="17"/>
                <w:color w:val="auto"/>
              </w:rPr>
            </w:pPr>
          </w:p>
        </w:tc>
        <w:tc>
          <w:tcPr>
            <w:tcW w:w="152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150,000</w:t>
            </w:r>
          </w:p>
        </w:tc>
      </w:tr>
      <w:tr>
        <w:trPr>
          <w:trHeight w:val="198"/>
        </w:trPr>
        <w:tc>
          <w:tcPr>
            <w:tcW w:w="8080" w:type="dxa"/>
            <w:vAlign w:val="bottom"/>
          </w:tcPr>
          <w:p>
            <w:pPr>
              <w:ind w:left="20"/>
              <w:spacing w:after="0"/>
              <w:rPr>
                <w:sz w:val="20"/>
                <w:szCs w:val="20"/>
                <w:color w:val="auto"/>
              </w:rPr>
            </w:pPr>
            <w:r>
              <w:rPr>
                <w:rFonts w:ascii="Arial" w:cs="Arial" w:eastAsia="Arial" w:hAnsi="Arial"/>
                <w:sz w:val="14"/>
                <w:szCs w:val="14"/>
                <w:color w:val="auto"/>
              </w:rPr>
              <w:t>Shares issued</w:t>
            </w:r>
          </w:p>
        </w:tc>
        <w:tc>
          <w:tcPr>
            <w:tcW w:w="1520" w:type="dxa"/>
            <w:vAlign w:val="bottom"/>
          </w:tcPr>
          <w:p>
            <w:pPr>
              <w:jc w:val="right"/>
              <w:spacing w:after="0"/>
              <w:rPr>
                <w:sz w:val="20"/>
                <w:szCs w:val="20"/>
                <w:color w:val="auto"/>
              </w:rPr>
            </w:pPr>
            <w:r>
              <w:rPr>
                <w:rFonts w:ascii="Arial" w:cs="Arial" w:eastAsia="Arial" w:hAnsi="Arial"/>
                <w:sz w:val="14"/>
                <w:szCs w:val="14"/>
                <w:color w:val="auto"/>
              </w:rPr>
              <w:t>103,300</w:t>
            </w: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103,300</w:t>
            </w:r>
          </w:p>
        </w:tc>
      </w:tr>
      <w:tr>
        <w:trPr>
          <w:trHeight w:val="207"/>
        </w:trPr>
        <w:tc>
          <w:tcPr>
            <w:tcW w:w="8080" w:type="dxa"/>
            <w:vAlign w:val="bottom"/>
            <w:shd w:val="clear" w:color="auto" w:fill="F5F5F5"/>
          </w:tcPr>
          <w:p>
            <w:pPr>
              <w:ind w:left="20"/>
              <w:spacing w:after="0"/>
              <w:rPr>
                <w:sz w:val="20"/>
                <w:szCs w:val="20"/>
                <w:color w:val="auto"/>
              </w:rPr>
            </w:pPr>
            <w:r>
              <w:rPr>
                <w:rFonts w:ascii="Arial" w:cs="Arial" w:eastAsia="Arial" w:hAnsi="Arial"/>
                <w:sz w:val="14"/>
                <w:szCs w:val="14"/>
                <w:color w:val="auto"/>
              </w:rPr>
              <w:t>Shares outstanding</w:t>
            </w:r>
          </w:p>
        </w:tc>
        <w:tc>
          <w:tcPr>
            <w:tcW w:w="1520" w:type="dxa"/>
            <w:vAlign w:val="bottom"/>
            <w:shd w:val="clear" w:color="auto" w:fill="F5F5F5"/>
          </w:tcPr>
          <w:p>
            <w:pPr>
              <w:jc w:val="right"/>
              <w:spacing w:after="0"/>
              <w:rPr>
                <w:sz w:val="20"/>
                <w:szCs w:val="20"/>
                <w:color w:val="auto"/>
              </w:rPr>
            </w:pPr>
            <w:r>
              <w:rPr>
                <w:rFonts w:ascii="Arial" w:cs="Arial" w:eastAsia="Arial" w:hAnsi="Arial"/>
                <w:sz w:val="14"/>
                <w:szCs w:val="14"/>
                <w:color w:val="auto"/>
              </w:rPr>
              <w:t>49,735</w:t>
            </w:r>
          </w:p>
        </w:tc>
        <w:tc>
          <w:tcPr>
            <w:tcW w:w="120" w:type="dxa"/>
            <w:vAlign w:val="bottom"/>
            <w:shd w:val="clear" w:color="auto" w:fill="F5F5F5"/>
          </w:tcPr>
          <w:p>
            <w:pPr>
              <w:spacing w:after="0"/>
              <w:rPr>
                <w:sz w:val="17"/>
                <w:szCs w:val="17"/>
                <w:color w:val="auto"/>
              </w:rPr>
            </w:pPr>
          </w:p>
        </w:tc>
        <w:tc>
          <w:tcPr>
            <w:tcW w:w="1520" w:type="dxa"/>
            <w:vAlign w:val="bottom"/>
            <w:shd w:val="clear" w:color="auto" w:fill="F5F5F5"/>
          </w:tcPr>
          <w:p>
            <w:pPr>
              <w:jc w:val="right"/>
              <w:spacing w:after="0"/>
              <w:rPr>
                <w:sz w:val="20"/>
                <w:szCs w:val="20"/>
                <w:color w:val="auto"/>
              </w:rPr>
            </w:pPr>
            <w:r>
              <w:rPr>
                <w:rFonts w:ascii="Arial" w:cs="Arial" w:eastAsia="Arial" w:hAnsi="Arial"/>
                <w:sz w:val="14"/>
                <w:szCs w:val="14"/>
                <w:color w:val="auto"/>
              </w:rPr>
              <w:t>50,500</w:t>
            </w:r>
          </w:p>
        </w:tc>
      </w:tr>
      <w:tr>
        <w:trPr>
          <w:trHeight w:val="203"/>
        </w:trPr>
        <w:tc>
          <w:tcPr>
            <w:tcW w:w="8080" w:type="dxa"/>
            <w:vAlign w:val="bottom"/>
          </w:tcPr>
          <w:p>
            <w:pPr>
              <w:ind w:left="20"/>
              <w:spacing w:after="0" w:line="202" w:lineRule="exact"/>
              <w:rPr>
                <w:sz w:val="20"/>
                <w:szCs w:val="20"/>
                <w:color w:val="auto"/>
              </w:rPr>
            </w:pPr>
            <w:r>
              <w:rPr>
                <w:rFonts w:ascii="Arial" w:cs="Arial" w:eastAsia="Arial" w:hAnsi="Arial"/>
                <w:sz w:val="14"/>
                <w:szCs w:val="14"/>
                <w:b w:val="1"/>
                <w:bCs w:val="1"/>
                <w:color w:val="auto"/>
              </w:rPr>
              <w:t xml:space="preserve">Class B Common Stock </w:t>
            </w:r>
            <w:r>
              <w:rPr>
                <w:rFonts w:ascii="Arial" w:cs="Arial" w:eastAsia="Arial" w:hAnsi="Arial"/>
                <w:sz w:val="18"/>
                <w:szCs w:val="18"/>
                <w:b w:val="1"/>
                <w:bCs w:val="1"/>
                <w:color w:val="auto"/>
                <w:vertAlign w:val="superscript"/>
              </w:rPr>
              <w:t>(1)</w:t>
            </w: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8080" w:type="dxa"/>
            <w:vAlign w:val="bottom"/>
            <w:shd w:val="clear" w:color="auto" w:fill="F5F5F5"/>
          </w:tcPr>
          <w:p>
            <w:pPr>
              <w:ind w:left="20"/>
              <w:spacing w:after="0"/>
              <w:rPr>
                <w:sz w:val="20"/>
                <w:szCs w:val="20"/>
                <w:color w:val="auto"/>
              </w:rPr>
            </w:pPr>
            <w:r>
              <w:rPr>
                <w:rFonts w:ascii="Arial" w:cs="Arial" w:eastAsia="Arial" w:hAnsi="Arial"/>
                <w:sz w:val="14"/>
                <w:szCs w:val="14"/>
                <w:color w:val="auto"/>
              </w:rPr>
              <w:t>Shares authorized</w:t>
            </w:r>
          </w:p>
        </w:tc>
        <w:tc>
          <w:tcPr>
            <w:tcW w:w="152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106,400</w:t>
            </w:r>
          </w:p>
        </w:tc>
        <w:tc>
          <w:tcPr>
            <w:tcW w:w="120" w:type="dxa"/>
            <w:vAlign w:val="bottom"/>
            <w:shd w:val="clear" w:color="auto" w:fill="F5F5F5"/>
          </w:tcPr>
          <w:p>
            <w:pPr>
              <w:spacing w:after="0"/>
              <w:rPr>
                <w:sz w:val="17"/>
                <w:szCs w:val="17"/>
                <w:color w:val="auto"/>
              </w:rPr>
            </w:pPr>
          </w:p>
        </w:tc>
        <w:tc>
          <w:tcPr>
            <w:tcW w:w="152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106,400</w:t>
            </w:r>
          </w:p>
        </w:tc>
      </w:tr>
    </w:tbl>
    <w:p>
      <w:pPr>
        <w:spacing w:after="0" w:line="38" w:lineRule="exact"/>
        <w:rPr>
          <w:sz w:val="20"/>
          <w:szCs w:val="20"/>
          <w:color w:val="auto"/>
        </w:rPr>
      </w:pPr>
    </w:p>
    <w:p>
      <w:pPr>
        <w:ind w:left="260" w:hanging="252"/>
        <w:spacing w:after="0"/>
        <w:tabs>
          <w:tab w:leader="none" w:pos="260" w:val="left"/>
        </w:tabs>
        <w:numPr>
          <w:ilvl w:val="0"/>
          <w:numId w:val="52"/>
        </w:numPr>
        <w:rPr>
          <w:rFonts w:ascii="Arial" w:cs="Arial" w:eastAsia="Arial" w:hAnsi="Arial"/>
          <w:sz w:val="18"/>
          <w:szCs w:val="18"/>
          <w:color w:val="auto"/>
          <w:vertAlign w:val="superscript"/>
        </w:rPr>
      </w:pPr>
      <w:r>
        <w:rPr>
          <w:rFonts w:ascii="Arial" w:cs="Arial" w:eastAsia="Arial" w:hAnsi="Arial"/>
          <w:sz w:val="13"/>
          <w:szCs w:val="13"/>
          <w:color w:val="auto"/>
        </w:rPr>
        <w:t>No shares were issued or outstanding as of each of February 1, 2025 and February 3, 2024.</w:t>
      </w:r>
    </w:p>
    <w:p>
      <w:pPr>
        <w:spacing w:after="0" w:line="22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Holders of Class A Common Stock generally have identical rights to holders of Class B Common Stock, except holders of Class A Common Stock are entitled to one vote per share while holders of Class B Common Stock are entitled to three votes per share on all matters submitted to a vote of stockholders.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56</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6"/>
          <w:szCs w:val="16"/>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Abercrombie &amp; Fitch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Revenue Recognition</w:t>
      </w:r>
    </w:p>
    <w:p>
      <w:pPr>
        <w:spacing w:after="0" w:line="246"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Company recognizes revenue from product sales when control of the good is transferred to the customer, generally upon pick up at, or shipment from, a Company location.</w:t>
      </w:r>
    </w:p>
    <w:p>
      <w:pPr>
        <w:spacing w:after="0" w:line="16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Revenue is recorded net of estimated returns, associate discounts, promotions and other similar customer incentives. The Company estimates reserves for sales returns based on historical experience among other factors. The sales return reserve is classified in accrued expenses with a corresponding asset related to the projected returned merchandise recorded in inventory on the Consolidated Balance Sheets.</w:t>
      </w:r>
    </w:p>
    <w:p>
      <w:pPr>
        <w:spacing w:after="0" w:line="19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Company accounts for gift cards sold to customers by recognizing an unearned revenue liability at the time of sale, which is recognized as net sales when redeemed by the customer or when the Company has determined the likelihood of redemption to be remote, referred to as gift card breakage. Gift card breakage is recognized proportionally with gift card redemptions in net sales. Gift cards sold to customers do not expire or lose value over periods of inactivity and the Company is not required by law to escheat the value of unredeemed gift cards to the jurisdictions in which it operates.</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also maintains loyalty programs, which primarily provide customers with the opportunity to earn points toward future merchandise discount rewards with qualifying purchases. The Company accounts for expected future reward redemptions by recognizing an unearned revenue liability as customers accumulate points, which remains until revenue is recognized at the earlier of redemption or expiration.</w:t>
      </w:r>
    </w:p>
    <w:p>
      <w:pPr>
        <w:spacing w:after="0" w:line="19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Unearned revenue liabilities related to the Company’s gift card program and loyalty programs are classified in accrued expenses on the Consolidated Balance Sheets and are typically recognized as revenue within a 12-month period.</w:t>
      </w:r>
    </w:p>
    <w:p>
      <w:pPr>
        <w:spacing w:after="0" w:line="19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 additional details on the Company’s unearned revenue liabilities related to the Company’s gift card and loyalty programs, refer to Note 3, “</w:t>
      </w:r>
      <w:r>
        <w:rPr>
          <w:rFonts w:ascii="Arial" w:cs="Arial" w:eastAsia="Arial" w:hAnsi="Arial"/>
          <w:sz w:val="16"/>
          <w:szCs w:val="16"/>
          <w:i w:val="1"/>
          <w:iCs w:val="1"/>
          <w:u w:val="single" w:color="auto"/>
          <w:color w:val="0000FF"/>
        </w:rPr>
        <w:t>REVENUE</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0000FF"/>
        </w:rPr>
        <w:t>RECOGNITION</w:t>
      </w:r>
      <w:r>
        <w:rPr>
          <w:rFonts w:ascii="Arial" w:cs="Arial" w:eastAsia="Arial" w:hAnsi="Arial"/>
          <w:sz w:val="16"/>
          <w:szCs w:val="16"/>
          <w:color w:val="000000"/>
        </w:rPr>
        <w:t>.”</w:t>
      </w:r>
    </w:p>
    <w:p>
      <w:pPr>
        <w:spacing w:after="0" w:line="196"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The Company also recognizes revenue under wholesale arrangements when control passes to the wholesale partner, which is generally upon shipment. Revenue from the Company’s franchise and license arrangements, primarily royalties earned upon the sale of merchandise, is generally recognized at the time merchandise is sold to the franchisees’ retail customers or to the licensees’ wholesale customers.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 Company does not include tax amounts collected from customers on behalf of third parties, including sales and indirect taxes, in net sales.</w:t>
      </w:r>
    </w:p>
    <w:p>
      <w:pPr>
        <w:spacing w:after="0" w:line="24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All revenues are recognized in net sales in the Consolidated Statements of Operations and Comprehensive Income (Loss). For a discussion of the disaggregation of revenue, refer to Note 17, “</w:t>
      </w:r>
      <w:r>
        <w:rPr>
          <w:rFonts w:ascii="Arial" w:cs="Arial" w:eastAsia="Arial" w:hAnsi="Arial"/>
          <w:sz w:val="16"/>
          <w:szCs w:val="16"/>
          <w:i w:val="1"/>
          <w:iCs w:val="1"/>
          <w:u w:val="single" w:color="auto"/>
          <w:color w:val="0000FF"/>
        </w:rPr>
        <w:t>SEGMENT REPORTING</w:t>
      </w:r>
      <w:r>
        <w:rPr>
          <w:rFonts w:ascii="Arial" w:cs="Arial" w:eastAsia="Arial" w:hAnsi="Arial"/>
          <w:sz w:val="16"/>
          <w:szCs w:val="16"/>
          <w:i w:val="1"/>
          <w:iCs w:val="1"/>
          <w:color w:val="auto"/>
        </w:rPr>
        <w:t>.</w:t>
      </w:r>
      <w:r>
        <w:rPr>
          <w:rFonts w:ascii="Arial" w:cs="Arial" w:eastAsia="Arial" w:hAnsi="Arial"/>
          <w:sz w:val="16"/>
          <w:szCs w:val="16"/>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Cost of Sales, Exclusive of Depreciation and Amortization</w:t>
      </w:r>
    </w:p>
    <w:p>
      <w:pPr>
        <w:spacing w:after="0" w:line="24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Cost of sales, exclusive of depreciation and amortization on the Consolidated Statements of Operations and Comprehensive Income (Loss), primarily consists of cost incurred to ready inventory for sale, including product costs, freight, and import costs, as well as provisions for reserves for shrink and lower of cost and net realizable value. Gains and losses associated with the effective portion of designated foreign currency exchange forward contracts related to the hedging of intercompany inventory transactions are also recognized in cost of sales, exclusive of depreciation and amortization, on the Consolidated Statements of Operations and Comprehensive Income (Loss).</w:t>
      </w:r>
    </w:p>
    <w:p>
      <w:pPr>
        <w:spacing w:after="0" w:line="19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Company’s cost of sales, exclusive of depreciation and amortization, and consequently gross profit, may not be comparable to those of other retailers, as inclusion of certain costs vary across the industry. Some retailers include all costs related to buying, design and distribution operations in cost of sales, while others may include either all or a portion of these costs in selling, general and administrative expenses.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Selling Expense</w:t>
      </w:r>
    </w:p>
    <w:p>
      <w:pPr>
        <w:spacing w:after="0" w:line="24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Selling expense on the Consolidated Statements of Operations and Comprehensive Income (Loss) is comprised of stores, fulfillment and marketing expenses. Stores expenses include non-management employee compensation; costs associated with operating stores including occupancy costs; including lease costs; utilities and other landlord expenses; depreciation and amortization; repairs and maintenance. Fulfillment costs primarily consists of costs related to the Company’s digital operations; shipping and handling costs; non-management employee compensation; and distribution center (“DC”) expenses. Marketing expenses include costs associated with the Company’s marketing and advertising activities.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57</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6"/>
          <w:szCs w:val="16"/>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Abercrombie &amp; Fitch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 summary of shipping and handling costs, which includes costs incurred to store, move and prepare product for shipment and costs incurred to physically move product to our customers across channels,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8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Pr>
          <w:p>
            <w:pPr>
              <w:spacing w:after="0"/>
              <w:rPr>
                <w:sz w:val="16"/>
                <w:szCs w:val="16"/>
                <w:color w:val="auto"/>
              </w:rPr>
            </w:pPr>
          </w:p>
        </w:tc>
        <w:tc>
          <w:tcPr>
            <w:tcW w:w="1140" w:type="dxa"/>
            <w:vAlign w:val="bottom"/>
            <w:gridSpan w:val="2"/>
          </w:tcPr>
          <w:p>
            <w:pPr>
              <w:jc w:val="center"/>
              <w:ind w:left="88"/>
              <w:spacing w:after="0"/>
              <w:rPr>
                <w:sz w:val="20"/>
                <w:szCs w:val="20"/>
                <w:color w:val="auto"/>
              </w:rPr>
            </w:pPr>
            <w:r>
              <w:rPr>
                <w:rFonts w:ascii="Arial" w:cs="Arial" w:eastAsia="Arial" w:hAnsi="Arial"/>
                <w:sz w:val="14"/>
                <w:szCs w:val="14"/>
                <w:color w:val="auto"/>
              </w:rPr>
              <w:t>Fiscal 2024</w:t>
            </w:r>
          </w:p>
        </w:tc>
        <w:tc>
          <w:tcPr>
            <w:tcW w:w="380" w:type="dxa"/>
            <w:vAlign w:val="bottom"/>
          </w:tcPr>
          <w:p>
            <w:pPr>
              <w:spacing w:after="0"/>
              <w:rPr>
                <w:sz w:val="16"/>
                <w:szCs w:val="16"/>
                <w:color w:val="auto"/>
              </w:rPr>
            </w:pPr>
          </w:p>
        </w:tc>
        <w:tc>
          <w:tcPr>
            <w:tcW w:w="1140" w:type="dxa"/>
            <w:vAlign w:val="bottom"/>
            <w:gridSpan w:val="2"/>
          </w:tcPr>
          <w:p>
            <w:pPr>
              <w:jc w:val="center"/>
              <w:ind w:left="88"/>
              <w:spacing w:after="0"/>
              <w:rPr>
                <w:sz w:val="20"/>
                <w:szCs w:val="20"/>
                <w:color w:val="auto"/>
              </w:rPr>
            </w:pPr>
            <w:r>
              <w:rPr>
                <w:rFonts w:ascii="Arial" w:cs="Arial" w:eastAsia="Arial" w:hAnsi="Arial"/>
                <w:sz w:val="14"/>
                <w:szCs w:val="14"/>
                <w:color w:val="auto"/>
              </w:rPr>
              <w:t>Fiscal 2023</w:t>
            </w:r>
          </w:p>
        </w:tc>
        <w:tc>
          <w:tcPr>
            <w:tcW w:w="380" w:type="dxa"/>
            <w:vAlign w:val="bottom"/>
          </w:tcPr>
          <w:p>
            <w:pPr>
              <w:spacing w:after="0"/>
              <w:rPr>
                <w:sz w:val="16"/>
                <w:szCs w:val="16"/>
                <w:color w:val="auto"/>
              </w:rPr>
            </w:pPr>
          </w:p>
        </w:tc>
        <w:tc>
          <w:tcPr>
            <w:tcW w:w="1020" w:type="dxa"/>
            <w:vAlign w:val="bottom"/>
          </w:tcPr>
          <w:p>
            <w:pPr>
              <w:jc w:val="center"/>
              <w:ind w:left="168"/>
              <w:spacing w:after="0"/>
              <w:rPr>
                <w:sz w:val="20"/>
                <w:szCs w:val="20"/>
                <w:color w:val="auto"/>
              </w:rPr>
            </w:pPr>
            <w:r>
              <w:rPr>
                <w:rFonts w:ascii="Arial" w:cs="Arial" w:eastAsia="Arial" w:hAnsi="Arial"/>
                <w:sz w:val="14"/>
                <w:szCs w:val="14"/>
                <w:color w:val="auto"/>
              </w:rPr>
              <w:t>Fiscal 2022</w:t>
            </w:r>
          </w:p>
        </w:tc>
      </w:tr>
      <w:tr>
        <w:trPr>
          <w:trHeight w:val="200"/>
        </w:trPr>
        <w:tc>
          <w:tcPr>
            <w:tcW w:w="6820" w:type="dxa"/>
            <w:vAlign w:val="bottom"/>
            <w:tcBorders>
              <w:top w:val="single" w:sz="8" w:color="F5F5F5"/>
            </w:tcBorders>
            <w:shd w:val="clear" w:color="auto" w:fill="F5F5F5"/>
          </w:tcPr>
          <w:p>
            <w:pPr>
              <w:ind w:left="20"/>
              <w:spacing w:after="0"/>
              <w:rPr>
                <w:sz w:val="20"/>
                <w:szCs w:val="20"/>
                <w:color w:val="auto"/>
              </w:rPr>
            </w:pPr>
            <w:r>
              <w:rPr>
                <w:rFonts w:ascii="Arial" w:cs="Arial" w:eastAsia="Arial" w:hAnsi="Arial"/>
                <w:sz w:val="14"/>
                <w:szCs w:val="14"/>
                <w:color w:val="auto"/>
              </w:rPr>
              <w:t>Shipping and handling costs</w:t>
            </w:r>
          </w:p>
        </w:tc>
        <w:tc>
          <w:tcPr>
            <w:tcW w:w="360" w:type="dxa"/>
            <w:vAlign w:val="bottom"/>
            <w:tcBorders>
              <w:top w:val="single" w:sz="8" w:color="auto"/>
            </w:tcBorders>
            <w:shd w:val="clear" w:color="auto" w:fill="F5F5F5"/>
          </w:tcPr>
          <w:p>
            <w:pPr>
              <w:jc w:val="right"/>
              <w:ind w:right="18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F5F5F5"/>
          </w:tcPr>
          <w:p>
            <w:pPr>
              <w:jc w:val="right"/>
              <w:ind w:right="48"/>
              <w:spacing w:after="0"/>
              <w:rPr>
                <w:sz w:val="20"/>
                <w:szCs w:val="20"/>
                <w:color w:val="auto"/>
              </w:rPr>
            </w:pPr>
            <w:r>
              <w:rPr>
                <w:rFonts w:ascii="Arial" w:cs="Arial" w:eastAsia="Arial" w:hAnsi="Arial"/>
                <w:sz w:val="14"/>
                <w:szCs w:val="14"/>
                <w:color w:val="auto"/>
              </w:rPr>
              <w:t>410,004</w:t>
            </w:r>
          </w:p>
        </w:tc>
        <w:tc>
          <w:tcPr>
            <w:tcW w:w="100" w:type="dxa"/>
            <w:vAlign w:val="bottom"/>
            <w:tcBorders>
              <w:top w:val="single" w:sz="8" w:color="F5F5F5"/>
            </w:tcBorders>
            <w:shd w:val="clear" w:color="auto" w:fill="F5F5F5"/>
          </w:tcPr>
          <w:p>
            <w:pPr>
              <w:spacing w:after="0"/>
              <w:rPr>
                <w:sz w:val="17"/>
                <w:szCs w:val="17"/>
                <w:color w:val="auto"/>
              </w:rPr>
            </w:pPr>
          </w:p>
        </w:tc>
        <w:tc>
          <w:tcPr>
            <w:tcW w:w="380" w:type="dxa"/>
            <w:vAlign w:val="bottom"/>
            <w:tcBorders>
              <w:top w:val="single" w:sz="8" w:color="auto"/>
            </w:tcBorders>
            <w:shd w:val="clear" w:color="auto" w:fill="F5F5F5"/>
          </w:tcPr>
          <w:p>
            <w:pPr>
              <w:jc w:val="right"/>
              <w:ind w:right="20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F5F5F5"/>
          </w:tcPr>
          <w:p>
            <w:pPr>
              <w:jc w:val="right"/>
              <w:ind w:right="48"/>
              <w:spacing w:after="0"/>
              <w:rPr>
                <w:sz w:val="20"/>
                <w:szCs w:val="20"/>
                <w:color w:val="auto"/>
              </w:rPr>
            </w:pPr>
            <w:r>
              <w:rPr>
                <w:rFonts w:ascii="Arial" w:cs="Arial" w:eastAsia="Arial" w:hAnsi="Arial"/>
                <w:sz w:val="14"/>
                <w:szCs w:val="14"/>
                <w:color w:val="auto"/>
              </w:rPr>
              <w:t>362,545</w:t>
            </w:r>
          </w:p>
        </w:tc>
        <w:tc>
          <w:tcPr>
            <w:tcW w:w="120" w:type="dxa"/>
            <w:vAlign w:val="bottom"/>
            <w:tcBorders>
              <w:top w:val="single" w:sz="8" w:color="F5F5F5"/>
            </w:tcBorders>
            <w:shd w:val="clear" w:color="auto" w:fill="F5F5F5"/>
          </w:tcPr>
          <w:p>
            <w:pPr>
              <w:spacing w:after="0"/>
              <w:rPr>
                <w:sz w:val="17"/>
                <w:szCs w:val="17"/>
                <w:color w:val="auto"/>
              </w:rPr>
            </w:pPr>
          </w:p>
        </w:tc>
        <w:tc>
          <w:tcPr>
            <w:tcW w:w="380" w:type="dxa"/>
            <w:vAlign w:val="bottom"/>
            <w:tcBorders>
              <w:top w:val="single" w:sz="8" w:color="auto"/>
            </w:tcBorders>
            <w:shd w:val="clear" w:color="auto" w:fill="F5F5F5"/>
          </w:tcPr>
          <w:p>
            <w:pPr>
              <w:jc w:val="right"/>
              <w:ind w:right="20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F5F5F5"/>
          </w:tcPr>
          <w:p>
            <w:pPr>
              <w:jc w:val="right"/>
              <w:ind w:right="48"/>
              <w:spacing w:after="0"/>
              <w:rPr>
                <w:sz w:val="20"/>
                <w:szCs w:val="20"/>
                <w:color w:val="auto"/>
              </w:rPr>
            </w:pPr>
            <w:r>
              <w:rPr>
                <w:rFonts w:ascii="Arial" w:cs="Arial" w:eastAsia="Arial" w:hAnsi="Arial"/>
                <w:sz w:val="14"/>
                <w:szCs w:val="14"/>
                <w:color w:val="auto"/>
              </w:rPr>
              <w:t>356,280</w:t>
            </w:r>
          </w:p>
        </w:tc>
      </w:tr>
    </w:tbl>
    <w:p>
      <w:pPr>
        <w:spacing w:after="0" w:line="32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Marketing costs consist primarily of paid media advertising, direct digital advertising, including e-mail distribution, digital content and in-store photography and signage.</w:t>
      </w:r>
    </w:p>
    <w:p>
      <w:pPr>
        <w:spacing w:after="0" w:line="196"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Marketing costs related specifically to digital operations are expensed as incurred and the production of in-store photography and signage is expensed when the marketing campaign commences. All other marketing costs are expensed as incurred.</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A summary of marketing costs follows:</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67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Pr>
          <w:p>
            <w:pPr>
              <w:spacing w:after="0"/>
              <w:rPr>
                <w:sz w:val="16"/>
                <w:szCs w:val="16"/>
                <w:color w:val="auto"/>
              </w:rPr>
            </w:pPr>
          </w:p>
        </w:tc>
        <w:tc>
          <w:tcPr>
            <w:tcW w:w="1140" w:type="dxa"/>
            <w:vAlign w:val="bottom"/>
            <w:gridSpan w:val="2"/>
          </w:tcPr>
          <w:p>
            <w:pPr>
              <w:ind w:left="280"/>
              <w:spacing w:after="0"/>
              <w:rPr>
                <w:sz w:val="20"/>
                <w:szCs w:val="20"/>
                <w:color w:val="auto"/>
              </w:rPr>
            </w:pPr>
            <w:r>
              <w:rPr>
                <w:rFonts w:ascii="Arial" w:cs="Arial" w:eastAsia="Arial" w:hAnsi="Arial"/>
                <w:sz w:val="14"/>
                <w:szCs w:val="14"/>
                <w:color w:val="auto"/>
              </w:rPr>
              <w:t>Fiscal 2024</w:t>
            </w:r>
          </w:p>
        </w:tc>
        <w:tc>
          <w:tcPr>
            <w:tcW w:w="380" w:type="dxa"/>
            <w:vAlign w:val="bottom"/>
          </w:tcPr>
          <w:p>
            <w:pPr>
              <w:spacing w:after="0"/>
              <w:rPr>
                <w:sz w:val="16"/>
                <w:szCs w:val="16"/>
                <w:color w:val="auto"/>
              </w:rPr>
            </w:pPr>
          </w:p>
        </w:tc>
        <w:tc>
          <w:tcPr>
            <w:tcW w:w="1160" w:type="dxa"/>
            <w:vAlign w:val="bottom"/>
            <w:gridSpan w:val="2"/>
          </w:tcPr>
          <w:p>
            <w:pPr>
              <w:ind w:left="300"/>
              <w:spacing w:after="0"/>
              <w:rPr>
                <w:sz w:val="20"/>
                <w:szCs w:val="20"/>
                <w:color w:val="auto"/>
              </w:rPr>
            </w:pPr>
            <w:r>
              <w:rPr>
                <w:rFonts w:ascii="Arial" w:cs="Arial" w:eastAsia="Arial" w:hAnsi="Arial"/>
                <w:sz w:val="14"/>
                <w:szCs w:val="14"/>
                <w:color w:val="auto"/>
              </w:rPr>
              <w:t>Fiscal 2023</w:t>
            </w:r>
          </w:p>
        </w:tc>
        <w:tc>
          <w:tcPr>
            <w:tcW w:w="3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Fiscal 2022</w:t>
            </w:r>
          </w:p>
        </w:tc>
      </w:tr>
      <w:tr>
        <w:trPr>
          <w:trHeight w:val="200"/>
        </w:trPr>
        <w:tc>
          <w:tcPr>
            <w:tcW w:w="6700" w:type="dxa"/>
            <w:vAlign w:val="bottom"/>
            <w:tcBorders>
              <w:top w:val="single" w:sz="8" w:color="F5F5F5"/>
            </w:tcBorders>
            <w:shd w:val="clear" w:color="auto" w:fill="F5F5F5"/>
          </w:tcPr>
          <w:p>
            <w:pPr>
              <w:ind w:left="20"/>
              <w:spacing w:after="0"/>
              <w:rPr>
                <w:sz w:val="20"/>
                <w:szCs w:val="20"/>
                <w:color w:val="auto"/>
              </w:rPr>
            </w:pPr>
            <w:r>
              <w:rPr>
                <w:rFonts w:ascii="Arial" w:cs="Arial" w:eastAsia="Arial" w:hAnsi="Arial"/>
                <w:sz w:val="14"/>
                <w:szCs w:val="14"/>
                <w:color w:val="auto"/>
              </w:rPr>
              <w:t>Marketing costs</w:t>
            </w:r>
          </w:p>
        </w:tc>
        <w:tc>
          <w:tcPr>
            <w:tcW w:w="360" w:type="dxa"/>
            <w:vAlign w:val="bottom"/>
            <w:tcBorders>
              <w:top w:val="single" w:sz="8" w:color="auto"/>
            </w:tcBorders>
            <w:shd w:val="clear" w:color="auto" w:fill="F5F5F5"/>
          </w:tcPr>
          <w:p>
            <w:pPr>
              <w:jc w:val="right"/>
              <w:ind w:right="20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270,598</w:t>
            </w:r>
          </w:p>
        </w:tc>
        <w:tc>
          <w:tcPr>
            <w:tcW w:w="100" w:type="dxa"/>
            <w:vAlign w:val="bottom"/>
            <w:tcBorders>
              <w:top w:val="single" w:sz="8" w:color="F5F5F5"/>
            </w:tcBorders>
            <w:shd w:val="clear" w:color="auto" w:fill="F5F5F5"/>
          </w:tcPr>
          <w:p>
            <w:pPr>
              <w:spacing w:after="0"/>
              <w:rPr>
                <w:sz w:val="17"/>
                <w:szCs w:val="17"/>
                <w:color w:val="auto"/>
              </w:rPr>
            </w:pPr>
          </w:p>
        </w:tc>
        <w:tc>
          <w:tcPr>
            <w:tcW w:w="380" w:type="dxa"/>
            <w:vAlign w:val="bottom"/>
            <w:tcBorders>
              <w:top w:val="single" w:sz="8" w:color="auto"/>
            </w:tcBorders>
            <w:shd w:val="clear" w:color="auto" w:fill="F5F5F5"/>
          </w:tcPr>
          <w:p>
            <w:pPr>
              <w:jc w:val="right"/>
              <w:ind w:right="20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217,276</w:t>
            </w:r>
          </w:p>
        </w:tc>
        <w:tc>
          <w:tcPr>
            <w:tcW w:w="100" w:type="dxa"/>
            <w:vAlign w:val="bottom"/>
            <w:tcBorders>
              <w:top w:val="single" w:sz="8" w:color="F5F5F5"/>
            </w:tcBorders>
            <w:shd w:val="clear" w:color="auto" w:fill="F5F5F5"/>
          </w:tcPr>
          <w:p>
            <w:pPr>
              <w:spacing w:after="0"/>
              <w:rPr>
                <w:sz w:val="17"/>
                <w:szCs w:val="17"/>
                <w:color w:val="auto"/>
              </w:rPr>
            </w:pPr>
          </w:p>
        </w:tc>
        <w:tc>
          <w:tcPr>
            <w:tcW w:w="380" w:type="dxa"/>
            <w:vAlign w:val="bottom"/>
            <w:tcBorders>
              <w:top w:val="single" w:sz="8" w:color="auto"/>
            </w:tcBorders>
            <w:shd w:val="clear" w:color="auto" w:fill="F5F5F5"/>
          </w:tcPr>
          <w:p>
            <w:pPr>
              <w:jc w:val="right"/>
              <w:ind w:right="20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189,347</w:t>
            </w:r>
          </w:p>
        </w:tc>
      </w:tr>
    </w:tbl>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General and Administrative Expense</w:t>
      </w:r>
    </w:p>
    <w:p>
      <w:pPr>
        <w:spacing w:after="0" w:line="24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General and administrative expense on the Consolidated Statements of Operations and Comprehensive Income (Loss) primarily consists of: home office and support functions including; store management and DC management compensation; information technology; outside services, such as legal and consulting; depreciation, primarily related to IT and other home office assets; amortization related to trademark assets; costs to design and develop the Company’s merchandise; relocation; recruiting; and travel expenses.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Other Operating Income, Net</w:t>
      </w:r>
    </w:p>
    <w:p>
      <w:pPr>
        <w:spacing w:after="0" w:line="24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Other operating income, net on the Consolidated Statements of Operations and Comprehensive Income (Loss) primarily consists of gains and losses resulting from foreign-currency-denominated transactions. A summary of foreign-currency-denominated transaction gains (losses), including those related to derivative instruments, follows:</w:t>
      </w:r>
    </w:p>
    <w:p>
      <w:pPr>
        <w:spacing w:after="0" w:line="88"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67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Pr>
          <w:p>
            <w:pPr>
              <w:spacing w:after="0"/>
              <w:rPr>
                <w:sz w:val="16"/>
                <w:szCs w:val="16"/>
                <w:color w:val="auto"/>
              </w:rPr>
            </w:pPr>
          </w:p>
        </w:tc>
        <w:tc>
          <w:tcPr>
            <w:tcW w:w="1140" w:type="dxa"/>
            <w:vAlign w:val="bottom"/>
            <w:gridSpan w:val="2"/>
          </w:tcPr>
          <w:p>
            <w:pPr>
              <w:ind w:left="280"/>
              <w:spacing w:after="0"/>
              <w:rPr>
                <w:sz w:val="20"/>
                <w:szCs w:val="20"/>
                <w:color w:val="auto"/>
              </w:rPr>
            </w:pPr>
            <w:r>
              <w:rPr>
                <w:rFonts w:ascii="Arial" w:cs="Arial" w:eastAsia="Arial" w:hAnsi="Arial"/>
                <w:sz w:val="14"/>
                <w:szCs w:val="14"/>
                <w:color w:val="auto"/>
              </w:rPr>
              <w:t>Fiscal 2024</w:t>
            </w:r>
          </w:p>
        </w:tc>
        <w:tc>
          <w:tcPr>
            <w:tcW w:w="380" w:type="dxa"/>
            <w:vAlign w:val="bottom"/>
          </w:tcPr>
          <w:p>
            <w:pPr>
              <w:spacing w:after="0"/>
              <w:rPr>
                <w:sz w:val="16"/>
                <w:szCs w:val="16"/>
                <w:color w:val="auto"/>
              </w:rPr>
            </w:pPr>
          </w:p>
        </w:tc>
        <w:tc>
          <w:tcPr>
            <w:tcW w:w="1160" w:type="dxa"/>
            <w:vAlign w:val="bottom"/>
            <w:gridSpan w:val="2"/>
          </w:tcPr>
          <w:p>
            <w:pPr>
              <w:ind w:left="300"/>
              <w:spacing w:after="0"/>
              <w:rPr>
                <w:sz w:val="20"/>
                <w:szCs w:val="20"/>
                <w:color w:val="auto"/>
              </w:rPr>
            </w:pPr>
            <w:r>
              <w:rPr>
                <w:rFonts w:ascii="Arial" w:cs="Arial" w:eastAsia="Arial" w:hAnsi="Arial"/>
                <w:sz w:val="14"/>
                <w:szCs w:val="14"/>
                <w:color w:val="auto"/>
              </w:rPr>
              <w:t>Fiscal 2023</w:t>
            </w:r>
          </w:p>
        </w:tc>
        <w:tc>
          <w:tcPr>
            <w:tcW w:w="3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Fiscal 2022</w:t>
            </w:r>
          </w:p>
        </w:tc>
      </w:tr>
      <w:tr>
        <w:trPr>
          <w:trHeight w:val="200"/>
        </w:trPr>
        <w:tc>
          <w:tcPr>
            <w:tcW w:w="6700" w:type="dxa"/>
            <w:vAlign w:val="bottom"/>
            <w:tcBorders>
              <w:top w:val="single" w:sz="8" w:color="F5F5F5"/>
            </w:tcBorders>
            <w:shd w:val="clear" w:color="auto" w:fill="F5F5F5"/>
          </w:tcPr>
          <w:p>
            <w:pPr>
              <w:ind w:left="20"/>
              <w:spacing w:after="0"/>
              <w:rPr>
                <w:sz w:val="20"/>
                <w:szCs w:val="20"/>
                <w:color w:val="auto"/>
              </w:rPr>
            </w:pPr>
            <w:r>
              <w:rPr>
                <w:rFonts w:ascii="Arial" w:cs="Arial" w:eastAsia="Arial" w:hAnsi="Arial"/>
                <w:sz w:val="14"/>
                <w:szCs w:val="14"/>
                <w:color w:val="auto"/>
              </w:rPr>
              <w:t>Foreign-currency-denominated transaction gains (losses)</w:t>
            </w:r>
          </w:p>
        </w:tc>
        <w:tc>
          <w:tcPr>
            <w:tcW w:w="360" w:type="dxa"/>
            <w:vAlign w:val="bottom"/>
            <w:tcBorders>
              <w:top w:val="single" w:sz="8" w:color="auto"/>
            </w:tcBorders>
            <w:shd w:val="clear" w:color="auto" w:fill="F5F5F5"/>
          </w:tcPr>
          <w:p>
            <w:pPr>
              <w:jc w:val="right"/>
              <w:ind w:right="20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2,665</w:t>
            </w:r>
          </w:p>
        </w:tc>
        <w:tc>
          <w:tcPr>
            <w:tcW w:w="100" w:type="dxa"/>
            <w:vAlign w:val="bottom"/>
            <w:tcBorders>
              <w:top w:val="single" w:sz="8" w:color="F5F5F5"/>
            </w:tcBorders>
            <w:shd w:val="clear" w:color="auto" w:fill="F5F5F5"/>
          </w:tcPr>
          <w:p>
            <w:pPr>
              <w:spacing w:after="0"/>
              <w:rPr>
                <w:sz w:val="17"/>
                <w:szCs w:val="17"/>
                <w:color w:val="auto"/>
              </w:rPr>
            </w:pPr>
          </w:p>
        </w:tc>
        <w:tc>
          <w:tcPr>
            <w:tcW w:w="380" w:type="dxa"/>
            <w:vAlign w:val="bottom"/>
            <w:tcBorders>
              <w:top w:val="single" w:sz="8" w:color="auto"/>
            </w:tcBorders>
            <w:shd w:val="clear" w:color="auto" w:fill="F5F5F5"/>
          </w:tcPr>
          <w:p>
            <w:pPr>
              <w:jc w:val="right"/>
              <w:ind w:right="20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1,936</w:t>
            </w:r>
          </w:p>
        </w:tc>
        <w:tc>
          <w:tcPr>
            <w:tcW w:w="100" w:type="dxa"/>
            <w:vAlign w:val="bottom"/>
            <w:tcBorders>
              <w:top w:val="single" w:sz="8" w:color="F5F5F5"/>
            </w:tcBorders>
            <w:shd w:val="clear" w:color="auto" w:fill="F5F5F5"/>
          </w:tcPr>
          <w:p>
            <w:pPr>
              <w:spacing w:after="0"/>
              <w:rPr>
                <w:sz w:val="17"/>
                <w:szCs w:val="17"/>
                <w:color w:val="auto"/>
              </w:rPr>
            </w:pPr>
          </w:p>
        </w:tc>
        <w:tc>
          <w:tcPr>
            <w:tcW w:w="380" w:type="dxa"/>
            <w:vAlign w:val="bottom"/>
            <w:tcBorders>
              <w:top w:val="single" w:sz="8" w:color="auto"/>
            </w:tcBorders>
            <w:shd w:val="clear" w:color="auto" w:fill="F5F5F5"/>
          </w:tcPr>
          <w:p>
            <w:pPr>
              <w:jc w:val="right"/>
              <w:ind w:right="20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(1,626)</w:t>
            </w:r>
          </w:p>
        </w:tc>
      </w:tr>
    </w:tbl>
    <w:p>
      <w:pPr>
        <w:spacing w:after="0" w:line="32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Interest Expense and Interest Income</w:t>
      </w:r>
    </w:p>
    <w:p>
      <w:pPr>
        <w:spacing w:after="0" w:line="246"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Interest expense primarily consists of interest expense on the Company’s long-term borrowings outstanding. Interest income primarily consists of interest income earned on the Company’s investments and cash holdings and realized gains from the Rabbi Trust assets.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Share-based Compensation</w:t>
      </w:r>
    </w:p>
    <w:p>
      <w:pPr>
        <w:spacing w:after="0" w:line="24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issues shares of Class A Common Stock, $0.01 par value (the “Common Stock”) from treasury stock upon exercise of stock appreciation rights and vesting of restricted stock units, including those converted from performance share awards. As of February 1, 2025, the Company had sufficient treasury stock available to settle restricted stock units and stock appreciation rights outstanding. Settlement of stock awards in Common Stock also requires that the Company have sufficient shares available in stockholder-approved plans at the applicable time.</w:t>
      </w:r>
    </w:p>
    <w:p>
      <w:pPr>
        <w:spacing w:after="0" w:line="21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the event there are not sufficient shares of Common Stock available to be issued under the Abercrombie &amp; Fitch Co. 2016 Long-Term Incentive Plan for Directors (as amended effective May 20, 2020, the “2016 Directors LTIP”) and the Abercrombie &amp; Fitch Co. 2016 Long-Term Incentive Plan for Associates (as amended effective June 8, 2023, the “2016 Associates LTIP”), or under a successor or replacement plan at each reporting date as of which share-based compensation awards remain outstanding, the Company may be required to designate some portion of the outstanding awards to be settled in cash, which would result in liability classification of such awards. The fair value of liability-classified awards would be re-measured each reporting date until such awards no longer remain outstanding or until sufficient shares of Common Stock become available to be issued under the existing plans or under a successor or replacement plan. As long as the awards are required to be classified as a liability, the change in fair value would be recognized in current period expense based on the requisite service period rendered.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58</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6"/>
          <w:szCs w:val="16"/>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Abercrombie &amp; Fitch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Fair value of both service-based and performance-based restricted stock units is calculated using the market price of the underlying Common Stock on the date of grant reduced for anticipated dividend payments on unvested shares. In determining fair value, the Company does not take into account performance-based vesting requirements. Performance-based vesting requirements are taken into account in determining the number of awards expected to vest. For market-based restricted stock units, fair value is calculated using a Monte Carlo simulation with the number of shares that ultimately vest dependent on the Company’s total stockholder return measured against the total stockholder return of a select group of peer companies over a three-year period. For awards with performance-based or market-based vesting requirements, the number of shares that ultimately vest can vary from 0% to 200% of target depending on the level of achievement of performance criteria.</w:t>
      </w:r>
    </w:p>
    <w:p>
      <w:pPr>
        <w:spacing w:after="0" w:line="21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 estimates the fair value of stock appreciation rights using the Black-Scholes option-pricing model, which requires the Company to estimate the expected term of the stock appreciation rights and expected future stock price volatility over the expected term. Estimates of expected terms, which represent the expected periods of time the Company believes stock appreciation rights will be outstanding, are based on historical experience. Estimates of expected future stock price volatility are based on the volatility of the Common Stock price for the most recent historical period equal to the expected term of the stock appreciation rights, as appropriate. The Company calculates the volatility as the annualized standard deviation of the differences in the natural logarithms of the weekly closing price of the Common Stock, adjusted for stock splits and dividends.</w:t>
      </w:r>
    </w:p>
    <w:p>
      <w:pPr>
        <w:spacing w:after="0" w:line="20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Service-based restricted stock units are expensed on a straight-line basis over the award’s requisite service period. Performance-based restricted stock units subject to graded vesting are expensed on an accelerated attribution basis. Performance share award expense is primarily recognized in the performance period of the award’s requisite service period. Market-based restricted stock units without graded vesting features are expensed on a straight-line basis over the award’s requisite service period. Compensation expense for stock appreciation rights is recognized on a straight-line basis over the award’s requisite service period. The Company adjusts share-based compensation expense on a quarterly basis for actual forfeitures.</w:t>
      </w:r>
    </w:p>
    <w:p>
      <w:pPr>
        <w:spacing w:after="0" w:line="19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For awards that are expected to result in a tax deduction, a deferred tax asset is recorded in the period in which share-based compensation expense is recognized. A current tax deduction arises upon the issuance of restricted stock units and performance share awards or the exercise of stock options and stock appreciation rights and is principally measured at the award’s intrinsic value. If the tax deduction differs from the recorded deferred tax asset, the excess tax benefit or deficit associated with the tax deduction is recognized within income tax expense.</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Refer to Note 13, “</w:t>
      </w:r>
      <w:r>
        <w:rPr>
          <w:rFonts w:ascii="Arial" w:cs="Arial" w:eastAsia="Arial" w:hAnsi="Arial"/>
          <w:sz w:val="16"/>
          <w:szCs w:val="16"/>
          <w:i w:val="1"/>
          <w:iCs w:val="1"/>
          <w:u w:val="single" w:color="auto"/>
          <w:color w:val="0000FF"/>
        </w:rPr>
        <w:t>SHARE-BASED COMPENSATION</w:t>
      </w:r>
      <w:r>
        <w:rPr>
          <w:rFonts w:ascii="Arial" w:cs="Arial" w:eastAsia="Arial" w:hAnsi="Arial"/>
          <w:sz w:val="16"/>
          <w:szCs w:val="16"/>
          <w:color w:val="auto"/>
        </w:rPr>
        <w:t>.”</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Net Income per Share Attributable to A&amp;F</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Net income per basic and diluted share attributable to A&amp;F is computed based on the weighted-average number of outstanding shares of Common Stock.</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Additional information pertaining to net income per share attributable to A&amp;F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7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520" w:type="dxa"/>
            <w:vAlign w:val="bottom"/>
            <w:gridSpan w:val="2"/>
          </w:tcPr>
          <w:p>
            <w:pPr>
              <w:ind w:left="660"/>
              <w:spacing w:after="0"/>
              <w:rPr>
                <w:sz w:val="20"/>
                <w:szCs w:val="20"/>
                <w:color w:val="auto"/>
              </w:rPr>
            </w:pPr>
            <w:r>
              <w:rPr>
                <w:rFonts w:ascii="Arial" w:cs="Arial" w:eastAsia="Arial" w:hAnsi="Arial"/>
                <w:sz w:val="14"/>
                <w:szCs w:val="14"/>
                <w:color w:val="auto"/>
              </w:rPr>
              <w:t>Fiscal 2024</w:t>
            </w:r>
          </w:p>
        </w:tc>
        <w:tc>
          <w:tcPr>
            <w:tcW w:w="1540" w:type="dxa"/>
            <w:vAlign w:val="bottom"/>
            <w:gridSpan w:val="2"/>
          </w:tcPr>
          <w:p>
            <w:pPr>
              <w:ind w:left="680"/>
              <w:spacing w:after="0"/>
              <w:rPr>
                <w:sz w:val="20"/>
                <w:szCs w:val="20"/>
                <w:color w:val="auto"/>
              </w:rPr>
            </w:pPr>
            <w:r>
              <w:rPr>
                <w:rFonts w:ascii="Arial" w:cs="Arial" w:eastAsia="Arial" w:hAnsi="Arial"/>
                <w:sz w:val="14"/>
                <w:szCs w:val="14"/>
                <w:color w:val="auto"/>
              </w:rPr>
              <w:t>Fiscal 2023</w:t>
            </w:r>
          </w:p>
        </w:tc>
        <w:tc>
          <w:tcPr>
            <w:tcW w:w="1440" w:type="dxa"/>
            <w:vAlign w:val="bottom"/>
          </w:tcPr>
          <w:p>
            <w:pPr>
              <w:jc w:val="right"/>
              <w:spacing w:after="0"/>
              <w:rPr>
                <w:sz w:val="20"/>
                <w:szCs w:val="20"/>
                <w:color w:val="auto"/>
              </w:rPr>
            </w:pPr>
            <w:r>
              <w:rPr>
                <w:rFonts w:ascii="Arial" w:cs="Arial" w:eastAsia="Arial" w:hAnsi="Arial"/>
                <w:sz w:val="14"/>
                <w:szCs w:val="14"/>
                <w:color w:val="auto"/>
              </w:rPr>
              <w:t>Fiscal 2022</w:t>
            </w:r>
          </w:p>
        </w:tc>
      </w:tr>
      <w:tr>
        <w:trPr>
          <w:trHeight w:val="200"/>
        </w:trPr>
        <w:tc>
          <w:tcPr>
            <w:tcW w:w="6740" w:type="dxa"/>
            <w:vAlign w:val="bottom"/>
            <w:tcBorders>
              <w:top w:val="single" w:sz="8" w:color="F5F5F5"/>
            </w:tcBorders>
            <w:shd w:val="clear" w:color="auto" w:fill="F5F5F5"/>
          </w:tcPr>
          <w:p>
            <w:pPr>
              <w:ind w:left="20"/>
              <w:spacing w:after="0"/>
              <w:rPr>
                <w:sz w:val="20"/>
                <w:szCs w:val="20"/>
                <w:color w:val="auto"/>
              </w:rPr>
            </w:pPr>
            <w:r>
              <w:rPr>
                <w:rFonts w:ascii="Arial" w:cs="Arial" w:eastAsia="Arial" w:hAnsi="Arial"/>
                <w:sz w:val="14"/>
                <w:szCs w:val="14"/>
                <w:color w:val="auto"/>
              </w:rPr>
              <w:t>Shares of Common Stock issued</w:t>
            </w:r>
          </w:p>
        </w:tc>
        <w:tc>
          <w:tcPr>
            <w:tcW w:w="142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103,300</w:t>
            </w:r>
          </w:p>
        </w:tc>
        <w:tc>
          <w:tcPr>
            <w:tcW w:w="100" w:type="dxa"/>
            <w:vAlign w:val="bottom"/>
            <w:tcBorders>
              <w:top w:val="single" w:sz="8" w:color="F5F5F5"/>
            </w:tcBorders>
            <w:shd w:val="clear" w:color="auto" w:fill="F5F5F5"/>
          </w:tcPr>
          <w:p>
            <w:pPr>
              <w:spacing w:after="0"/>
              <w:rPr>
                <w:sz w:val="17"/>
                <w:szCs w:val="17"/>
                <w:color w:val="auto"/>
              </w:rPr>
            </w:pPr>
          </w:p>
        </w:tc>
        <w:tc>
          <w:tcPr>
            <w:tcW w:w="144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103,300</w:t>
            </w:r>
          </w:p>
        </w:tc>
        <w:tc>
          <w:tcPr>
            <w:tcW w:w="100" w:type="dxa"/>
            <w:vAlign w:val="bottom"/>
            <w:tcBorders>
              <w:top w:val="single" w:sz="8" w:color="F5F5F5"/>
            </w:tcBorders>
            <w:shd w:val="clear" w:color="auto" w:fill="F5F5F5"/>
          </w:tcPr>
          <w:p>
            <w:pPr>
              <w:spacing w:after="0"/>
              <w:rPr>
                <w:sz w:val="17"/>
                <w:szCs w:val="17"/>
                <w:color w:val="auto"/>
              </w:rPr>
            </w:pPr>
          </w:p>
        </w:tc>
        <w:tc>
          <w:tcPr>
            <w:tcW w:w="144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103,300</w:t>
            </w:r>
          </w:p>
        </w:tc>
      </w:tr>
      <w:tr>
        <w:trPr>
          <w:trHeight w:val="198"/>
        </w:trPr>
        <w:tc>
          <w:tcPr>
            <w:tcW w:w="6740" w:type="dxa"/>
            <w:vAlign w:val="bottom"/>
            <w:tcBorders>
              <w:bottom w:val="single" w:sz="8" w:color="F5F5F5"/>
            </w:tcBorders>
          </w:tcPr>
          <w:p>
            <w:pPr>
              <w:ind w:left="20"/>
              <w:spacing w:after="0"/>
              <w:rPr>
                <w:sz w:val="20"/>
                <w:szCs w:val="20"/>
                <w:color w:val="auto"/>
              </w:rPr>
            </w:pPr>
            <w:r>
              <w:rPr>
                <w:rFonts w:ascii="Arial" w:cs="Arial" w:eastAsia="Arial" w:hAnsi="Arial"/>
                <w:sz w:val="14"/>
                <w:szCs w:val="14"/>
                <w:color w:val="auto"/>
              </w:rPr>
              <w:t>Weighted-average treasury shares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(52,461)</w:t>
            </w:r>
          </w:p>
        </w:tc>
        <w:tc>
          <w:tcPr>
            <w:tcW w:w="100" w:type="dxa"/>
            <w:vAlign w:val="bottom"/>
            <w:tcBorders>
              <w:bottom w:val="single" w:sz="8" w:color="F5F5F5"/>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(53,050)</w:t>
            </w:r>
          </w:p>
        </w:tc>
        <w:tc>
          <w:tcPr>
            <w:tcW w:w="100" w:type="dxa"/>
            <w:vAlign w:val="bottom"/>
            <w:tcBorders>
              <w:bottom w:val="single" w:sz="8" w:color="F5F5F5"/>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(52,993)</w:t>
            </w:r>
          </w:p>
        </w:tc>
      </w:tr>
      <w:tr>
        <w:trPr>
          <w:trHeight w:val="200"/>
        </w:trPr>
        <w:tc>
          <w:tcPr>
            <w:tcW w:w="6740" w:type="dxa"/>
            <w:vAlign w:val="bottom"/>
            <w:shd w:val="clear" w:color="auto" w:fill="F5F5F5"/>
          </w:tcPr>
          <w:p>
            <w:pPr>
              <w:ind w:left="20"/>
              <w:spacing w:after="0"/>
              <w:rPr>
                <w:sz w:val="20"/>
                <w:szCs w:val="20"/>
                <w:color w:val="auto"/>
              </w:rPr>
            </w:pPr>
            <w:r>
              <w:rPr>
                <w:rFonts w:ascii="Arial" w:cs="Arial" w:eastAsia="Arial" w:hAnsi="Arial"/>
                <w:sz w:val="14"/>
                <w:szCs w:val="14"/>
                <w:color w:val="auto"/>
              </w:rPr>
              <w:t>Weighted-average — basic shares</w:t>
            </w:r>
          </w:p>
        </w:tc>
        <w:tc>
          <w:tcPr>
            <w:tcW w:w="1420" w:type="dxa"/>
            <w:vAlign w:val="bottom"/>
            <w:shd w:val="clear" w:color="auto" w:fill="F5F5F5"/>
          </w:tcPr>
          <w:p>
            <w:pPr>
              <w:jc w:val="right"/>
              <w:spacing w:after="0"/>
              <w:rPr>
                <w:sz w:val="20"/>
                <w:szCs w:val="20"/>
                <w:color w:val="auto"/>
              </w:rPr>
            </w:pPr>
            <w:r>
              <w:rPr>
                <w:rFonts w:ascii="Arial" w:cs="Arial" w:eastAsia="Arial" w:hAnsi="Arial"/>
                <w:sz w:val="14"/>
                <w:szCs w:val="14"/>
                <w:color w:val="auto"/>
              </w:rPr>
              <w:t>50,839</w:t>
            </w:r>
          </w:p>
        </w:tc>
        <w:tc>
          <w:tcPr>
            <w:tcW w:w="100" w:type="dxa"/>
            <w:vAlign w:val="bottom"/>
            <w:shd w:val="clear" w:color="auto" w:fill="F5F5F5"/>
          </w:tcPr>
          <w:p>
            <w:pPr>
              <w:spacing w:after="0"/>
              <w:rPr>
                <w:sz w:val="17"/>
                <w:szCs w:val="17"/>
                <w:color w:val="auto"/>
              </w:rPr>
            </w:pPr>
          </w:p>
        </w:tc>
        <w:tc>
          <w:tcPr>
            <w:tcW w:w="1440" w:type="dxa"/>
            <w:vAlign w:val="bottom"/>
            <w:shd w:val="clear" w:color="auto" w:fill="F5F5F5"/>
          </w:tcPr>
          <w:p>
            <w:pPr>
              <w:jc w:val="right"/>
              <w:spacing w:after="0"/>
              <w:rPr>
                <w:sz w:val="20"/>
                <w:szCs w:val="20"/>
                <w:color w:val="auto"/>
              </w:rPr>
            </w:pPr>
            <w:r>
              <w:rPr>
                <w:rFonts w:ascii="Arial" w:cs="Arial" w:eastAsia="Arial" w:hAnsi="Arial"/>
                <w:sz w:val="14"/>
                <w:szCs w:val="14"/>
                <w:color w:val="auto"/>
              </w:rPr>
              <w:t>50,250</w:t>
            </w:r>
          </w:p>
        </w:tc>
        <w:tc>
          <w:tcPr>
            <w:tcW w:w="100" w:type="dxa"/>
            <w:vAlign w:val="bottom"/>
            <w:shd w:val="clear" w:color="auto" w:fill="F5F5F5"/>
          </w:tcPr>
          <w:p>
            <w:pPr>
              <w:spacing w:after="0"/>
              <w:rPr>
                <w:sz w:val="17"/>
                <w:szCs w:val="17"/>
                <w:color w:val="auto"/>
              </w:rPr>
            </w:pPr>
          </w:p>
        </w:tc>
        <w:tc>
          <w:tcPr>
            <w:tcW w:w="1440" w:type="dxa"/>
            <w:vAlign w:val="bottom"/>
            <w:shd w:val="clear" w:color="auto" w:fill="F5F5F5"/>
          </w:tcPr>
          <w:p>
            <w:pPr>
              <w:jc w:val="right"/>
              <w:spacing w:after="0"/>
              <w:rPr>
                <w:sz w:val="20"/>
                <w:szCs w:val="20"/>
                <w:color w:val="auto"/>
              </w:rPr>
            </w:pPr>
            <w:r>
              <w:rPr>
                <w:rFonts w:ascii="Arial" w:cs="Arial" w:eastAsia="Arial" w:hAnsi="Arial"/>
                <w:sz w:val="14"/>
                <w:szCs w:val="14"/>
                <w:color w:val="auto"/>
              </w:rPr>
              <w:t>50,307</w:t>
            </w:r>
          </w:p>
        </w:tc>
      </w:tr>
      <w:tr>
        <w:trPr>
          <w:trHeight w:val="198"/>
        </w:trPr>
        <w:tc>
          <w:tcPr>
            <w:tcW w:w="6740" w:type="dxa"/>
            <w:vAlign w:val="bottom"/>
            <w:tcBorders>
              <w:bottom w:val="single" w:sz="8" w:color="F5F5F5"/>
            </w:tcBorders>
          </w:tcPr>
          <w:p>
            <w:pPr>
              <w:ind w:left="20"/>
              <w:spacing w:after="0"/>
              <w:rPr>
                <w:sz w:val="20"/>
                <w:szCs w:val="20"/>
                <w:color w:val="auto"/>
              </w:rPr>
            </w:pPr>
            <w:r>
              <w:rPr>
                <w:rFonts w:ascii="Arial" w:cs="Arial" w:eastAsia="Arial" w:hAnsi="Arial"/>
                <w:sz w:val="14"/>
                <w:szCs w:val="14"/>
                <w:color w:val="auto"/>
              </w:rPr>
              <w:t>Dilutive effect of share-based compensation awards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2,132</w:t>
            </w:r>
          </w:p>
        </w:tc>
        <w:tc>
          <w:tcPr>
            <w:tcW w:w="100" w:type="dxa"/>
            <w:vAlign w:val="bottom"/>
            <w:tcBorders>
              <w:bottom w:val="single" w:sz="8" w:color="F5F5F5"/>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2,476</w:t>
            </w:r>
          </w:p>
        </w:tc>
        <w:tc>
          <w:tcPr>
            <w:tcW w:w="100" w:type="dxa"/>
            <w:vAlign w:val="bottom"/>
            <w:tcBorders>
              <w:bottom w:val="single" w:sz="8" w:color="F5F5F5"/>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r>
      <w:tr>
        <w:trPr>
          <w:trHeight w:val="225"/>
        </w:trPr>
        <w:tc>
          <w:tcPr>
            <w:tcW w:w="6740" w:type="dxa"/>
            <w:vAlign w:val="bottom"/>
            <w:tcBorders>
              <w:bottom w:val="single" w:sz="8" w:color="F5F5F5"/>
            </w:tcBorders>
            <w:shd w:val="clear" w:color="auto" w:fill="F5F5F5"/>
          </w:tcPr>
          <w:p>
            <w:pPr>
              <w:ind w:left="20"/>
              <w:spacing w:after="0"/>
              <w:rPr>
                <w:sz w:val="20"/>
                <w:szCs w:val="20"/>
                <w:color w:val="auto"/>
              </w:rPr>
            </w:pPr>
            <w:r>
              <w:rPr>
                <w:rFonts w:ascii="Arial" w:cs="Arial" w:eastAsia="Arial" w:hAnsi="Arial"/>
                <w:sz w:val="14"/>
                <w:szCs w:val="14"/>
                <w:color w:val="auto"/>
              </w:rPr>
              <w:t>Weighted-average — diluted shares</w:t>
            </w:r>
          </w:p>
        </w:tc>
        <w:tc>
          <w:tcPr>
            <w:tcW w:w="142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52,971</w:t>
            </w:r>
          </w:p>
        </w:tc>
        <w:tc>
          <w:tcPr>
            <w:tcW w:w="100" w:type="dxa"/>
            <w:vAlign w:val="bottom"/>
            <w:tcBorders>
              <w:bottom w:val="single" w:sz="8" w:color="F5F5F5"/>
            </w:tcBorders>
            <w:shd w:val="clear" w:color="auto" w:fill="F5F5F5"/>
          </w:tcPr>
          <w:p>
            <w:pPr>
              <w:spacing w:after="0"/>
              <w:rPr>
                <w:sz w:val="19"/>
                <w:szCs w:val="19"/>
                <w:color w:val="auto"/>
              </w:rPr>
            </w:pPr>
          </w:p>
        </w:tc>
        <w:tc>
          <w:tcPr>
            <w:tcW w:w="144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52,726</w:t>
            </w:r>
          </w:p>
        </w:tc>
        <w:tc>
          <w:tcPr>
            <w:tcW w:w="100" w:type="dxa"/>
            <w:vAlign w:val="bottom"/>
            <w:tcBorders>
              <w:bottom w:val="single" w:sz="8" w:color="F5F5F5"/>
            </w:tcBorders>
            <w:shd w:val="clear" w:color="auto" w:fill="F5F5F5"/>
          </w:tcPr>
          <w:p>
            <w:pPr>
              <w:spacing w:after="0"/>
              <w:rPr>
                <w:sz w:val="19"/>
                <w:szCs w:val="19"/>
                <w:color w:val="auto"/>
              </w:rPr>
            </w:pPr>
          </w:p>
        </w:tc>
        <w:tc>
          <w:tcPr>
            <w:tcW w:w="144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52,327</w:t>
            </w:r>
          </w:p>
        </w:tc>
      </w:tr>
      <w:tr>
        <w:trPr>
          <w:trHeight w:val="20"/>
        </w:trPr>
        <w:tc>
          <w:tcPr>
            <w:tcW w:w="6740" w:type="dxa"/>
            <w:vAlign w:val="bottom"/>
            <w:tcBorders>
              <w:top w:val="single" w:sz="8" w:color="F5F5F5"/>
            </w:tcBorders>
          </w:tcPr>
          <w:p>
            <w:pPr>
              <w:spacing w:after="0" w:line="20" w:lineRule="exact"/>
              <w:rPr>
                <w:sz w:val="1"/>
                <w:szCs w:val="1"/>
                <w:color w:val="auto"/>
              </w:rPr>
            </w:pPr>
          </w:p>
        </w:tc>
        <w:tc>
          <w:tcPr>
            <w:tcW w:w="1420" w:type="dxa"/>
            <w:vAlign w:val="bottom"/>
            <w:tcBorders>
              <w:top w:val="single" w:sz="8" w:color="F5F5F5"/>
              <w:bottom w:val="single" w:sz="8" w:color="auto"/>
            </w:tcBorders>
          </w:tcPr>
          <w:p>
            <w:pPr>
              <w:spacing w:after="0" w:line="20" w:lineRule="exact"/>
              <w:rPr>
                <w:sz w:val="1"/>
                <w:szCs w:val="1"/>
                <w:color w:val="auto"/>
              </w:rPr>
            </w:pPr>
          </w:p>
        </w:tc>
        <w:tc>
          <w:tcPr>
            <w:tcW w:w="100" w:type="dxa"/>
            <w:vAlign w:val="bottom"/>
            <w:tcBorders>
              <w:top w:val="single" w:sz="8" w:color="F5F5F5"/>
            </w:tcBorders>
          </w:tcPr>
          <w:p>
            <w:pPr>
              <w:spacing w:after="0" w:line="20" w:lineRule="exact"/>
              <w:rPr>
                <w:sz w:val="1"/>
                <w:szCs w:val="1"/>
                <w:color w:val="auto"/>
              </w:rPr>
            </w:pPr>
          </w:p>
        </w:tc>
        <w:tc>
          <w:tcPr>
            <w:tcW w:w="1440" w:type="dxa"/>
            <w:vAlign w:val="bottom"/>
            <w:tcBorders>
              <w:top w:val="single" w:sz="8" w:color="F5F5F5"/>
              <w:bottom w:val="single" w:sz="8" w:color="auto"/>
            </w:tcBorders>
          </w:tcPr>
          <w:p>
            <w:pPr>
              <w:spacing w:after="0" w:line="20" w:lineRule="exact"/>
              <w:rPr>
                <w:sz w:val="1"/>
                <w:szCs w:val="1"/>
                <w:color w:val="auto"/>
              </w:rPr>
            </w:pPr>
          </w:p>
        </w:tc>
        <w:tc>
          <w:tcPr>
            <w:tcW w:w="100" w:type="dxa"/>
            <w:vAlign w:val="bottom"/>
            <w:tcBorders>
              <w:top w:val="single" w:sz="8" w:color="F5F5F5"/>
            </w:tcBorders>
          </w:tcPr>
          <w:p>
            <w:pPr>
              <w:spacing w:after="0" w:line="20" w:lineRule="exact"/>
              <w:rPr>
                <w:sz w:val="1"/>
                <w:szCs w:val="1"/>
                <w:color w:val="auto"/>
              </w:rPr>
            </w:pPr>
          </w:p>
        </w:tc>
        <w:tc>
          <w:tcPr>
            <w:tcW w:w="1440" w:type="dxa"/>
            <w:vAlign w:val="bottom"/>
            <w:tcBorders>
              <w:top w:val="single" w:sz="8" w:color="F5F5F5"/>
              <w:bottom w:val="single" w:sz="8" w:color="auto"/>
            </w:tcBorders>
          </w:tcPr>
          <w:p>
            <w:pPr>
              <w:spacing w:after="0" w:line="20" w:lineRule="exact"/>
              <w:rPr>
                <w:sz w:val="1"/>
                <w:szCs w:val="1"/>
                <w:color w:val="auto"/>
              </w:rPr>
            </w:pPr>
          </w:p>
        </w:tc>
      </w:tr>
      <w:tr>
        <w:trPr>
          <w:trHeight w:val="177"/>
        </w:trPr>
        <w:tc>
          <w:tcPr>
            <w:tcW w:w="6740" w:type="dxa"/>
            <w:vAlign w:val="bottom"/>
          </w:tcPr>
          <w:p>
            <w:pPr>
              <w:ind w:left="20"/>
              <w:spacing w:after="0"/>
              <w:rPr>
                <w:sz w:val="20"/>
                <w:szCs w:val="20"/>
                <w:color w:val="auto"/>
              </w:rPr>
            </w:pPr>
            <w:r>
              <w:rPr>
                <w:rFonts w:ascii="Arial" w:cs="Arial" w:eastAsia="Arial" w:hAnsi="Arial"/>
                <w:sz w:val="14"/>
                <w:szCs w:val="14"/>
                <w:color w:val="auto"/>
              </w:rPr>
              <w:t xml:space="preserve">Anti-dilutive shares </w:t>
            </w:r>
            <w:r>
              <w:rPr>
                <w:rFonts w:ascii="Arial" w:cs="Arial" w:eastAsia="Arial" w:hAnsi="Arial"/>
                <w:sz w:val="9"/>
                <w:szCs w:val="9"/>
                <w:color w:val="auto"/>
              </w:rPr>
              <w:t>(1)</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541</w:t>
            </w:r>
          </w:p>
        </w:tc>
        <w:tc>
          <w:tcPr>
            <w:tcW w:w="100" w:type="dxa"/>
            <w:vAlign w:val="bottom"/>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2,233</w:t>
            </w:r>
          </w:p>
        </w:tc>
      </w:tr>
      <w:tr>
        <w:trPr>
          <w:trHeight w:val="20"/>
        </w:trPr>
        <w:tc>
          <w:tcPr>
            <w:tcW w:w="67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jc w:val="both"/>
        <w:ind w:left="340" w:hanging="332"/>
        <w:spacing w:after="0" w:line="237" w:lineRule="auto"/>
        <w:tabs>
          <w:tab w:leader="none" w:pos="339" w:val="left"/>
        </w:tabs>
        <w:numPr>
          <w:ilvl w:val="0"/>
          <w:numId w:val="53"/>
        </w:numPr>
        <w:rPr>
          <w:rFonts w:ascii="Arial" w:cs="Arial" w:eastAsia="Arial" w:hAnsi="Arial"/>
          <w:sz w:val="18"/>
          <w:szCs w:val="18"/>
          <w:color w:val="auto"/>
          <w:vertAlign w:val="superscript"/>
        </w:rPr>
      </w:pPr>
      <w:r>
        <w:rPr>
          <w:rFonts w:ascii="Arial" w:cs="Arial" w:eastAsia="Arial" w:hAnsi="Arial"/>
          <w:sz w:val="13"/>
          <w:szCs w:val="13"/>
          <w:color w:val="auto"/>
        </w:rPr>
        <w:t>Reflects the total number of shares related to outstanding share-based compensation awards that have been excluded from the computation of net income (loss) per diluted share because the impact would have been anti-dilutive. Unvested contingently issuable shares related to restricted stock units with performance-based and market-based vesting conditions can achieve up to 200% of their target vesting amount and are reflected at the maximum vesting amount less any dilutive portion.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59</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6"/>
          <w:szCs w:val="16"/>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Abercrombie &amp; Fitch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Recent Accounting Pronouncements</w:t>
      </w:r>
    </w:p>
    <w:p>
      <w:pPr>
        <w:spacing w:after="0" w:line="24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reviews recent accounting pronouncements on a quarterly basis and has excluded discussion of those not applicable to the Company and those not expected to have a material impact on the Company’s consolidated financial statements. The following table provides a brief description of certain recent accounting pronouncements that the Company has adopted or that could affect the Company’s financial statements.</w:t>
      </w:r>
    </w:p>
    <w:p>
      <w:pPr>
        <w:spacing w:after="0" w:line="7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gridSpan w:val="4"/>
          </w:tcPr>
          <w:p>
            <w:pPr>
              <w:ind w:left="20"/>
              <w:spacing w:after="0"/>
              <w:rPr>
                <w:sz w:val="20"/>
                <w:szCs w:val="20"/>
                <w:color w:val="auto"/>
              </w:rPr>
            </w:pPr>
            <w:r>
              <w:rPr>
                <w:rFonts w:ascii="Arial" w:cs="Arial" w:eastAsia="Arial" w:hAnsi="Arial"/>
                <w:sz w:val="14"/>
                <w:szCs w:val="14"/>
                <w:b w:val="1"/>
                <w:bCs w:val="1"/>
                <w:color w:val="auto"/>
              </w:rPr>
              <w:t>Accounting Standards Update</w:t>
            </w:r>
          </w:p>
        </w:tc>
        <w:tc>
          <w:tcPr>
            <w:tcW w:w="4320" w:type="dxa"/>
            <w:vAlign w:val="bottom"/>
            <w:vMerge w:val="restart"/>
          </w:tcPr>
          <w:p>
            <w:pPr>
              <w:ind w:left="176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4"/>
                <w:szCs w:val="14"/>
                <w:color w:val="auto"/>
              </w:rPr>
            </w:pPr>
          </w:p>
        </w:tc>
        <w:tc>
          <w:tcPr>
            <w:tcW w:w="15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Date of adoption</w:t>
            </w:r>
          </w:p>
        </w:tc>
        <w:tc>
          <w:tcPr>
            <w:tcW w:w="10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2880" w:type="dxa"/>
            <w:vAlign w:val="bottom"/>
            <w:gridSpan w:val="7"/>
          </w:tcPr>
          <w:p>
            <w:pPr>
              <w:ind w:left="180"/>
              <w:spacing w:after="0"/>
              <w:rPr>
                <w:sz w:val="20"/>
                <w:szCs w:val="20"/>
                <w:color w:val="auto"/>
              </w:rPr>
            </w:pPr>
            <w:r>
              <w:rPr>
                <w:rFonts w:ascii="Arial" w:cs="Arial" w:eastAsia="Arial" w:hAnsi="Arial"/>
                <w:sz w:val="14"/>
                <w:szCs w:val="14"/>
                <w:b w:val="1"/>
                <w:bCs w:val="1"/>
                <w:color w:val="auto"/>
              </w:rPr>
              <w:t>Effect on the financial statements or</w:t>
            </w:r>
          </w:p>
        </w:tc>
        <w:tc>
          <w:tcPr>
            <w:tcW w:w="0" w:type="dxa"/>
            <w:vAlign w:val="bottom"/>
          </w:tcPr>
          <w:p>
            <w:pPr>
              <w:spacing w:after="0"/>
              <w:rPr>
                <w:sz w:val="1"/>
                <w:szCs w:val="1"/>
                <w:color w:val="auto"/>
              </w:rPr>
            </w:pPr>
          </w:p>
        </w:tc>
      </w:tr>
      <w:tr>
        <w:trPr>
          <w:trHeight w:val="185"/>
        </w:trPr>
        <w:tc>
          <w:tcPr>
            <w:tcW w:w="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(ASU)</w:t>
            </w:r>
          </w:p>
        </w:tc>
        <w:tc>
          <w:tcPr>
            <w:tcW w:w="120" w:type="dxa"/>
            <w:vAlign w:val="bottom"/>
          </w:tcPr>
          <w:p>
            <w:pPr>
              <w:spacing w:after="0"/>
              <w:rPr>
                <w:sz w:val="16"/>
                <w:szCs w:val="16"/>
                <w:color w:val="auto"/>
              </w:rPr>
            </w:pPr>
          </w:p>
        </w:tc>
        <w:tc>
          <w:tcPr>
            <w:tcW w:w="43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7"/>
          </w:tcPr>
          <w:p>
            <w:pPr>
              <w:ind w:left="580"/>
              <w:spacing w:after="0"/>
              <w:rPr>
                <w:sz w:val="20"/>
                <w:szCs w:val="20"/>
                <w:color w:val="auto"/>
              </w:rPr>
            </w:pPr>
            <w:r>
              <w:rPr>
                <w:rFonts w:ascii="Arial" w:cs="Arial" w:eastAsia="Arial" w:hAnsi="Arial"/>
                <w:sz w:val="14"/>
                <w:szCs w:val="14"/>
                <w:b w:val="1"/>
                <w:bCs w:val="1"/>
                <w:color w:val="auto"/>
              </w:rPr>
              <w:t>other significant matters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20" w:type="dxa"/>
            <w:vAlign w:val="bottom"/>
            <w:gridSpan w:val="4"/>
          </w:tcPr>
          <w:p>
            <w:pPr>
              <w:spacing w:after="0" w:line="155" w:lineRule="exact"/>
              <w:rPr>
                <w:sz w:val="20"/>
                <w:szCs w:val="20"/>
                <w:color w:val="auto"/>
              </w:rPr>
            </w:pPr>
            <w:r>
              <w:rPr>
                <w:rFonts w:ascii="Arial" w:cs="Arial" w:eastAsia="Arial" w:hAnsi="Arial"/>
                <w:sz w:val="14"/>
                <w:szCs w:val="14"/>
                <w:i w:val="1"/>
                <w:iCs w:val="1"/>
                <w:color w:val="auto"/>
              </w:rPr>
              <w:t>Standards adopted</w:t>
            </w:r>
          </w:p>
        </w:tc>
        <w:tc>
          <w:tcPr>
            <w:tcW w:w="4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shd w:val="clear" w:color="auto" w:fill="F5F5F5"/>
          </w:tcPr>
          <w:p>
            <w:pPr>
              <w:spacing w:after="0"/>
              <w:rPr>
                <w:sz w:val="13"/>
                <w:szCs w:val="13"/>
                <w:color w:val="auto"/>
              </w:rPr>
            </w:pPr>
          </w:p>
        </w:tc>
        <w:tc>
          <w:tcPr>
            <w:tcW w:w="2220" w:type="dxa"/>
            <w:vAlign w:val="bottom"/>
            <w:gridSpan w:val="4"/>
            <w:shd w:val="clear" w:color="auto" w:fill="F5F5F5"/>
          </w:tcPr>
          <w:p>
            <w:pPr>
              <w:spacing w:after="0" w:line="153" w:lineRule="exact"/>
              <w:rPr>
                <w:sz w:val="20"/>
                <w:szCs w:val="20"/>
                <w:color w:val="auto"/>
              </w:rPr>
            </w:pPr>
            <w:r>
              <w:rPr>
                <w:rFonts w:ascii="Arial" w:cs="Arial" w:eastAsia="Arial" w:hAnsi="Arial"/>
                <w:sz w:val="14"/>
                <w:szCs w:val="14"/>
                <w:color w:val="auto"/>
              </w:rPr>
              <w:t xml:space="preserve">ASU 2022-04, </w:t>
            </w:r>
            <w:r>
              <w:rPr>
                <w:rFonts w:ascii="Arial" w:cs="Arial" w:eastAsia="Arial" w:hAnsi="Arial"/>
                <w:sz w:val="14"/>
                <w:szCs w:val="14"/>
                <w:i w:val="1"/>
                <w:iCs w:val="1"/>
                <w:color w:val="auto"/>
              </w:rPr>
              <w:t>Liabilities —</w:t>
            </w:r>
          </w:p>
        </w:tc>
        <w:tc>
          <w:tcPr>
            <w:tcW w:w="4440" w:type="dxa"/>
            <w:vAlign w:val="bottom"/>
            <w:gridSpan w:val="2"/>
            <w:shd w:val="clear" w:color="auto" w:fill="F5F5F5"/>
          </w:tcPr>
          <w:p>
            <w:pPr>
              <w:ind w:left="20"/>
              <w:spacing w:after="0" w:line="153" w:lineRule="exact"/>
              <w:rPr>
                <w:sz w:val="20"/>
                <w:szCs w:val="20"/>
                <w:color w:val="auto"/>
              </w:rPr>
            </w:pPr>
            <w:r>
              <w:rPr>
                <w:rFonts w:ascii="Arial" w:cs="Arial" w:eastAsia="Arial" w:hAnsi="Arial"/>
                <w:sz w:val="14"/>
                <w:szCs w:val="14"/>
                <w:color w:val="auto"/>
              </w:rPr>
              <w:t>The  update  relates  to  disclosure  requirements  for  buyers  in</w:t>
            </w:r>
          </w:p>
        </w:tc>
        <w:tc>
          <w:tcPr>
            <w:tcW w:w="1600" w:type="dxa"/>
            <w:vAlign w:val="bottom"/>
            <w:gridSpan w:val="2"/>
            <w:shd w:val="clear" w:color="auto" w:fill="F5F5F5"/>
          </w:tcPr>
          <w:p>
            <w:pPr>
              <w:ind w:left="20"/>
              <w:spacing w:after="0" w:line="153" w:lineRule="exact"/>
              <w:rPr>
                <w:sz w:val="20"/>
                <w:szCs w:val="20"/>
                <w:color w:val="auto"/>
              </w:rPr>
            </w:pPr>
            <w:r>
              <w:rPr>
                <w:rFonts w:ascii="Arial" w:cs="Arial" w:eastAsia="Arial" w:hAnsi="Arial"/>
                <w:sz w:val="14"/>
                <w:szCs w:val="14"/>
                <w:color w:val="auto"/>
              </w:rPr>
              <w:t>January 29, 2023</w:t>
            </w:r>
          </w:p>
        </w:tc>
        <w:tc>
          <w:tcPr>
            <w:tcW w:w="20" w:type="dxa"/>
            <w:vAlign w:val="bottom"/>
            <w:shd w:val="clear" w:color="auto" w:fill="F5F5F5"/>
          </w:tcPr>
          <w:p>
            <w:pPr>
              <w:spacing w:after="0"/>
              <w:rPr>
                <w:sz w:val="13"/>
                <w:szCs w:val="13"/>
                <w:color w:val="auto"/>
              </w:rPr>
            </w:pPr>
          </w:p>
        </w:tc>
        <w:tc>
          <w:tcPr>
            <w:tcW w:w="2880" w:type="dxa"/>
            <w:vAlign w:val="bottom"/>
            <w:gridSpan w:val="7"/>
            <w:shd w:val="clear" w:color="auto" w:fill="F5F5F5"/>
          </w:tcPr>
          <w:p>
            <w:pPr>
              <w:spacing w:after="0" w:line="153" w:lineRule="exact"/>
              <w:rPr>
                <w:sz w:val="20"/>
                <w:szCs w:val="20"/>
                <w:color w:val="auto"/>
              </w:rPr>
            </w:pPr>
            <w:r>
              <w:rPr>
                <w:rFonts w:ascii="Arial" w:cs="Arial" w:eastAsia="Arial" w:hAnsi="Arial"/>
                <w:sz w:val="14"/>
                <w:szCs w:val="14"/>
                <w:color w:val="auto"/>
              </w:rPr>
              <w:t>The Company adopted this guidance by</w:t>
            </w:r>
          </w:p>
        </w:tc>
        <w:tc>
          <w:tcPr>
            <w:tcW w:w="0" w:type="dxa"/>
            <w:vAlign w:val="bottom"/>
          </w:tcPr>
          <w:p>
            <w:pPr>
              <w:spacing w:after="0"/>
              <w:rPr>
                <w:sz w:val="1"/>
                <w:szCs w:val="1"/>
                <w:color w:val="auto"/>
              </w:rPr>
            </w:pPr>
          </w:p>
        </w:tc>
      </w:tr>
      <w:tr>
        <w:trPr>
          <w:trHeight w:val="148"/>
        </w:trPr>
        <w:tc>
          <w:tcPr>
            <w:tcW w:w="20" w:type="dxa"/>
            <w:vAlign w:val="bottom"/>
            <w:shd w:val="clear" w:color="auto" w:fill="F5F5F5"/>
          </w:tcPr>
          <w:p>
            <w:pPr>
              <w:spacing w:after="0"/>
              <w:rPr>
                <w:sz w:val="12"/>
                <w:szCs w:val="12"/>
                <w:color w:val="auto"/>
              </w:rPr>
            </w:pPr>
          </w:p>
        </w:tc>
        <w:tc>
          <w:tcPr>
            <w:tcW w:w="2220" w:type="dxa"/>
            <w:vAlign w:val="bottom"/>
            <w:gridSpan w:val="4"/>
            <w:shd w:val="clear" w:color="auto" w:fill="F5F5F5"/>
          </w:tcPr>
          <w:p>
            <w:pPr>
              <w:spacing w:after="0" w:line="149" w:lineRule="exact"/>
              <w:rPr>
                <w:sz w:val="20"/>
                <w:szCs w:val="20"/>
                <w:color w:val="auto"/>
              </w:rPr>
            </w:pPr>
            <w:r>
              <w:rPr>
                <w:rFonts w:ascii="Arial" w:cs="Arial" w:eastAsia="Arial" w:hAnsi="Arial"/>
                <w:sz w:val="14"/>
                <w:szCs w:val="14"/>
                <w:i w:val="1"/>
                <w:iCs w:val="1"/>
                <w:color w:val="auto"/>
              </w:rPr>
              <w:t>Supplier Finance Programs</w:t>
            </w:r>
          </w:p>
        </w:tc>
        <w:tc>
          <w:tcPr>
            <w:tcW w:w="4440" w:type="dxa"/>
            <w:vAlign w:val="bottom"/>
            <w:gridSpan w:val="2"/>
            <w:shd w:val="clear" w:color="auto" w:fill="F5F5F5"/>
          </w:tcPr>
          <w:p>
            <w:pPr>
              <w:ind w:left="20"/>
              <w:spacing w:after="0" w:line="149" w:lineRule="exact"/>
              <w:rPr>
                <w:sz w:val="20"/>
                <w:szCs w:val="20"/>
                <w:color w:val="auto"/>
              </w:rPr>
            </w:pPr>
            <w:r>
              <w:rPr>
                <w:rFonts w:ascii="Arial" w:cs="Arial" w:eastAsia="Arial" w:hAnsi="Arial"/>
                <w:sz w:val="14"/>
                <w:szCs w:val="14"/>
                <w:color w:val="auto"/>
              </w:rPr>
              <w:t>supplier finance programs. The amendments in the update require</w:t>
            </w:r>
          </w:p>
        </w:tc>
        <w:tc>
          <w:tcPr>
            <w:tcW w:w="1500" w:type="dxa"/>
            <w:vAlign w:val="bottom"/>
            <w:shd w:val="clear" w:color="auto" w:fill="F5F5F5"/>
          </w:tcPr>
          <w:p>
            <w:pPr>
              <w:spacing w:after="0"/>
              <w:rPr>
                <w:sz w:val="12"/>
                <w:szCs w:val="12"/>
                <w:color w:val="auto"/>
              </w:rPr>
            </w:pPr>
          </w:p>
        </w:tc>
        <w:tc>
          <w:tcPr>
            <w:tcW w:w="100" w:type="dxa"/>
            <w:vAlign w:val="bottom"/>
            <w:shd w:val="clear" w:color="auto" w:fill="F5F5F5"/>
          </w:tcPr>
          <w:p>
            <w:pPr>
              <w:spacing w:after="0"/>
              <w:rPr>
                <w:sz w:val="12"/>
                <w:szCs w:val="12"/>
                <w:color w:val="auto"/>
              </w:rPr>
            </w:pPr>
          </w:p>
        </w:tc>
        <w:tc>
          <w:tcPr>
            <w:tcW w:w="20" w:type="dxa"/>
            <w:vAlign w:val="bottom"/>
            <w:shd w:val="clear" w:color="auto" w:fill="F5F5F5"/>
          </w:tcPr>
          <w:p>
            <w:pPr>
              <w:spacing w:after="0"/>
              <w:rPr>
                <w:sz w:val="12"/>
                <w:szCs w:val="12"/>
                <w:color w:val="auto"/>
              </w:rPr>
            </w:pPr>
          </w:p>
        </w:tc>
        <w:tc>
          <w:tcPr>
            <w:tcW w:w="2880" w:type="dxa"/>
            <w:vAlign w:val="bottom"/>
            <w:gridSpan w:val="7"/>
            <w:shd w:val="clear" w:color="auto" w:fill="F5F5F5"/>
          </w:tcPr>
          <w:p>
            <w:pPr>
              <w:spacing w:after="0" w:line="149" w:lineRule="exact"/>
              <w:rPr>
                <w:sz w:val="20"/>
                <w:szCs w:val="20"/>
                <w:color w:val="auto"/>
              </w:rPr>
            </w:pPr>
            <w:r>
              <w:rPr>
                <w:rFonts w:ascii="Arial" w:cs="Arial" w:eastAsia="Arial" w:hAnsi="Arial"/>
                <w:sz w:val="14"/>
                <w:szCs w:val="14"/>
                <w:color w:val="auto"/>
              </w:rPr>
              <w:t>enhancing supply chain financing</w:t>
            </w:r>
          </w:p>
        </w:tc>
        <w:tc>
          <w:tcPr>
            <w:tcW w:w="0" w:type="dxa"/>
            <w:vAlign w:val="bottom"/>
          </w:tcPr>
          <w:p>
            <w:pPr>
              <w:spacing w:after="0"/>
              <w:rPr>
                <w:sz w:val="1"/>
                <w:szCs w:val="1"/>
                <w:color w:val="auto"/>
              </w:rPr>
            </w:pPr>
          </w:p>
        </w:tc>
      </w:tr>
      <w:tr>
        <w:trPr>
          <w:trHeight w:val="144"/>
        </w:trPr>
        <w:tc>
          <w:tcPr>
            <w:tcW w:w="20" w:type="dxa"/>
            <w:vAlign w:val="bottom"/>
            <w:shd w:val="clear" w:color="auto" w:fill="F5F5F5"/>
          </w:tcPr>
          <w:p>
            <w:pPr>
              <w:spacing w:after="0"/>
              <w:rPr>
                <w:sz w:val="12"/>
                <w:szCs w:val="12"/>
                <w:color w:val="auto"/>
              </w:rPr>
            </w:pPr>
          </w:p>
        </w:tc>
        <w:tc>
          <w:tcPr>
            <w:tcW w:w="2220" w:type="dxa"/>
            <w:vAlign w:val="bottom"/>
            <w:gridSpan w:val="4"/>
            <w:shd w:val="clear" w:color="auto" w:fill="F5F5F5"/>
          </w:tcPr>
          <w:p>
            <w:pPr>
              <w:spacing w:after="0" w:line="145" w:lineRule="exact"/>
              <w:rPr>
                <w:sz w:val="20"/>
                <w:szCs w:val="20"/>
                <w:color w:val="auto"/>
              </w:rPr>
            </w:pPr>
            <w:r>
              <w:rPr>
                <w:rFonts w:ascii="Arial" w:cs="Arial" w:eastAsia="Arial" w:hAnsi="Arial"/>
                <w:sz w:val="14"/>
                <w:szCs w:val="14"/>
                <w:i w:val="1"/>
                <w:iCs w:val="1"/>
                <w:color w:val="auto"/>
              </w:rPr>
              <w:t>(Subtopic 405-50): Disclosure of</w:t>
            </w:r>
          </w:p>
        </w:tc>
        <w:tc>
          <w:tcPr>
            <w:tcW w:w="4440" w:type="dxa"/>
            <w:vAlign w:val="bottom"/>
            <w:gridSpan w:val="2"/>
            <w:shd w:val="clear" w:color="auto" w:fill="F5F5F5"/>
          </w:tcPr>
          <w:p>
            <w:pPr>
              <w:ind w:left="20"/>
              <w:spacing w:after="0" w:line="145" w:lineRule="exact"/>
              <w:rPr>
                <w:sz w:val="20"/>
                <w:szCs w:val="20"/>
                <w:color w:val="auto"/>
              </w:rPr>
            </w:pPr>
            <w:r>
              <w:rPr>
                <w:rFonts w:ascii="Arial" w:cs="Arial" w:eastAsia="Arial" w:hAnsi="Arial"/>
                <w:sz w:val="14"/>
                <w:szCs w:val="14"/>
                <w:color w:val="auto"/>
              </w:rPr>
              <w:t>that a buyer disclose qualitative and quantitative information about</w:t>
            </w:r>
          </w:p>
        </w:tc>
        <w:tc>
          <w:tcPr>
            <w:tcW w:w="1500" w:type="dxa"/>
            <w:vAlign w:val="bottom"/>
            <w:shd w:val="clear" w:color="auto" w:fill="F5F5F5"/>
          </w:tcPr>
          <w:p>
            <w:pPr>
              <w:spacing w:after="0"/>
              <w:rPr>
                <w:sz w:val="12"/>
                <w:szCs w:val="12"/>
                <w:color w:val="auto"/>
              </w:rPr>
            </w:pPr>
          </w:p>
        </w:tc>
        <w:tc>
          <w:tcPr>
            <w:tcW w:w="100" w:type="dxa"/>
            <w:vAlign w:val="bottom"/>
            <w:shd w:val="clear" w:color="auto" w:fill="F5F5F5"/>
          </w:tcPr>
          <w:p>
            <w:pPr>
              <w:spacing w:after="0"/>
              <w:rPr>
                <w:sz w:val="12"/>
                <w:szCs w:val="12"/>
                <w:color w:val="auto"/>
              </w:rPr>
            </w:pPr>
          </w:p>
        </w:tc>
        <w:tc>
          <w:tcPr>
            <w:tcW w:w="20" w:type="dxa"/>
            <w:vAlign w:val="bottom"/>
            <w:shd w:val="clear" w:color="auto" w:fill="F5F5F5"/>
          </w:tcPr>
          <w:p>
            <w:pPr>
              <w:spacing w:after="0"/>
              <w:rPr>
                <w:sz w:val="12"/>
                <w:szCs w:val="12"/>
                <w:color w:val="auto"/>
              </w:rPr>
            </w:pPr>
          </w:p>
        </w:tc>
        <w:tc>
          <w:tcPr>
            <w:tcW w:w="2880" w:type="dxa"/>
            <w:vAlign w:val="bottom"/>
            <w:gridSpan w:val="7"/>
            <w:shd w:val="clear" w:color="auto" w:fill="F5F5F5"/>
          </w:tcPr>
          <w:p>
            <w:pPr>
              <w:spacing w:after="0" w:line="145" w:lineRule="exact"/>
              <w:rPr>
                <w:sz w:val="20"/>
                <w:szCs w:val="20"/>
                <w:color w:val="auto"/>
              </w:rPr>
            </w:pPr>
            <w:r>
              <w:rPr>
                <w:rFonts w:ascii="Arial" w:cs="Arial" w:eastAsia="Arial" w:hAnsi="Arial"/>
                <w:sz w:val="14"/>
                <w:szCs w:val="14"/>
                <w:color w:val="auto"/>
              </w:rPr>
              <w:t>disclosures to include roll-forward activity.</w:t>
            </w:r>
          </w:p>
        </w:tc>
        <w:tc>
          <w:tcPr>
            <w:tcW w:w="0" w:type="dxa"/>
            <w:vAlign w:val="bottom"/>
          </w:tcPr>
          <w:p>
            <w:pPr>
              <w:spacing w:after="0"/>
              <w:rPr>
                <w:sz w:val="1"/>
                <w:szCs w:val="1"/>
                <w:color w:val="auto"/>
              </w:rPr>
            </w:pPr>
          </w:p>
        </w:tc>
      </w:tr>
      <w:tr>
        <w:trPr>
          <w:trHeight w:val="156"/>
        </w:trPr>
        <w:tc>
          <w:tcPr>
            <w:tcW w:w="20" w:type="dxa"/>
            <w:vAlign w:val="bottom"/>
            <w:shd w:val="clear" w:color="auto" w:fill="F5F5F5"/>
          </w:tcPr>
          <w:p>
            <w:pPr>
              <w:spacing w:after="0"/>
              <w:rPr>
                <w:sz w:val="13"/>
                <w:szCs w:val="13"/>
                <w:color w:val="auto"/>
              </w:rPr>
            </w:pPr>
          </w:p>
        </w:tc>
        <w:tc>
          <w:tcPr>
            <w:tcW w:w="2220" w:type="dxa"/>
            <w:vAlign w:val="bottom"/>
            <w:gridSpan w:val="4"/>
            <w:shd w:val="clear" w:color="auto" w:fill="F5F5F5"/>
          </w:tcPr>
          <w:p>
            <w:pPr>
              <w:spacing w:after="0" w:line="149" w:lineRule="exact"/>
              <w:rPr>
                <w:sz w:val="20"/>
                <w:szCs w:val="20"/>
                <w:color w:val="auto"/>
              </w:rPr>
            </w:pPr>
            <w:r>
              <w:rPr>
                <w:rFonts w:ascii="Arial" w:cs="Arial" w:eastAsia="Arial" w:hAnsi="Arial"/>
                <w:sz w:val="14"/>
                <w:szCs w:val="14"/>
                <w:i w:val="1"/>
                <w:iCs w:val="1"/>
                <w:color w:val="auto"/>
              </w:rPr>
              <w:t>Supplier Finance Program</w:t>
            </w:r>
          </w:p>
        </w:tc>
        <w:tc>
          <w:tcPr>
            <w:tcW w:w="4440" w:type="dxa"/>
            <w:vAlign w:val="bottom"/>
            <w:gridSpan w:val="2"/>
            <w:shd w:val="clear" w:color="auto" w:fill="F5F5F5"/>
          </w:tcPr>
          <w:p>
            <w:pPr>
              <w:ind w:left="20"/>
              <w:spacing w:after="0" w:line="149" w:lineRule="exact"/>
              <w:rPr>
                <w:sz w:val="20"/>
                <w:szCs w:val="20"/>
                <w:color w:val="auto"/>
              </w:rPr>
            </w:pPr>
            <w:r>
              <w:rPr>
                <w:rFonts w:ascii="Arial" w:cs="Arial" w:eastAsia="Arial" w:hAnsi="Arial"/>
                <w:sz w:val="14"/>
                <w:szCs w:val="14"/>
                <w:color w:val="auto"/>
              </w:rPr>
              <w:t>their supplier finance programs. Interim and annual requirements</w:t>
            </w:r>
          </w:p>
        </w:tc>
        <w:tc>
          <w:tcPr>
            <w:tcW w:w="1500" w:type="dxa"/>
            <w:vAlign w:val="bottom"/>
            <w:shd w:val="clear" w:color="auto" w:fill="F5F5F5"/>
          </w:tcPr>
          <w:p>
            <w:pPr>
              <w:spacing w:after="0"/>
              <w:rPr>
                <w:sz w:val="13"/>
                <w:szCs w:val="13"/>
                <w:color w:val="auto"/>
              </w:rPr>
            </w:pPr>
          </w:p>
        </w:tc>
        <w:tc>
          <w:tcPr>
            <w:tcW w:w="100" w:type="dxa"/>
            <w:vAlign w:val="bottom"/>
            <w:shd w:val="clear" w:color="auto" w:fill="F5F5F5"/>
          </w:tcPr>
          <w:p>
            <w:pPr>
              <w:spacing w:after="0"/>
              <w:rPr>
                <w:sz w:val="13"/>
                <w:szCs w:val="13"/>
                <w:color w:val="auto"/>
              </w:rPr>
            </w:pPr>
          </w:p>
        </w:tc>
        <w:tc>
          <w:tcPr>
            <w:tcW w:w="20" w:type="dxa"/>
            <w:vAlign w:val="bottom"/>
            <w:shd w:val="clear" w:color="auto" w:fill="F5F5F5"/>
          </w:tcPr>
          <w:p>
            <w:pPr>
              <w:spacing w:after="0"/>
              <w:rPr>
                <w:sz w:val="13"/>
                <w:szCs w:val="13"/>
                <w:color w:val="auto"/>
              </w:rPr>
            </w:pPr>
          </w:p>
        </w:tc>
        <w:tc>
          <w:tcPr>
            <w:tcW w:w="2880" w:type="dxa"/>
            <w:vAlign w:val="bottom"/>
            <w:gridSpan w:val="7"/>
            <w:shd w:val="clear" w:color="auto" w:fill="F5F5F5"/>
          </w:tcPr>
          <w:p>
            <w:pPr>
              <w:spacing w:after="0" w:line="149" w:lineRule="exact"/>
              <w:rPr>
                <w:sz w:val="20"/>
                <w:szCs w:val="20"/>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w:t>
            </w:r>
            <w:r>
              <w:rPr>
                <w:rFonts w:ascii="Arial" w:cs="Arial" w:eastAsia="Arial" w:hAnsi="Arial"/>
                <w:sz w:val="14"/>
                <w:szCs w:val="14"/>
                <w:i w:val="1"/>
                <w:iCs w:val="1"/>
                <w:color w:val="0000FF"/>
              </w:rPr>
              <w:t>SUMMARY OF</w:t>
            </w:r>
          </w:p>
        </w:tc>
        <w:tc>
          <w:tcPr>
            <w:tcW w:w="0" w:type="dxa"/>
            <w:vAlign w:val="bottom"/>
          </w:tcPr>
          <w:p>
            <w:pPr>
              <w:spacing w:after="0"/>
              <w:rPr>
                <w:sz w:val="1"/>
                <w:szCs w:val="1"/>
                <w:color w:val="auto"/>
              </w:rPr>
            </w:pPr>
          </w:p>
        </w:tc>
      </w:tr>
      <w:tr>
        <w:trPr>
          <w:trHeight w:val="128"/>
        </w:trPr>
        <w:tc>
          <w:tcPr>
            <w:tcW w:w="20" w:type="dxa"/>
            <w:vAlign w:val="bottom"/>
            <w:tcBorders>
              <w:top w:val="single" w:sz="8" w:color="F5F5F5"/>
            </w:tcBorders>
            <w:shd w:val="clear" w:color="auto" w:fill="F5F5F5"/>
          </w:tcPr>
          <w:p>
            <w:pPr>
              <w:spacing w:after="0"/>
              <w:rPr>
                <w:sz w:val="11"/>
                <w:szCs w:val="11"/>
                <w:color w:val="auto"/>
              </w:rPr>
            </w:pPr>
          </w:p>
        </w:tc>
        <w:tc>
          <w:tcPr>
            <w:tcW w:w="2220" w:type="dxa"/>
            <w:vAlign w:val="bottom"/>
            <w:tcBorders>
              <w:top w:val="single" w:sz="8" w:color="F5F5F5"/>
            </w:tcBorders>
            <w:gridSpan w:val="4"/>
            <w:shd w:val="clear" w:color="auto" w:fill="F5F5F5"/>
          </w:tcPr>
          <w:p>
            <w:pPr>
              <w:spacing w:after="0" w:line="122" w:lineRule="exact"/>
              <w:rPr>
                <w:sz w:val="20"/>
                <w:szCs w:val="20"/>
                <w:color w:val="auto"/>
              </w:rPr>
            </w:pPr>
            <w:r>
              <w:rPr>
                <w:rFonts w:ascii="Arial" w:cs="Arial" w:eastAsia="Arial" w:hAnsi="Arial"/>
                <w:sz w:val="14"/>
                <w:szCs w:val="14"/>
                <w:i w:val="1"/>
                <w:iCs w:val="1"/>
                <w:color w:val="auto"/>
              </w:rPr>
              <w:t>Obligations</w:t>
            </w:r>
          </w:p>
        </w:tc>
        <w:tc>
          <w:tcPr>
            <w:tcW w:w="4440" w:type="dxa"/>
            <w:vAlign w:val="bottom"/>
            <w:tcBorders>
              <w:top w:val="single" w:sz="8" w:color="F5F5F5"/>
            </w:tcBorders>
            <w:gridSpan w:val="2"/>
            <w:shd w:val="clear" w:color="auto" w:fill="F5F5F5"/>
          </w:tcPr>
          <w:p>
            <w:pPr>
              <w:ind w:left="20"/>
              <w:spacing w:after="0" w:line="122" w:lineRule="exact"/>
              <w:rPr>
                <w:sz w:val="20"/>
                <w:szCs w:val="20"/>
                <w:color w:val="auto"/>
              </w:rPr>
            </w:pPr>
            <w:r>
              <w:rPr>
                <w:rFonts w:ascii="Arial" w:cs="Arial" w:eastAsia="Arial" w:hAnsi="Arial"/>
                <w:sz w:val="14"/>
                <w:szCs w:val="14"/>
                <w:color w:val="auto"/>
              </w:rPr>
              <w:t>include disclosure of outstanding amounts under the obligations as</w:t>
            </w:r>
          </w:p>
        </w:tc>
        <w:tc>
          <w:tcPr>
            <w:tcW w:w="1500" w:type="dxa"/>
            <w:vAlign w:val="bottom"/>
            <w:tcBorders>
              <w:top w:val="single" w:sz="8" w:color="F5F5F5"/>
            </w:tcBorders>
            <w:shd w:val="clear" w:color="auto" w:fill="F5F5F5"/>
          </w:tcPr>
          <w:p>
            <w:pPr>
              <w:spacing w:after="0"/>
              <w:rPr>
                <w:sz w:val="11"/>
                <w:szCs w:val="11"/>
                <w:color w:val="auto"/>
              </w:rPr>
            </w:pPr>
          </w:p>
        </w:tc>
        <w:tc>
          <w:tcPr>
            <w:tcW w:w="100" w:type="dxa"/>
            <w:vAlign w:val="bottom"/>
            <w:tcBorders>
              <w:top w:val="single" w:sz="8" w:color="F5F5F5"/>
            </w:tcBorders>
            <w:shd w:val="clear" w:color="auto" w:fill="F5F5F5"/>
          </w:tcPr>
          <w:p>
            <w:pPr>
              <w:spacing w:after="0"/>
              <w:rPr>
                <w:sz w:val="11"/>
                <w:szCs w:val="11"/>
                <w:color w:val="auto"/>
              </w:rPr>
            </w:pPr>
          </w:p>
        </w:tc>
        <w:tc>
          <w:tcPr>
            <w:tcW w:w="20" w:type="dxa"/>
            <w:vAlign w:val="bottom"/>
            <w:tcBorders>
              <w:top w:val="single" w:sz="8" w:color="F5F5F5"/>
            </w:tcBorders>
            <w:shd w:val="clear" w:color="auto" w:fill="F5F5F5"/>
          </w:tcPr>
          <w:p>
            <w:pPr>
              <w:spacing w:after="0"/>
              <w:rPr>
                <w:sz w:val="11"/>
                <w:szCs w:val="11"/>
                <w:color w:val="auto"/>
              </w:rPr>
            </w:pPr>
          </w:p>
        </w:tc>
        <w:tc>
          <w:tcPr>
            <w:tcW w:w="1120" w:type="dxa"/>
            <w:vAlign w:val="bottom"/>
            <w:tcBorders>
              <w:top w:val="single" w:sz="8" w:color="F5F5F5"/>
            </w:tcBorders>
            <w:gridSpan w:val="2"/>
            <w:shd w:val="clear" w:color="auto" w:fill="F5F5F5"/>
          </w:tcPr>
          <w:p>
            <w:pPr>
              <w:spacing w:after="0" w:line="122" w:lineRule="exact"/>
              <w:rPr>
                <w:sz w:val="20"/>
                <w:szCs w:val="20"/>
                <w:color w:val="auto"/>
              </w:rPr>
            </w:pPr>
            <w:r>
              <w:rPr>
                <w:rFonts w:ascii="Arial" w:cs="Arial" w:eastAsia="Arial" w:hAnsi="Arial"/>
                <w:sz w:val="14"/>
                <w:szCs w:val="14"/>
                <w:i w:val="1"/>
                <w:iCs w:val="1"/>
                <w:color w:val="0000FF"/>
              </w:rPr>
              <w:t>SIGNIFICANT</w:t>
            </w:r>
          </w:p>
        </w:tc>
        <w:tc>
          <w:tcPr>
            <w:tcW w:w="960" w:type="dxa"/>
            <w:vAlign w:val="bottom"/>
            <w:tcBorders>
              <w:top w:val="single" w:sz="8" w:color="0000FF"/>
            </w:tcBorders>
            <w:gridSpan w:val="2"/>
            <w:shd w:val="clear" w:color="auto" w:fill="F5F5F5"/>
          </w:tcPr>
          <w:p>
            <w:pPr>
              <w:spacing w:after="0" w:line="122" w:lineRule="exact"/>
              <w:rPr>
                <w:sz w:val="20"/>
                <w:szCs w:val="20"/>
                <w:color w:val="auto"/>
              </w:rPr>
            </w:pPr>
            <w:r>
              <w:rPr>
                <w:rFonts w:ascii="Arial" w:cs="Arial" w:eastAsia="Arial" w:hAnsi="Arial"/>
                <w:sz w:val="14"/>
                <w:szCs w:val="14"/>
                <w:i w:val="1"/>
                <w:iCs w:val="1"/>
                <w:color w:val="0000FF"/>
                <w:w w:val="99"/>
              </w:rPr>
              <w:t>ACCOUNTING</w:t>
            </w:r>
          </w:p>
        </w:tc>
        <w:tc>
          <w:tcPr>
            <w:tcW w:w="800" w:type="dxa"/>
            <w:vAlign w:val="bottom"/>
            <w:tcBorders>
              <w:top w:val="single" w:sz="8" w:color="F5F5F5"/>
            </w:tcBorders>
            <w:gridSpan w:val="3"/>
            <w:shd w:val="clear" w:color="auto" w:fill="F5F5F5"/>
          </w:tcPr>
          <w:p>
            <w:pPr>
              <w:spacing w:after="0" w:line="122" w:lineRule="exact"/>
              <w:rPr>
                <w:sz w:val="20"/>
                <w:szCs w:val="20"/>
                <w:color w:val="auto"/>
              </w:rPr>
            </w:pPr>
            <w:r>
              <w:rPr>
                <w:rFonts w:ascii="Arial" w:cs="Arial" w:eastAsia="Arial" w:hAnsi="Arial"/>
                <w:sz w:val="14"/>
                <w:szCs w:val="14"/>
                <w:i w:val="1"/>
                <w:iCs w:val="1"/>
                <w:color w:val="0000FF"/>
              </w:rPr>
              <w:t>POLICIES</w:t>
            </w:r>
            <w:r>
              <w:rPr>
                <w:rFonts w:ascii="Arial" w:cs="Arial" w:eastAsia="Arial" w:hAnsi="Arial"/>
                <w:sz w:val="14"/>
                <w:szCs w:val="14"/>
                <w:i w:val="1"/>
                <w:iCs w:val="1"/>
                <w:color w:val="000000"/>
              </w:rPr>
              <w:t>.</w:t>
            </w:r>
            <w:r>
              <w:rPr>
                <w:rFonts w:ascii="Arial" w:cs="Arial" w:eastAsia="Arial" w:hAnsi="Arial"/>
                <w:sz w:val="14"/>
                <w:szCs w:val="14"/>
                <w:color w:val="000000"/>
              </w:rPr>
              <w:t>”</w:t>
            </w:r>
          </w:p>
        </w:tc>
        <w:tc>
          <w:tcPr>
            <w:tcW w:w="0" w:type="dxa"/>
            <w:vAlign w:val="bottom"/>
          </w:tcPr>
          <w:p>
            <w:pPr>
              <w:spacing w:after="0"/>
              <w:rPr>
                <w:sz w:val="1"/>
                <w:szCs w:val="1"/>
                <w:color w:val="auto"/>
              </w:rPr>
            </w:pPr>
          </w:p>
        </w:tc>
      </w:tr>
      <w:tr>
        <w:trPr>
          <w:trHeight w:val="108"/>
        </w:trPr>
        <w:tc>
          <w:tcPr>
            <w:tcW w:w="20" w:type="dxa"/>
            <w:vAlign w:val="bottom"/>
            <w:tcBorders>
              <w:top w:val="single" w:sz="8" w:color="F5F5F5"/>
            </w:tcBorders>
            <w:shd w:val="clear" w:color="auto" w:fill="F5F5F5"/>
          </w:tcPr>
          <w:p>
            <w:pPr>
              <w:spacing w:after="0"/>
              <w:rPr>
                <w:sz w:val="9"/>
                <w:szCs w:val="9"/>
                <w:color w:val="auto"/>
              </w:rPr>
            </w:pPr>
          </w:p>
        </w:tc>
        <w:tc>
          <w:tcPr>
            <w:tcW w:w="1200" w:type="dxa"/>
            <w:vAlign w:val="bottom"/>
            <w:tcBorders>
              <w:top w:val="single" w:sz="8" w:color="F5F5F5"/>
            </w:tcBorders>
            <w:shd w:val="clear" w:color="auto" w:fill="F5F5F5"/>
          </w:tcPr>
          <w:p>
            <w:pPr>
              <w:spacing w:after="0"/>
              <w:rPr>
                <w:sz w:val="9"/>
                <w:szCs w:val="9"/>
                <w:color w:val="auto"/>
              </w:rPr>
            </w:pPr>
          </w:p>
        </w:tc>
        <w:tc>
          <w:tcPr>
            <w:tcW w:w="480" w:type="dxa"/>
            <w:vAlign w:val="bottom"/>
            <w:tcBorders>
              <w:top w:val="single" w:sz="8" w:color="F5F5F5"/>
            </w:tcBorders>
            <w:shd w:val="clear" w:color="auto" w:fill="F5F5F5"/>
          </w:tcPr>
          <w:p>
            <w:pPr>
              <w:spacing w:after="0"/>
              <w:rPr>
                <w:sz w:val="9"/>
                <w:szCs w:val="9"/>
                <w:color w:val="auto"/>
              </w:rPr>
            </w:pPr>
          </w:p>
        </w:tc>
        <w:tc>
          <w:tcPr>
            <w:tcW w:w="420" w:type="dxa"/>
            <w:vAlign w:val="bottom"/>
            <w:tcBorders>
              <w:top w:val="single" w:sz="8" w:color="F5F5F5"/>
            </w:tcBorders>
            <w:shd w:val="clear" w:color="auto" w:fill="F5F5F5"/>
          </w:tcPr>
          <w:p>
            <w:pPr>
              <w:spacing w:after="0"/>
              <w:rPr>
                <w:sz w:val="9"/>
                <w:szCs w:val="9"/>
                <w:color w:val="auto"/>
              </w:rPr>
            </w:pPr>
          </w:p>
        </w:tc>
        <w:tc>
          <w:tcPr>
            <w:tcW w:w="120" w:type="dxa"/>
            <w:vAlign w:val="bottom"/>
            <w:tcBorders>
              <w:top w:val="single" w:sz="8" w:color="F5F5F5"/>
            </w:tcBorders>
            <w:shd w:val="clear" w:color="auto" w:fill="F5F5F5"/>
          </w:tcPr>
          <w:p>
            <w:pPr>
              <w:spacing w:after="0"/>
              <w:rPr>
                <w:sz w:val="9"/>
                <w:szCs w:val="9"/>
                <w:color w:val="auto"/>
              </w:rPr>
            </w:pPr>
          </w:p>
        </w:tc>
        <w:tc>
          <w:tcPr>
            <w:tcW w:w="4440" w:type="dxa"/>
            <w:vAlign w:val="bottom"/>
            <w:tcBorders>
              <w:top w:val="single" w:sz="8" w:color="F5F5F5"/>
            </w:tcBorders>
            <w:gridSpan w:val="2"/>
            <w:shd w:val="clear" w:color="auto" w:fill="F5F5F5"/>
          </w:tcPr>
          <w:p>
            <w:pPr>
              <w:ind w:left="20"/>
              <w:spacing w:after="0" w:line="108" w:lineRule="exact"/>
              <w:rPr>
                <w:sz w:val="20"/>
                <w:szCs w:val="20"/>
                <w:color w:val="auto"/>
              </w:rPr>
            </w:pPr>
            <w:r>
              <w:rPr>
                <w:rFonts w:ascii="Arial" w:cs="Arial" w:eastAsia="Arial" w:hAnsi="Arial"/>
                <w:sz w:val="12"/>
                <w:szCs w:val="12"/>
                <w:color w:val="auto"/>
              </w:rPr>
              <w:t>of the end of the reporting period, and annual requirements include</w:t>
            </w:r>
          </w:p>
        </w:tc>
        <w:tc>
          <w:tcPr>
            <w:tcW w:w="1500" w:type="dxa"/>
            <w:vAlign w:val="bottom"/>
            <w:tcBorders>
              <w:top w:val="single" w:sz="8" w:color="F5F5F5"/>
            </w:tcBorders>
            <w:shd w:val="clear" w:color="auto" w:fill="F5F5F5"/>
          </w:tcPr>
          <w:p>
            <w:pPr>
              <w:spacing w:after="0"/>
              <w:rPr>
                <w:sz w:val="9"/>
                <w:szCs w:val="9"/>
                <w:color w:val="auto"/>
              </w:rPr>
            </w:pPr>
          </w:p>
        </w:tc>
        <w:tc>
          <w:tcPr>
            <w:tcW w:w="100" w:type="dxa"/>
            <w:vAlign w:val="bottom"/>
            <w:tcBorders>
              <w:top w:val="single" w:sz="8" w:color="F5F5F5"/>
            </w:tcBorders>
            <w:shd w:val="clear" w:color="auto" w:fill="F5F5F5"/>
          </w:tcPr>
          <w:p>
            <w:pPr>
              <w:spacing w:after="0"/>
              <w:rPr>
                <w:sz w:val="9"/>
                <w:szCs w:val="9"/>
                <w:color w:val="auto"/>
              </w:rPr>
            </w:pPr>
          </w:p>
        </w:tc>
        <w:tc>
          <w:tcPr>
            <w:tcW w:w="20" w:type="dxa"/>
            <w:vAlign w:val="bottom"/>
            <w:tcBorders>
              <w:top w:val="single" w:sz="8" w:color="F5F5F5"/>
            </w:tcBorders>
            <w:shd w:val="clear" w:color="auto" w:fill="F5F5F5"/>
          </w:tcPr>
          <w:p>
            <w:pPr>
              <w:spacing w:after="0"/>
              <w:rPr>
                <w:sz w:val="9"/>
                <w:szCs w:val="9"/>
                <w:color w:val="auto"/>
              </w:rPr>
            </w:pPr>
          </w:p>
        </w:tc>
        <w:tc>
          <w:tcPr>
            <w:tcW w:w="860" w:type="dxa"/>
            <w:vAlign w:val="bottom"/>
            <w:tcBorders>
              <w:top w:val="single" w:sz="8" w:color="0000FF"/>
            </w:tcBorders>
            <w:shd w:val="clear" w:color="auto" w:fill="F5F5F5"/>
          </w:tcPr>
          <w:p>
            <w:pPr>
              <w:spacing w:after="0"/>
              <w:rPr>
                <w:sz w:val="9"/>
                <w:szCs w:val="9"/>
                <w:color w:val="auto"/>
              </w:rPr>
            </w:pPr>
          </w:p>
        </w:tc>
        <w:tc>
          <w:tcPr>
            <w:tcW w:w="260" w:type="dxa"/>
            <w:vAlign w:val="bottom"/>
            <w:tcBorders>
              <w:top w:val="single" w:sz="8" w:color="0000FF"/>
            </w:tcBorders>
            <w:shd w:val="clear" w:color="auto" w:fill="F5F5F5"/>
          </w:tcPr>
          <w:p>
            <w:pPr>
              <w:spacing w:after="0"/>
              <w:rPr>
                <w:sz w:val="9"/>
                <w:szCs w:val="9"/>
                <w:color w:val="auto"/>
              </w:rPr>
            </w:pPr>
          </w:p>
        </w:tc>
        <w:tc>
          <w:tcPr>
            <w:tcW w:w="760" w:type="dxa"/>
            <w:vAlign w:val="bottom"/>
            <w:tcBorders>
              <w:top w:val="single" w:sz="8" w:color="0000FF"/>
            </w:tcBorders>
            <w:shd w:val="clear" w:color="auto" w:fill="F5F5F5"/>
          </w:tcPr>
          <w:p>
            <w:pPr>
              <w:spacing w:after="0"/>
              <w:rPr>
                <w:sz w:val="9"/>
                <w:szCs w:val="9"/>
                <w:color w:val="auto"/>
              </w:rPr>
            </w:pPr>
          </w:p>
        </w:tc>
        <w:tc>
          <w:tcPr>
            <w:tcW w:w="200" w:type="dxa"/>
            <w:vAlign w:val="bottom"/>
            <w:tcBorders>
              <w:top w:val="single" w:sz="8" w:color="0000FF"/>
            </w:tcBorders>
            <w:shd w:val="clear" w:color="auto" w:fill="F5F5F5"/>
          </w:tcPr>
          <w:p>
            <w:pPr>
              <w:spacing w:after="0"/>
              <w:rPr>
                <w:sz w:val="9"/>
                <w:szCs w:val="9"/>
                <w:color w:val="auto"/>
              </w:rPr>
            </w:pPr>
          </w:p>
        </w:tc>
        <w:tc>
          <w:tcPr>
            <w:tcW w:w="520" w:type="dxa"/>
            <w:vAlign w:val="bottom"/>
            <w:tcBorders>
              <w:top w:val="single" w:sz="8" w:color="0000FF"/>
            </w:tcBorders>
            <w:shd w:val="clear" w:color="auto" w:fill="F5F5F5"/>
          </w:tcPr>
          <w:p>
            <w:pPr>
              <w:spacing w:after="0"/>
              <w:rPr>
                <w:sz w:val="9"/>
                <w:szCs w:val="9"/>
                <w:color w:val="auto"/>
              </w:rPr>
            </w:pPr>
          </w:p>
        </w:tc>
        <w:tc>
          <w:tcPr>
            <w:tcW w:w="20" w:type="dxa"/>
            <w:vAlign w:val="bottom"/>
            <w:tcBorders>
              <w:top w:val="single" w:sz="8" w:color="0000FF"/>
            </w:tcBorders>
            <w:shd w:val="clear" w:color="auto" w:fill="F5F5F5"/>
          </w:tcPr>
          <w:p>
            <w:pPr>
              <w:spacing w:after="0"/>
              <w:rPr>
                <w:sz w:val="9"/>
                <w:szCs w:val="9"/>
                <w:color w:val="auto"/>
              </w:rPr>
            </w:pPr>
          </w:p>
        </w:tc>
        <w:tc>
          <w:tcPr>
            <w:tcW w:w="260" w:type="dxa"/>
            <w:vAlign w:val="bottom"/>
            <w:tcBorders>
              <w:top w:val="single" w:sz="8" w:color="F5F5F5"/>
            </w:tcBorders>
            <w:shd w:val="clear" w:color="auto" w:fill="F5F5F5"/>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F5F5F5"/>
          </w:tcPr>
          <w:p>
            <w:pPr>
              <w:spacing w:after="0"/>
              <w:rPr>
                <w:sz w:val="12"/>
                <w:szCs w:val="12"/>
                <w:color w:val="auto"/>
              </w:rPr>
            </w:pPr>
          </w:p>
        </w:tc>
        <w:tc>
          <w:tcPr>
            <w:tcW w:w="1200" w:type="dxa"/>
            <w:vAlign w:val="bottom"/>
            <w:shd w:val="clear" w:color="auto" w:fill="F5F5F5"/>
          </w:tcPr>
          <w:p>
            <w:pPr>
              <w:spacing w:after="0"/>
              <w:rPr>
                <w:sz w:val="12"/>
                <w:szCs w:val="12"/>
                <w:color w:val="auto"/>
              </w:rPr>
            </w:pPr>
          </w:p>
        </w:tc>
        <w:tc>
          <w:tcPr>
            <w:tcW w:w="480" w:type="dxa"/>
            <w:vAlign w:val="bottom"/>
            <w:shd w:val="clear" w:color="auto" w:fill="F5F5F5"/>
          </w:tcPr>
          <w:p>
            <w:pPr>
              <w:spacing w:after="0"/>
              <w:rPr>
                <w:sz w:val="12"/>
                <w:szCs w:val="12"/>
                <w:color w:val="auto"/>
              </w:rPr>
            </w:pPr>
          </w:p>
        </w:tc>
        <w:tc>
          <w:tcPr>
            <w:tcW w:w="420" w:type="dxa"/>
            <w:vAlign w:val="bottom"/>
            <w:shd w:val="clear" w:color="auto" w:fill="F5F5F5"/>
          </w:tcPr>
          <w:p>
            <w:pPr>
              <w:spacing w:after="0"/>
              <w:rPr>
                <w:sz w:val="12"/>
                <w:szCs w:val="12"/>
                <w:color w:val="auto"/>
              </w:rPr>
            </w:pPr>
          </w:p>
        </w:tc>
        <w:tc>
          <w:tcPr>
            <w:tcW w:w="120" w:type="dxa"/>
            <w:vAlign w:val="bottom"/>
            <w:shd w:val="clear" w:color="auto" w:fill="F5F5F5"/>
          </w:tcPr>
          <w:p>
            <w:pPr>
              <w:spacing w:after="0"/>
              <w:rPr>
                <w:sz w:val="12"/>
                <w:szCs w:val="12"/>
                <w:color w:val="auto"/>
              </w:rPr>
            </w:pPr>
          </w:p>
        </w:tc>
        <w:tc>
          <w:tcPr>
            <w:tcW w:w="4440" w:type="dxa"/>
            <w:vAlign w:val="bottom"/>
            <w:gridSpan w:val="2"/>
            <w:shd w:val="clear" w:color="auto" w:fill="F5F5F5"/>
          </w:tcPr>
          <w:p>
            <w:pPr>
              <w:ind w:left="20"/>
              <w:spacing w:after="0" w:line="139" w:lineRule="exact"/>
              <w:rPr>
                <w:sz w:val="20"/>
                <w:szCs w:val="20"/>
                <w:color w:val="auto"/>
              </w:rPr>
            </w:pPr>
            <w:r>
              <w:rPr>
                <w:rFonts w:ascii="Arial" w:cs="Arial" w:eastAsia="Arial" w:hAnsi="Arial"/>
                <w:sz w:val="14"/>
                <w:szCs w:val="14"/>
                <w:color w:val="auto"/>
              </w:rPr>
              <w:t>a roll-forward of those obligations for the annual reporting period,</w:t>
            </w:r>
          </w:p>
        </w:tc>
        <w:tc>
          <w:tcPr>
            <w:tcW w:w="1500" w:type="dxa"/>
            <w:vAlign w:val="bottom"/>
            <w:shd w:val="clear" w:color="auto" w:fill="F5F5F5"/>
          </w:tcPr>
          <w:p>
            <w:pPr>
              <w:spacing w:after="0"/>
              <w:rPr>
                <w:sz w:val="12"/>
                <w:szCs w:val="12"/>
                <w:color w:val="auto"/>
              </w:rPr>
            </w:pPr>
          </w:p>
        </w:tc>
        <w:tc>
          <w:tcPr>
            <w:tcW w:w="100" w:type="dxa"/>
            <w:vAlign w:val="bottom"/>
            <w:shd w:val="clear" w:color="auto" w:fill="F5F5F5"/>
          </w:tcPr>
          <w:p>
            <w:pPr>
              <w:spacing w:after="0"/>
              <w:rPr>
                <w:sz w:val="12"/>
                <w:szCs w:val="12"/>
                <w:color w:val="auto"/>
              </w:rPr>
            </w:pPr>
          </w:p>
        </w:tc>
        <w:tc>
          <w:tcPr>
            <w:tcW w:w="20" w:type="dxa"/>
            <w:vAlign w:val="bottom"/>
            <w:shd w:val="clear" w:color="auto" w:fill="F5F5F5"/>
          </w:tcPr>
          <w:p>
            <w:pPr>
              <w:spacing w:after="0"/>
              <w:rPr>
                <w:sz w:val="12"/>
                <w:szCs w:val="12"/>
                <w:color w:val="auto"/>
              </w:rPr>
            </w:pPr>
          </w:p>
        </w:tc>
        <w:tc>
          <w:tcPr>
            <w:tcW w:w="860" w:type="dxa"/>
            <w:vAlign w:val="bottom"/>
            <w:shd w:val="clear" w:color="auto" w:fill="F5F5F5"/>
          </w:tcPr>
          <w:p>
            <w:pPr>
              <w:spacing w:after="0"/>
              <w:rPr>
                <w:sz w:val="12"/>
                <w:szCs w:val="12"/>
                <w:color w:val="auto"/>
              </w:rPr>
            </w:pPr>
          </w:p>
        </w:tc>
        <w:tc>
          <w:tcPr>
            <w:tcW w:w="260" w:type="dxa"/>
            <w:vAlign w:val="bottom"/>
            <w:shd w:val="clear" w:color="auto" w:fill="F5F5F5"/>
          </w:tcPr>
          <w:p>
            <w:pPr>
              <w:spacing w:after="0"/>
              <w:rPr>
                <w:sz w:val="12"/>
                <w:szCs w:val="12"/>
                <w:color w:val="auto"/>
              </w:rPr>
            </w:pPr>
          </w:p>
        </w:tc>
        <w:tc>
          <w:tcPr>
            <w:tcW w:w="760" w:type="dxa"/>
            <w:vAlign w:val="bottom"/>
            <w:shd w:val="clear" w:color="auto" w:fill="F5F5F5"/>
          </w:tcPr>
          <w:p>
            <w:pPr>
              <w:spacing w:after="0"/>
              <w:rPr>
                <w:sz w:val="12"/>
                <w:szCs w:val="12"/>
                <w:color w:val="auto"/>
              </w:rPr>
            </w:pPr>
          </w:p>
        </w:tc>
        <w:tc>
          <w:tcPr>
            <w:tcW w:w="200" w:type="dxa"/>
            <w:vAlign w:val="bottom"/>
            <w:shd w:val="clear" w:color="auto" w:fill="F5F5F5"/>
          </w:tcPr>
          <w:p>
            <w:pPr>
              <w:spacing w:after="0"/>
              <w:rPr>
                <w:sz w:val="12"/>
                <w:szCs w:val="12"/>
                <w:color w:val="auto"/>
              </w:rPr>
            </w:pPr>
          </w:p>
        </w:tc>
        <w:tc>
          <w:tcPr>
            <w:tcW w:w="520" w:type="dxa"/>
            <w:vAlign w:val="bottom"/>
            <w:shd w:val="clear" w:color="auto" w:fill="F5F5F5"/>
          </w:tcPr>
          <w:p>
            <w:pPr>
              <w:spacing w:after="0"/>
              <w:rPr>
                <w:sz w:val="12"/>
                <w:szCs w:val="12"/>
                <w:color w:val="auto"/>
              </w:rPr>
            </w:pPr>
          </w:p>
        </w:tc>
        <w:tc>
          <w:tcPr>
            <w:tcW w:w="20" w:type="dxa"/>
            <w:vAlign w:val="bottom"/>
            <w:shd w:val="clear" w:color="auto" w:fill="F5F5F5"/>
          </w:tcPr>
          <w:p>
            <w:pPr>
              <w:spacing w:after="0"/>
              <w:rPr>
                <w:sz w:val="12"/>
                <w:szCs w:val="12"/>
                <w:color w:val="auto"/>
              </w:rPr>
            </w:pPr>
          </w:p>
        </w:tc>
        <w:tc>
          <w:tcPr>
            <w:tcW w:w="260" w:type="dxa"/>
            <w:vAlign w:val="bottom"/>
            <w:shd w:val="clear" w:color="auto" w:fill="F5F5F5"/>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shd w:val="clear" w:color="auto" w:fill="F5F5F5"/>
          </w:tcPr>
          <w:p>
            <w:pPr>
              <w:spacing w:after="0"/>
              <w:rPr>
                <w:sz w:val="12"/>
                <w:szCs w:val="12"/>
                <w:color w:val="auto"/>
              </w:rPr>
            </w:pPr>
          </w:p>
        </w:tc>
        <w:tc>
          <w:tcPr>
            <w:tcW w:w="1200" w:type="dxa"/>
            <w:vAlign w:val="bottom"/>
            <w:shd w:val="clear" w:color="auto" w:fill="F5F5F5"/>
          </w:tcPr>
          <w:p>
            <w:pPr>
              <w:spacing w:after="0"/>
              <w:rPr>
                <w:sz w:val="12"/>
                <w:szCs w:val="12"/>
                <w:color w:val="auto"/>
              </w:rPr>
            </w:pPr>
          </w:p>
        </w:tc>
        <w:tc>
          <w:tcPr>
            <w:tcW w:w="480" w:type="dxa"/>
            <w:vAlign w:val="bottom"/>
            <w:shd w:val="clear" w:color="auto" w:fill="F5F5F5"/>
          </w:tcPr>
          <w:p>
            <w:pPr>
              <w:spacing w:after="0"/>
              <w:rPr>
                <w:sz w:val="12"/>
                <w:szCs w:val="12"/>
                <w:color w:val="auto"/>
              </w:rPr>
            </w:pPr>
          </w:p>
        </w:tc>
        <w:tc>
          <w:tcPr>
            <w:tcW w:w="420" w:type="dxa"/>
            <w:vAlign w:val="bottom"/>
            <w:shd w:val="clear" w:color="auto" w:fill="F5F5F5"/>
          </w:tcPr>
          <w:p>
            <w:pPr>
              <w:spacing w:after="0"/>
              <w:rPr>
                <w:sz w:val="12"/>
                <w:szCs w:val="12"/>
                <w:color w:val="auto"/>
              </w:rPr>
            </w:pPr>
          </w:p>
        </w:tc>
        <w:tc>
          <w:tcPr>
            <w:tcW w:w="120" w:type="dxa"/>
            <w:vAlign w:val="bottom"/>
            <w:shd w:val="clear" w:color="auto" w:fill="F5F5F5"/>
          </w:tcPr>
          <w:p>
            <w:pPr>
              <w:spacing w:after="0"/>
              <w:rPr>
                <w:sz w:val="12"/>
                <w:szCs w:val="12"/>
                <w:color w:val="auto"/>
              </w:rPr>
            </w:pPr>
          </w:p>
        </w:tc>
        <w:tc>
          <w:tcPr>
            <w:tcW w:w="4440" w:type="dxa"/>
            <w:vAlign w:val="bottom"/>
            <w:gridSpan w:val="2"/>
            <w:shd w:val="clear" w:color="auto" w:fill="F5F5F5"/>
          </w:tcPr>
          <w:p>
            <w:pPr>
              <w:ind w:left="20"/>
              <w:spacing w:after="0" w:line="145" w:lineRule="exact"/>
              <w:rPr>
                <w:sz w:val="20"/>
                <w:szCs w:val="20"/>
                <w:color w:val="auto"/>
              </w:rPr>
            </w:pPr>
            <w:r>
              <w:rPr>
                <w:rFonts w:ascii="Arial" w:cs="Arial" w:eastAsia="Arial" w:hAnsi="Arial"/>
                <w:sz w:val="14"/>
                <w:szCs w:val="14"/>
                <w:color w:val="auto"/>
              </w:rPr>
              <w:t>as well as a description of payment and other key terms of the</w:t>
            </w:r>
          </w:p>
        </w:tc>
        <w:tc>
          <w:tcPr>
            <w:tcW w:w="1500" w:type="dxa"/>
            <w:vAlign w:val="bottom"/>
            <w:shd w:val="clear" w:color="auto" w:fill="F5F5F5"/>
          </w:tcPr>
          <w:p>
            <w:pPr>
              <w:spacing w:after="0"/>
              <w:rPr>
                <w:sz w:val="12"/>
                <w:szCs w:val="12"/>
                <w:color w:val="auto"/>
              </w:rPr>
            </w:pPr>
          </w:p>
        </w:tc>
        <w:tc>
          <w:tcPr>
            <w:tcW w:w="100" w:type="dxa"/>
            <w:vAlign w:val="bottom"/>
            <w:shd w:val="clear" w:color="auto" w:fill="F5F5F5"/>
          </w:tcPr>
          <w:p>
            <w:pPr>
              <w:spacing w:after="0"/>
              <w:rPr>
                <w:sz w:val="12"/>
                <w:szCs w:val="12"/>
                <w:color w:val="auto"/>
              </w:rPr>
            </w:pPr>
          </w:p>
        </w:tc>
        <w:tc>
          <w:tcPr>
            <w:tcW w:w="20" w:type="dxa"/>
            <w:vAlign w:val="bottom"/>
            <w:shd w:val="clear" w:color="auto" w:fill="F5F5F5"/>
          </w:tcPr>
          <w:p>
            <w:pPr>
              <w:spacing w:after="0"/>
              <w:rPr>
                <w:sz w:val="12"/>
                <w:szCs w:val="12"/>
                <w:color w:val="auto"/>
              </w:rPr>
            </w:pPr>
          </w:p>
        </w:tc>
        <w:tc>
          <w:tcPr>
            <w:tcW w:w="860" w:type="dxa"/>
            <w:vAlign w:val="bottom"/>
            <w:shd w:val="clear" w:color="auto" w:fill="F5F5F5"/>
          </w:tcPr>
          <w:p>
            <w:pPr>
              <w:spacing w:after="0"/>
              <w:rPr>
                <w:sz w:val="12"/>
                <w:szCs w:val="12"/>
                <w:color w:val="auto"/>
              </w:rPr>
            </w:pPr>
          </w:p>
        </w:tc>
        <w:tc>
          <w:tcPr>
            <w:tcW w:w="260" w:type="dxa"/>
            <w:vAlign w:val="bottom"/>
            <w:shd w:val="clear" w:color="auto" w:fill="F5F5F5"/>
          </w:tcPr>
          <w:p>
            <w:pPr>
              <w:spacing w:after="0"/>
              <w:rPr>
                <w:sz w:val="12"/>
                <w:szCs w:val="12"/>
                <w:color w:val="auto"/>
              </w:rPr>
            </w:pPr>
          </w:p>
        </w:tc>
        <w:tc>
          <w:tcPr>
            <w:tcW w:w="760" w:type="dxa"/>
            <w:vAlign w:val="bottom"/>
            <w:shd w:val="clear" w:color="auto" w:fill="F5F5F5"/>
          </w:tcPr>
          <w:p>
            <w:pPr>
              <w:spacing w:after="0"/>
              <w:rPr>
                <w:sz w:val="12"/>
                <w:szCs w:val="12"/>
                <w:color w:val="auto"/>
              </w:rPr>
            </w:pPr>
          </w:p>
        </w:tc>
        <w:tc>
          <w:tcPr>
            <w:tcW w:w="200" w:type="dxa"/>
            <w:vAlign w:val="bottom"/>
            <w:shd w:val="clear" w:color="auto" w:fill="F5F5F5"/>
          </w:tcPr>
          <w:p>
            <w:pPr>
              <w:spacing w:after="0"/>
              <w:rPr>
                <w:sz w:val="12"/>
                <w:szCs w:val="12"/>
                <w:color w:val="auto"/>
              </w:rPr>
            </w:pPr>
          </w:p>
        </w:tc>
        <w:tc>
          <w:tcPr>
            <w:tcW w:w="520" w:type="dxa"/>
            <w:vAlign w:val="bottom"/>
            <w:shd w:val="clear" w:color="auto" w:fill="F5F5F5"/>
          </w:tcPr>
          <w:p>
            <w:pPr>
              <w:spacing w:after="0"/>
              <w:rPr>
                <w:sz w:val="12"/>
                <w:szCs w:val="12"/>
                <w:color w:val="auto"/>
              </w:rPr>
            </w:pPr>
          </w:p>
        </w:tc>
        <w:tc>
          <w:tcPr>
            <w:tcW w:w="20" w:type="dxa"/>
            <w:vAlign w:val="bottom"/>
            <w:shd w:val="clear" w:color="auto" w:fill="F5F5F5"/>
          </w:tcPr>
          <w:p>
            <w:pPr>
              <w:spacing w:after="0"/>
              <w:rPr>
                <w:sz w:val="12"/>
                <w:szCs w:val="12"/>
                <w:color w:val="auto"/>
              </w:rPr>
            </w:pPr>
          </w:p>
        </w:tc>
        <w:tc>
          <w:tcPr>
            <w:tcW w:w="260" w:type="dxa"/>
            <w:vAlign w:val="bottom"/>
            <w:shd w:val="clear" w:color="auto" w:fill="F5F5F5"/>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F5F5F5"/>
          </w:tcPr>
          <w:p>
            <w:pPr>
              <w:spacing w:after="0"/>
              <w:rPr>
                <w:sz w:val="12"/>
                <w:szCs w:val="12"/>
                <w:color w:val="auto"/>
              </w:rPr>
            </w:pPr>
          </w:p>
        </w:tc>
        <w:tc>
          <w:tcPr>
            <w:tcW w:w="1200" w:type="dxa"/>
            <w:vAlign w:val="bottom"/>
            <w:shd w:val="clear" w:color="auto" w:fill="F5F5F5"/>
          </w:tcPr>
          <w:p>
            <w:pPr>
              <w:spacing w:after="0"/>
              <w:rPr>
                <w:sz w:val="12"/>
                <w:szCs w:val="12"/>
                <w:color w:val="auto"/>
              </w:rPr>
            </w:pPr>
          </w:p>
        </w:tc>
        <w:tc>
          <w:tcPr>
            <w:tcW w:w="480" w:type="dxa"/>
            <w:vAlign w:val="bottom"/>
            <w:shd w:val="clear" w:color="auto" w:fill="F5F5F5"/>
          </w:tcPr>
          <w:p>
            <w:pPr>
              <w:spacing w:after="0"/>
              <w:rPr>
                <w:sz w:val="12"/>
                <w:szCs w:val="12"/>
                <w:color w:val="auto"/>
              </w:rPr>
            </w:pPr>
          </w:p>
        </w:tc>
        <w:tc>
          <w:tcPr>
            <w:tcW w:w="420" w:type="dxa"/>
            <w:vAlign w:val="bottom"/>
            <w:shd w:val="clear" w:color="auto" w:fill="F5F5F5"/>
          </w:tcPr>
          <w:p>
            <w:pPr>
              <w:spacing w:after="0"/>
              <w:rPr>
                <w:sz w:val="12"/>
                <w:szCs w:val="12"/>
                <w:color w:val="auto"/>
              </w:rPr>
            </w:pPr>
          </w:p>
        </w:tc>
        <w:tc>
          <w:tcPr>
            <w:tcW w:w="120" w:type="dxa"/>
            <w:vAlign w:val="bottom"/>
            <w:shd w:val="clear" w:color="auto" w:fill="F5F5F5"/>
          </w:tcPr>
          <w:p>
            <w:pPr>
              <w:spacing w:after="0"/>
              <w:rPr>
                <w:sz w:val="12"/>
                <w:szCs w:val="12"/>
                <w:color w:val="auto"/>
              </w:rPr>
            </w:pPr>
          </w:p>
        </w:tc>
        <w:tc>
          <w:tcPr>
            <w:tcW w:w="4440" w:type="dxa"/>
            <w:vAlign w:val="bottom"/>
            <w:gridSpan w:val="2"/>
            <w:shd w:val="clear" w:color="auto" w:fill="F5F5F5"/>
          </w:tcPr>
          <w:p>
            <w:pPr>
              <w:ind w:left="20"/>
              <w:spacing w:after="0" w:line="139" w:lineRule="exact"/>
              <w:rPr>
                <w:sz w:val="20"/>
                <w:szCs w:val="20"/>
                <w:color w:val="auto"/>
              </w:rPr>
            </w:pPr>
            <w:r>
              <w:rPr>
                <w:rFonts w:ascii="Arial" w:cs="Arial" w:eastAsia="Arial" w:hAnsi="Arial"/>
                <w:sz w:val="14"/>
                <w:szCs w:val="14"/>
                <w:color w:val="auto"/>
              </w:rPr>
              <w:t>programs. This update is effective for annual periods beginning</w:t>
            </w:r>
          </w:p>
        </w:tc>
        <w:tc>
          <w:tcPr>
            <w:tcW w:w="1500" w:type="dxa"/>
            <w:vAlign w:val="bottom"/>
            <w:shd w:val="clear" w:color="auto" w:fill="F5F5F5"/>
          </w:tcPr>
          <w:p>
            <w:pPr>
              <w:spacing w:after="0"/>
              <w:rPr>
                <w:sz w:val="12"/>
                <w:szCs w:val="12"/>
                <w:color w:val="auto"/>
              </w:rPr>
            </w:pPr>
          </w:p>
        </w:tc>
        <w:tc>
          <w:tcPr>
            <w:tcW w:w="100" w:type="dxa"/>
            <w:vAlign w:val="bottom"/>
            <w:shd w:val="clear" w:color="auto" w:fill="F5F5F5"/>
          </w:tcPr>
          <w:p>
            <w:pPr>
              <w:spacing w:after="0"/>
              <w:rPr>
                <w:sz w:val="12"/>
                <w:szCs w:val="12"/>
                <w:color w:val="auto"/>
              </w:rPr>
            </w:pPr>
          </w:p>
        </w:tc>
        <w:tc>
          <w:tcPr>
            <w:tcW w:w="20" w:type="dxa"/>
            <w:vAlign w:val="bottom"/>
            <w:shd w:val="clear" w:color="auto" w:fill="F5F5F5"/>
          </w:tcPr>
          <w:p>
            <w:pPr>
              <w:spacing w:after="0"/>
              <w:rPr>
                <w:sz w:val="12"/>
                <w:szCs w:val="12"/>
                <w:color w:val="auto"/>
              </w:rPr>
            </w:pPr>
          </w:p>
        </w:tc>
        <w:tc>
          <w:tcPr>
            <w:tcW w:w="860" w:type="dxa"/>
            <w:vAlign w:val="bottom"/>
            <w:shd w:val="clear" w:color="auto" w:fill="F5F5F5"/>
          </w:tcPr>
          <w:p>
            <w:pPr>
              <w:spacing w:after="0"/>
              <w:rPr>
                <w:sz w:val="12"/>
                <w:szCs w:val="12"/>
                <w:color w:val="auto"/>
              </w:rPr>
            </w:pPr>
          </w:p>
        </w:tc>
        <w:tc>
          <w:tcPr>
            <w:tcW w:w="260" w:type="dxa"/>
            <w:vAlign w:val="bottom"/>
            <w:shd w:val="clear" w:color="auto" w:fill="F5F5F5"/>
          </w:tcPr>
          <w:p>
            <w:pPr>
              <w:spacing w:after="0"/>
              <w:rPr>
                <w:sz w:val="12"/>
                <w:szCs w:val="12"/>
                <w:color w:val="auto"/>
              </w:rPr>
            </w:pPr>
          </w:p>
        </w:tc>
        <w:tc>
          <w:tcPr>
            <w:tcW w:w="760" w:type="dxa"/>
            <w:vAlign w:val="bottom"/>
            <w:shd w:val="clear" w:color="auto" w:fill="F5F5F5"/>
          </w:tcPr>
          <w:p>
            <w:pPr>
              <w:spacing w:after="0"/>
              <w:rPr>
                <w:sz w:val="12"/>
                <w:szCs w:val="12"/>
                <w:color w:val="auto"/>
              </w:rPr>
            </w:pPr>
          </w:p>
        </w:tc>
        <w:tc>
          <w:tcPr>
            <w:tcW w:w="200" w:type="dxa"/>
            <w:vAlign w:val="bottom"/>
            <w:shd w:val="clear" w:color="auto" w:fill="F5F5F5"/>
          </w:tcPr>
          <w:p>
            <w:pPr>
              <w:spacing w:after="0"/>
              <w:rPr>
                <w:sz w:val="12"/>
                <w:szCs w:val="12"/>
                <w:color w:val="auto"/>
              </w:rPr>
            </w:pPr>
          </w:p>
        </w:tc>
        <w:tc>
          <w:tcPr>
            <w:tcW w:w="520" w:type="dxa"/>
            <w:vAlign w:val="bottom"/>
            <w:shd w:val="clear" w:color="auto" w:fill="F5F5F5"/>
          </w:tcPr>
          <w:p>
            <w:pPr>
              <w:spacing w:after="0"/>
              <w:rPr>
                <w:sz w:val="12"/>
                <w:szCs w:val="12"/>
                <w:color w:val="auto"/>
              </w:rPr>
            </w:pPr>
          </w:p>
        </w:tc>
        <w:tc>
          <w:tcPr>
            <w:tcW w:w="20" w:type="dxa"/>
            <w:vAlign w:val="bottom"/>
            <w:shd w:val="clear" w:color="auto" w:fill="F5F5F5"/>
          </w:tcPr>
          <w:p>
            <w:pPr>
              <w:spacing w:after="0"/>
              <w:rPr>
                <w:sz w:val="12"/>
                <w:szCs w:val="12"/>
                <w:color w:val="auto"/>
              </w:rPr>
            </w:pPr>
          </w:p>
        </w:tc>
        <w:tc>
          <w:tcPr>
            <w:tcW w:w="260" w:type="dxa"/>
            <w:vAlign w:val="bottom"/>
            <w:shd w:val="clear" w:color="auto" w:fill="F5F5F5"/>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F5F5F5"/>
          </w:tcPr>
          <w:p>
            <w:pPr>
              <w:spacing w:after="0"/>
              <w:rPr>
                <w:sz w:val="12"/>
                <w:szCs w:val="12"/>
                <w:color w:val="auto"/>
              </w:rPr>
            </w:pPr>
          </w:p>
        </w:tc>
        <w:tc>
          <w:tcPr>
            <w:tcW w:w="1200" w:type="dxa"/>
            <w:vAlign w:val="bottom"/>
            <w:shd w:val="clear" w:color="auto" w:fill="F5F5F5"/>
          </w:tcPr>
          <w:p>
            <w:pPr>
              <w:spacing w:after="0"/>
              <w:rPr>
                <w:sz w:val="12"/>
                <w:szCs w:val="12"/>
                <w:color w:val="auto"/>
              </w:rPr>
            </w:pPr>
          </w:p>
        </w:tc>
        <w:tc>
          <w:tcPr>
            <w:tcW w:w="480" w:type="dxa"/>
            <w:vAlign w:val="bottom"/>
            <w:shd w:val="clear" w:color="auto" w:fill="F5F5F5"/>
          </w:tcPr>
          <w:p>
            <w:pPr>
              <w:spacing w:after="0"/>
              <w:rPr>
                <w:sz w:val="12"/>
                <w:szCs w:val="12"/>
                <w:color w:val="auto"/>
              </w:rPr>
            </w:pPr>
          </w:p>
        </w:tc>
        <w:tc>
          <w:tcPr>
            <w:tcW w:w="420" w:type="dxa"/>
            <w:vAlign w:val="bottom"/>
            <w:shd w:val="clear" w:color="auto" w:fill="F5F5F5"/>
          </w:tcPr>
          <w:p>
            <w:pPr>
              <w:spacing w:after="0"/>
              <w:rPr>
                <w:sz w:val="12"/>
                <w:szCs w:val="12"/>
                <w:color w:val="auto"/>
              </w:rPr>
            </w:pPr>
          </w:p>
        </w:tc>
        <w:tc>
          <w:tcPr>
            <w:tcW w:w="120" w:type="dxa"/>
            <w:vAlign w:val="bottom"/>
            <w:shd w:val="clear" w:color="auto" w:fill="F5F5F5"/>
          </w:tcPr>
          <w:p>
            <w:pPr>
              <w:spacing w:after="0"/>
              <w:rPr>
                <w:sz w:val="12"/>
                <w:szCs w:val="12"/>
                <w:color w:val="auto"/>
              </w:rPr>
            </w:pPr>
          </w:p>
        </w:tc>
        <w:tc>
          <w:tcPr>
            <w:tcW w:w="4440" w:type="dxa"/>
            <w:vAlign w:val="bottom"/>
            <w:gridSpan w:val="2"/>
            <w:shd w:val="clear" w:color="auto" w:fill="F5F5F5"/>
          </w:tcPr>
          <w:p>
            <w:pPr>
              <w:ind w:left="20"/>
              <w:spacing w:after="0" w:line="149" w:lineRule="exact"/>
              <w:rPr>
                <w:sz w:val="20"/>
                <w:szCs w:val="20"/>
                <w:color w:val="auto"/>
              </w:rPr>
            </w:pPr>
            <w:r>
              <w:rPr>
                <w:rFonts w:ascii="Arial" w:cs="Arial" w:eastAsia="Arial" w:hAnsi="Arial"/>
                <w:sz w:val="14"/>
                <w:szCs w:val="14"/>
                <w:color w:val="auto"/>
              </w:rPr>
              <w:t>after December 15, 2022, and interim periods within those fiscal</w:t>
            </w:r>
          </w:p>
        </w:tc>
        <w:tc>
          <w:tcPr>
            <w:tcW w:w="1500" w:type="dxa"/>
            <w:vAlign w:val="bottom"/>
            <w:shd w:val="clear" w:color="auto" w:fill="F5F5F5"/>
          </w:tcPr>
          <w:p>
            <w:pPr>
              <w:spacing w:after="0"/>
              <w:rPr>
                <w:sz w:val="12"/>
                <w:szCs w:val="12"/>
                <w:color w:val="auto"/>
              </w:rPr>
            </w:pPr>
          </w:p>
        </w:tc>
        <w:tc>
          <w:tcPr>
            <w:tcW w:w="100" w:type="dxa"/>
            <w:vAlign w:val="bottom"/>
            <w:shd w:val="clear" w:color="auto" w:fill="F5F5F5"/>
          </w:tcPr>
          <w:p>
            <w:pPr>
              <w:spacing w:after="0"/>
              <w:rPr>
                <w:sz w:val="12"/>
                <w:szCs w:val="12"/>
                <w:color w:val="auto"/>
              </w:rPr>
            </w:pPr>
          </w:p>
        </w:tc>
        <w:tc>
          <w:tcPr>
            <w:tcW w:w="20" w:type="dxa"/>
            <w:vAlign w:val="bottom"/>
            <w:shd w:val="clear" w:color="auto" w:fill="F5F5F5"/>
          </w:tcPr>
          <w:p>
            <w:pPr>
              <w:spacing w:after="0"/>
              <w:rPr>
                <w:sz w:val="12"/>
                <w:szCs w:val="12"/>
                <w:color w:val="auto"/>
              </w:rPr>
            </w:pPr>
          </w:p>
        </w:tc>
        <w:tc>
          <w:tcPr>
            <w:tcW w:w="860" w:type="dxa"/>
            <w:vAlign w:val="bottom"/>
            <w:shd w:val="clear" w:color="auto" w:fill="F5F5F5"/>
          </w:tcPr>
          <w:p>
            <w:pPr>
              <w:spacing w:after="0"/>
              <w:rPr>
                <w:sz w:val="12"/>
                <w:szCs w:val="12"/>
                <w:color w:val="auto"/>
              </w:rPr>
            </w:pPr>
          </w:p>
        </w:tc>
        <w:tc>
          <w:tcPr>
            <w:tcW w:w="260" w:type="dxa"/>
            <w:vAlign w:val="bottom"/>
            <w:shd w:val="clear" w:color="auto" w:fill="F5F5F5"/>
          </w:tcPr>
          <w:p>
            <w:pPr>
              <w:spacing w:after="0"/>
              <w:rPr>
                <w:sz w:val="12"/>
                <w:szCs w:val="12"/>
                <w:color w:val="auto"/>
              </w:rPr>
            </w:pPr>
          </w:p>
        </w:tc>
        <w:tc>
          <w:tcPr>
            <w:tcW w:w="760" w:type="dxa"/>
            <w:vAlign w:val="bottom"/>
            <w:shd w:val="clear" w:color="auto" w:fill="F5F5F5"/>
          </w:tcPr>
          <w:p>
            <w:pPr>
              <w:spacing w:after="0"/>
              <w:rPr>
                <w:sz w:val="12"/>
                <w:szCs w:val="12"/>
                <w:color w:val="auto"/>
              </w:rPr>
            </w:pPr>
          </w:p>
        </w:tc>
        <w:tc>
          <w:tcPr>
            <w:tcW w:w="200" w:type="dxa"/>
            <w:vAlign w:val="bottom"/>
            <w:shd w:val="clear" w:color="auto" w:fill="F5F5F5"/>
          </w:tcPr>
          <w:p>
            <w:pPr>
              <w:spacing w:after="0"/>
              <w:rPr>
                <w:sz w:val="12"/>
                <w:szCs w:val="12"/>
                <w:color w:val="auto"/>
              </w:rPr>
            </w:pPr>
          </w:p>
        </w:tc>
        <w:tc>
          <w:tcPr>
            <w:tcW w:w="520" w:type="dxa"/>
            <w:vAlign w:val="bottom"/>
            <w:shd w:val="clear" w:color="auto" w:fill="F5F5F5"/>
          </w:tcPr>
          <w:p>
            <w:pPr>
              <w:spacing w:after="0"/>
              <w:rPr>
                <w:sz w:val="12"/>
                <w:szCs w:val="12"/>
                <w:color w:val="auto"/>
              </w:rPr>
            </w:pPr>
          </w:p>
        </w:tc>
        <w:tc>
          <w:tcPr>
            <w:tcW w:w="20" w:type="dxa"/>
            <w:vAlign w:val="bottom"/>
            <w:shd w:val="clear" w:color="auto" w:fill="F5F5F5"/>
          </w:tcPr>
          <w:p>
            <w:pPr>
              <w:spacing w:after="0"/>
              <w:rPr>
                <w:sz w:val="12"/>
                <w:szCs w:val="12"/>
                <w:color w:val="auto"/>
              </w:rPr>
            </w:pPr>
          </w:p>
        </w:tc>
        <w:tc>
          <w:tcPr>
            <w:tcW w:w="260" w:type="dxa"/>
            <w:vAlign w:val="bottom"/>
            <w:shd w:val="clear" w:color="auto" w:fill="F5F5F5"/>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shd w:val="clear" w:color="auto" w:fill="F5F5F5"/>
          </w:tcPr>
          <w:p>
            <w:pPr>
              <w:spacing w:after="0"/>
              <w:rPr>
                <w:sz w:val="12"/>
                <w:szCs w:val="12"/>
                <w:color w:val="auto"/>
              </w:rPr>
            </w:pPr>
          </w:p>
        </w:tc>
        <w:tc>
          <w:tcPr>
            <w:tcW w:w="1200" w:type="dxa"/>
            <w:vAlign w:val="bottom"/>
            <w:shd w:val="clear" w:color="auto" w:fill="F5F5F5"/>
          </w:tcPr>
          <w:p>
            <w:pPr>
              <w:spacing w:after="0"/>
              <w:rPr>
                <w:sz w:val="12"/>
                <w:szCs w:val="12"/>
                <w:color w:val="auto"/>
              </w:rPr>
            </w:pPr>
          </w:p>
        </w:tc>
        <w:tc>
          <w:tcPr>
            <w:tcW w:w="480" w:type="dxa"/>
            <w:vAlign w:val="bottom"/>
            <w:shd w:val="clear" w:color="auto" w:fill="F5F5F5"/>
          </w:tcPr>
          <w:p>
            <w:pPr>
              <w:spacing w:after="0"/>
              <w:rPr>
                <w:sz w:val="12"/>
                <w:szCs w:val="12"/>
                <w:color w:val="auto"/>
              </w:rPr>
            </w:pPr>
          </w:p>
        </w:tc>
        <w:tc>
          <w:tcPr>
            <w:tcW w:w="420" w:type="dxa"/>
            <w:vAlign w:val="bottom"/>
            <w:shd w:val="clear" w:color="auto" w:fill="F5F5F5"/>
          </w:tcPr>
          <w:p>
            <w:pPr>
              <w:spacing w:after="0"/>
              <w:rPr>
                <w:sz w:val="12"/>
                <w:szCs w:val="12"/>
                <w:color w:val="auto"/>
              </w:rPr>
            </w:pPr>
          </w:p>
        </w:tc>
        <w:tc>
          <w:tcPr>
            <w:tcW w:w="120" w:type="dxa"/>
            <w:vAlign w:val="bottom"/>
            <w:shd w:val="clear" w:color="auto" w:fill="F5F5F5"/>
          </w:tcPr>
          <w:p>
            <w:pPr>
              <w:spacing w:after="0"/>
              <w:rPr>
                <w:sz w:val="12"/>
                <w:szCs w:val="12"/>
                <w:color w:val="auto"/>
              </w:rPr>
            </w:pPr>
          </w:p>
        </w:tc>
        <w:tc>
          <w:tcPr>
            <w:tcW w:w="4440" w:type="dxa"/>
            <w:vAlign w:val="bottom"/>
            <w:gridSpan w:val="2"/>
            <w:shd w:val="clear" w:color="auto" w:fill="F5F5F5"/>
          </w:tcPr>
          <w:p>
            <w:pPr>
              <w:ind w:left="20"/>
              <w:spacing w:after="0" w:line="145" w:lineRule="exact"/>
              <w:rPr>
                <w:sz w:val="20"/>
                <w:szCs w:val="20"/>
                <w:color w:val="auto"/>
              </w:rPr>
            </w:pPr>
            <w:r>
              <w:rPr>
                <w:rFonts w:ascii="Arial" w:cs="Arial" w:eastAsia="Arial" w:hAnsi="Arial"/>
                <w:sz w:val="14"/>
                <w:szCs w:val="14"/>
                <w:color w:val="auto"/>
              </w:rPr>
              <w:t>years,  except  for  the  requirement  to  disclose  roll-forward</w:t>
            </w:r>
          </w:p>
        </w:tc>
        <w:tc>
          <w:tcPr>
            <w:tcW w:w="1500" w:type="dxa"/>
            <w:vAlign w:val="bottom"/>
            <w:shd w:val="clear" w:color="auto" w:fill="F5F5F5"/>
          </w:tcPr>
          <w:p>
            <w:pPr>
              <w:spacing w:after="0"/>
              <w:rPr>
                <w:sz w:val="12"/>
                <w:szCs w:val="12"/>
                <w:color w:val="auto"/>
              </w:rPr>
            </w:pPr>
          </w:p>
        </w:tc>
        <w:tc>
          <w:tcPr>
            <w:tcW w:w="100" w:type="dxa"/>
            <w:vAlign w:val="bottom"/>
            <w:shd w:val="clear" w:color="auto" w:fill="F5F5F5"/>
          </w:tcPr>
          <w:p>
            <w:pPr>
              <w:spacing w:after="0"/>
              <w:rPr>
                <w:sz w:val="12"/>
                <w:szCs w:val="12"/>
                <w:color w:val="auto"/>
              </w:rPr>
            </w:pPr>
          </w:p>
        </w:tc>
        <w:tc>
          <w:tcPr>
            <w:tcW w:w="20" w:type="dxa"/>
            <w:vAlign w:val="bottom"/>
            <w:shd w:val="clear" w:color="auto" w:fill="F5F5F5"/>
          </w:tcPr>
          <w:p>
            <w:pPr>
              <w:spacing w:after="0"/>
              <w:rPr>
                <w:sz w:val="12"/>
                <w:szCs w:val="12"/>
                <w:color w:val="auto"/>
              </w:rPr>
            </w:pPr>
          </w:p>
        </w:tc>
        <w:tc>
          <w:tcPr>
            <w:tcW w:w="860" w:type="dxa"/>
            <w:vAlign w:val="bottom"/>
            <w:shd w:val="clear" w:color="auto" w:fill="F5F5F5"/>
          </w:tcPr>
          <w:p>
            <w:pPr>
              <w:spacing w:after="0"/>
              <w:rPr>
                <w:sz w:val="12"/>
                <w:szCs w:val="12"/>
                <w:color w:val="auto"/>
              </w:rPr>
            </w:pPr>
          </w:p>
        </w:tc>
        <w:tc>
          <w:tcPr>
            <w:tcW w:w="260" w:type="dxa"/>
            <w:vAlign w:val="bottom"/>
            <w:shd w:val="clear" w:color="auto" w:fill="F5F5F5"/>
          </w:tcPr>
          <w:p>
            <w:pPr>
              <w:spacing w:after="0"/>
              <w:rPr>
                <w:sz w:val="12"/>
                <w:szCs w:val="12"/>
                <w:color w:val="auto"/>
              </w:rPr>
            </w:pPr>
          </w:p>
        </w:tc>
        <w:tc>
          <w:tcPr>
            <w:tcW w:w="760" w:type="dxa"/>
            <w:vAlign w:val="bottom"/>
            <w:shd w:val="clear" w:color="auto" w:fill="F5F5F5"/>
          </w:tcPr>
          <w:p>
            <w:pPr>
              <w:spacing w:after="0"/>
              <w:rPr>
                <w:sz w:val="12"/>
                <w:szCs w:val="12"/>
                <w:color w:val="auto"/>
              </w:rPr>
            </w:pPr>
          </w:p>
        </w:tc>
        <w:tc>
          <w:tcPr>
            <w:tcW w:w="200" w:type="dxa"/>
            <w:vAlign w:val="bottom"/>
            <w:shd w:val="clear" w:color="auto" w:fill="F5F5F5"/>
          </w:tcPr>
          <w:p>
            <w:pPr>
              <w:spacing w:after="0"/>
              <w:rPr>
                <w:sz w:val="12"/>
                <w:szCs w:val="12"/>
                <w:color w:val="auto"/>
              </w:rPr>
            </w:pPr>
          </w:p>
        </w:tc>
        <w:tc>
          <w:tcPr>
            <w:tcW w:w="520" w:type="dxa"/>
            <w:vAlign w:val="bottom"/>
            <w:shd w:val="clear" w:color="auto" w:fill="F5F5F5"/>
          </w:tcPr>
          <w:p>
            <w:pPr>
              <w:spacing w:after="0"/>
              <w:rPr>
                <w:sz w:val="12"/>
                <w:szCs w:val="12"/>
                <w:color w:val="auto"/>
              </w:rPr>
            </w:pPr>
          </w:p>
        </w:tc>
        <w:tc>
          <w:tcPr>
            <w:tcW w:w="20" w:type="dxa"/>
            <w:vAlign w:val="bottom"/>
            <w:shd w:val="clear" w:color="auto" w:fill="F5F5F5"/>
          </w:tcPr>
          <w:p>
            <w:pPr>
              <w:spacing w:after="0"/>
              <w:rPr>
                <w:sz w:val="12"/>
                <w:szCs w:val="12"/>
                <w:color w:val="auto"/>
              </w:rPr>
            </w:pPr>
          </w:p>
        </w:tc>
        <w:tc>
          <w:tcPr>
            <w:tcW w:w="260" w:type="dxa"/>
            <w:vAlign w:val="bottom"/>
            <w:shd w:val="clear" w:color="auto" w:fill="F5F5F5"/>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F5F5F5"/>
          </w:tcPr>
          <w:p>
            <w:pPr>
              <w:spacing w:after="0"/>
              <w:rPr>
                <w:sz w:val="12"/>
                <w:szCs w:val="12"/>
                <w:color w:val="auto"/>
              </w:rPr>
            </w:pPr>
          </w:p>
        </w:tc>
        <w:tc>
          <w:tcPr>
            <w:tcW w:w="1200" w:type="dxa"/>
            <w:vAlign w:val="bottom"/>
            <w:shd w:val="clear" w:color="auto" w:fill="F5F5F5"/>
          </w:tcPr>
          <w:p>
            <w:pPr>
              <w:spacing w:after="0"/>
              <w:rPr>
                <w:sz w:val="12"/>
                <w:szCs w:val="12"/>
                <w:color w:val="auto"/>
              </w:rPr>
            </w:pPr>
          </w:p>
        </w:tc>
        <w:tc>
          <w:tcPr>
            <w:tcW w:w="480" w:type="dxa"/>
            <w:vAlign w:val="bottom"/>
            <w:shd w:val="clear" w:color="auto" w:fill="F5F5F5"/>
          </w:tcPr>
          <w:p>
            <w:pPr>
              <w:spacing w:after="0"/>
              <w:rPr>
                <w:sz w:val="12"/>
                <w:szCs w:val="12"/>
                <w:color w:val="auto"/>
              </w:rPr>
            </w:pPr>
          </w:p>
        </w:tc>
        <w:tc>
          <w:tcPr>
            <w:tcW w:w="420" w:type="dxa"/>
            <w:vAlign w:val="bottom"/>
            <w:shd w:val="clear" w:color="auto" w:fill="F5F5F5"/>
          </w:tcPr>
          <w:p>
            <w:pPr>
              <w:spacing w:after="0"/>
              <w:rPr>
                <w:sz w:val="12"/>
                <w:szCs w:val="12"/>
                <w:color w:val="auto"/>
              </w:rPr>
            </w:pPr>
          </w:p>
        </w:tc>
        <w:tc>
          <w:tcPr>
            <w:tcW w:w="120" w:type="dxa"/>
            <w:vAlign w:val="bottom"/>
            <w:shd w:val="clear" w:color="auto" w:fill="F5F5F5"/>
          </w:tcPr>
          <w:p>
            <w:pPr>
              <w:spacing w:after="0"/>
              <w:rPr>
                <w:sz w:val="12"/>
                <w:szCs w:val="12"/>
                <w:color w:val="auto"/>
              </w:rPr>
            </w:pPr>
          </w:p>
        </w:tc>
        <w:tc>
          <w:tcPr>
            <w:tcW w:w="4440" w:type="dxa"/>
            <w:vAlign w:val="bottom"/>
            <w:gridSpan w:val="2"/>
            <w:shd w:val="clear" w:color="auto" w:fill="F5F5F5"/>
          </w:tcPr>
          <w:p>
            <w:pPr>
              <w:ind w:left="20"/>
              <w:spacing w:after="0" w:line="139" w:lineRule="exact"/>
              <w:rPr>
                <w:sz w:val="20"/>
                <w:szCs w:val="20"/>
                <w:color w:val="auto"/>
              </w:rPr>
            </w:pPr>
            <w:r>
              <w:rPr>
                <w:rFonts w:ascii="Arial" w:cs="Arial" w:eastAsia="Arial" w:hAnsi="Arial"/>
                <w:sz w:val="14"/>
                <w:szCs w:val="14"/>
                <w:color w:val="auto"/>
              </w:rPr>
              <w:t>information,  which  is  effective  for  fiscal  years  beginning  after</w:t>
            </w:r>
          </w:p>
        </w:tc>
        <w:tc>
          <w:tcPr>
            <w:tcW w:w="1500" w:type="dxa"/>
            <w:vAlign w:val="bottom"/>
            <w:shd w:val="clear" w:color="auto" w:fill="F5F5F5"/>
          </w:tcPr>
          <w:p>
            <w:pPr>
              <w:spacing w:after="0"/>
              <w:rPr>
                <w:sz w:val="12"/>
                <w:szCs w:val="12"/>
                <w:color w:val="auto"/>
              </w:rPr>
            </w:pPr>
          </w:p>
        </w:tc>
        <w:tc>
          <w:tcPr>
            <w:tcW w:w="100" w:type="dxa"/>
            <w:vAlign w:val="bottom"/>
            <w:shd w:val="clear" w:color="auto" w:fill="F5F5F5"/>
          </w:tcPr>
          <w:p>
            <w:pPr>
              <w:spacing w:after="0"/>
              <w:rPr>
                <w:sz w:val="12"/>
                <w:szCs w:val="12"/>
                <w:color w:val="auto"/>
              </w:rPr>
            </w:pPr>
          </w:p>
        </w:tc>
        <w:tc>
          <w:tcPr>
            <w:tcW w:w="20" w:type="dxa"/>
            <w:vAlign w:val="bottom"/>
            <w:shd w:val="clear" w:color="auto" w:fill="F5F5F5"/>
          </w:tcPr>
          <w:p>
            <w:pPr>
              <w:spacing w:after="0"/>
              <w:rPr>
                <w:sz w:val="12"/>
                <w:szCs w:val="12"/>
                <w:color w:val="auto"/>
              </w:rPr>
            </w:pPr>
          </w:p>
        </w:tc>
        <w:tc>
          <w:tcPr>
            <w:tcW w:w="860" w:type="dxa"/>
            <w:vAlign w:val="bottom"/>
            <w:shd w:val="clear" w:color="auto" w:fill="F5F5F5"/>
          </w:tcPr>
          <w:p>
            <w:pPr>
              <w:spacing w:after="0"/>
              <w:rPr>
                <w:sz w:val="12"/>
                <w:szCs w:val="12"/>
                <w:color w:val="auto"/>
              </w:rPr>
            </w:pPr>
          </w:p>
        </w:tc>
        <w:tc>
          <w:tcPr>
            <w:tcW w:w="260" w:type="dxa"/>
            <w:vAlign w:val="bottom"/>
            <w:shd w:val="clear" w:color="auto" w:fill="F5F5F5"/>
          </w:tcPr>
          <w:p>
            <w:pPr>
              <w:spacing w:after="0"/>
              <w:rPr>
                <w:sz w:val="12"/>
                <w:szCs w:val="12"/>
                <w:color w:val="auto"/>
              </w:rPr>
            </w:pPr>
          </w:p>
        </w:tc>
        <w:tc>
          <w:tcPr>
            <w:tcW w:w="760" w:type="dxa"/>
            <w:vAlign w:val="bottom"/>
            <w:shd w:val="clear" w:color="auto" w:fill="F5F5F5"/>
          </w:tcPr>
          <w:p>
            <w:pPr>
              <w:spacing w:after="0"/>
              <w:rPr>
                <w:sz w:val="12"/>
                <w:szCs w:val="12"/>
                <w:color w:val="auto"/>
              </w:rPr>
            </w:pPr>
          </w:p>
        </w:tc>
        <w:tc>
          <w:tcPr>
            <w:tcW w:w="200" w:type="dxa"/>
            <w:vAlign w:val="bottom"/>
            <w:shd w:val="clear" w:color="auto" w:fill="F5F5F5"/>
          </w:tcPr>
          <w:p>
            <w:pPr>
              <w:spacing w:after="0"/>
              <w:rPr>
                <w:sz w:val="12"/>
                <w:szCs w:val="12"/>
                <w:color w:val="auto"/>
              </w:rPr>
            </w:pPr>
          </w:p>
        </w:tc>
        <w:tc>
          <w:tcPr>
            <w:tcW w:w="520" w:type="dxa"/>
            <w:vAlign w:val="bottom"/>
            <w:shd w:val="clear" w:color="auto" w:fill="F5F5F5"/>
          </w:tcPr>
          <w:p>
            <w:pPr>
              <w:spacing w:after="0"/>
              <w:rPr>
                <w:sz w:val="12"/>
                <w:szCs w:val="12"/>
                <w:color w:val="auto"/>
              </w:rPr>
            </w:pPr>
          </w:p>
        </w:tc>
        <w:tc>
          <w:tcPr>
            <w:tcW w:w="20" w:type="dxa"/>
            <w:vAlign w:val="bottom"/>
            <w:shd w:val="clear" w:color="auto" w:fill="F5F5F5"/>
          </w:tcPr>
          <w:p>
            <w:pPr>
              <w:spacing w:after="0"/>
              <w:rPr>
                <w:sz w:val="12"/>
                <w:szCs w:val="12"/>
                <w:color w:val="auto"/>
              </w:rPr>
            </w:pPr>
          </w:p>
        </w:tc>
        <w:tc>
          <w:tcPr>
            <w:tcW w:w="260" w:type="dxa"/>
            <w:vAlign w:val="bottom"/>
            <w:shd w:val="clear" w:color="auto" w:fill="F5F5F5"/>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shd w:val="clear" w:color="auto" w:fill="F5F5F5"/>
          </w:tcPr>
          <w:p>
            <w:pPr>
              <w:spacing w:after="0"/>
              <w:rPr>
                <w:sz w:val="17"/>
                <w:szCs w:val="17"/>
                <w:color w:val="auto"/>
              </w:rPr>
            </w:pPr>
          </w:p>
        </w:tc>
        <w:tc>
          <w:tcPr>
            <w:tcW w:w="1200" w:type="dxa"/>
            <w:vAlign w:val="bottom"/>
            <w:shd w:val="clear" w:color="auto" w:fill="F5F5F5"/>
          </w:tcPr>
          <w:p>
            <w:pPr>
              <w:spacing w:after="0"/>
              <w:rPr>
                <w:sz w:val="17"/>
                <w:szCs w:val="17"/>
                <w:color w:val="auto"/>
              </w:rPr>
            </w:pPr>
          </w:p>
        </w:tc>
        <w:tc>
          <w:tcPr>
            <w:tcW w:w="480" w:type="dxa"/>
            <w:vAlign w:val="bottom"/>
            <w:shd w:val="clear" w:color="auto" w:fill="F5F5F5"/>
          </w:tcPr>
          <w:p>
            <w:pPr>
              <w:spacing w:after="0"/>
              <w:rPr>
                <w:sz w:val="17"/>
                <w:szCs w:val="17"/>
                <w:color w:val="auto"/>
              </w:rPr>
            </w:pPr>
          </w:p>
        </w:tc>
        <w:tc>
          <w:tcPr>
            <w:tcW w:w="420" w:type="dxa"/>
            <w:vAlign w:val="bottom"/>
            <w:shd w:val="clear" w:color="auto" w:fill="F5F5F5"/>
          </w:tcPr>
          <w:p>
            <w:pPr>
              <w:spacing w:after="0"/>
              <w:rPr>
                <w:sz w:val="17"/>
                <w:szCs w:val="17"/>
                <w:color w:val="auto"/>
              </w:rPr>
            </w:pPr>
          </w:p>
        </w:tc>
        <w:tc>
          <w:tcPr>
            <w:tcW w:w="120" w:type="dxa"/>
            <w:vAlign w:val="bottom"/>
            <w:shd w:val="clear" w:color="auto" w:fill="F5F5F5"/>
          </w:tcPr>
          <w:p>
            <w:pPr>
              <w:spacing w:after="0"/>
              <w:rPr>
                <w:sz w:val="17"/>
                <w:szCs w:val="17"/>
                <w:color w:val="auto"/>
              </w:rPr>
            </w:pPr>
          </w:p>
        </w:tc>
        <w:tc>
          <w:tcPr>
            <w:tcW w:w="4440" w:type="dxa"/>
            <w:vAlign w:val="bottom"/>
            <w:gridSpan w:val="2"/>
            <w:shd w:val="clear" w:color="auto" w:fill="F5F5F5"/>
          </w:tcPr>
          <w:p>
            <w:pPr>
              <w:ind w:left="20"/>
              <w:spacing w:after="0"/>
              <w:rPr>
                <w:sz w:val="20"/>
                <w:szCs w:val="20"/>
                <w:color w:val="auto"/>
              </w:rPr>
            </w:pPr>
            <w:r>
              <w:rPr>
                <w:rFonts w:ascii="Arial" w:cs="Arial" w:eastAsia="Arial" w:hAnsi="Arial"/>
                <w:sz w:val="14"/>
                <w:szCs w:val="14"/>
                <w:color w:val="auto"/>
              </w:rPr>
              <w:t>December 15, 2023.</w:t>
            </w:r>
          </w:p>
        </w:tc>
        <w:tc>
          <w:tcPr>
            <w:tcW w:w="1500" w:type="dxa"/>
            <w:vAlign w:val="bottom"/>
            <w:shd w:val="clear" w:color="auto" w:fill="F5F5F5"/>
          </w:tcPr>
          <w:p>
            <w:pPr>
              <w:spacing w:after="0"/>
              <w:rPr>
                <w:sz w:val="17"/>
                <w:szCs w:val="17"/>
                <w:color w:val="auto"/>
              </w:rPr>
            </w:pPr>
          </w:p>
        </w:tc>
        <w:tc>
          <w:tcPr>
            <w:tcW w:w="100" w:type="dxa"/>
            <w:vAlign w:val="bottom"/>
            <w:shd w:val="clear" w:color="auto" w:fill="F5F5F5"/>
          </w:tcPr>
          <w:p>
            <w:pPr>
              <w:spacing w:after="0"/>
              <w:rPr>
                <w:sz w:val="17"/>
                <w:szCs w:val="17"/>
                <w:color w:val="auto"/>
              </w:rPr>
            </w:pPr>
          </w:p>
        </w:tc>
        <w:tc>
          <w:tcPr>
            <w:tcW w:w="20" w:type="dxa"/>
            <w:vAlign w:val="bottom"/>
            <w:shd w:val="clear" w:color="auto" w:fill="F5F5F5"/>
          </w:tcPr>
          <w:p>
            <w:pPr>
              <w:spacing w:after="0"/>
              <w:rPr>
                <w:sz w:val="17"/>
                <w:szCs w:val="17"/>
                <w:color w:val="auto"/>
              </w:rPr>
            </w:pPr>
          </w:p>
        </w:tc>
        <w:tc>
          <w:tcPr>
            <w:tcW w:w="860" w:type="dxa"/>
            <w:vAlign w:val="bottom"/>
            <w:shd w:val="clear" w:color="auto" w:fill="F5F5F5"/>
          </w:tcPr>
          <w:p>
            <w:pPr>
              <w:spacing w:after="0"/>
              <w:rPr>
                <w:sz w:val="17"/>
                <w:szCs w:val="17"/>
                <w:color w:val="auto"/>
              </w:rPr>
            </w:pPr>
          </w:p>
        </w:tc>
        <w:tc>
          <w:tcPr>
            <w:tcW w:w="260" w:type="dxa"/>
            <w:vAlign w:val="bottom"/>
            <w:shd w:val="clear" w:color="auto" w:fill="F5F5F5"/>
          </w:tcPr>
          <w:p>
            <w:pPr>
              <w:spacing w:after="0"/>
              <w:rPr>
                <w:sz w:val="17"/>
                <w:szCs w:val="17"/>
                <w:color w:val="auto"/>
              </w:rPr>
            </w:pPr>
          </w:p>
        </w:tc>
        <w:tc>
          <w:tcPr>
            <w:tcW w:w="760" w:type="dxa"/>
            <w:vAlign w:val="bottom"/>
            <w:shd w:val="clear" w:color="auto" w:fill="F5F5F5"/>
          </w:tcPr>
          <w:p>
            <w:pPr>
              <w:spacing w:after="0"/>
              <w:rPr>
                <w:sz w:val="17"/>
                <w:szCs w:val="17"/>
                <w:color w:val="auto"/>
              </w:rPr>
            </w:pPr>
          </w:p>
        </w:tc>
        <w:tc>
          <w:tcPr>
            <w:tcW w:w="200" w:type="dxa"/>
            <w:vAlign w:val="bottom"/>
            <w:shd w:val="clear" w:color="auto" w:fill="F5F5F5"/>
          </w:tcPr>
          <w:p>
            <w:pPr>
              <w:spacing w:after="0"/>
              <w:rPr>
                <w:sz w:val="17"/>
                <w:szCs w:val="17"/>
                <w:color w:val="auto"/>
              </w:rPr>
            </w:pPr>
          </w:p>
        </w:tc>
        <w:tc>
          <w:tcPr>
            <w:tcW w:w="520" w:type="dxa"/>
            <w:vAlign w:val="bottom"/>
            <w:shd w:val="clear" w:color="auto" w:fill="F5F5F5"/>
          </w:tcPr>
          <w:p>
            <w:pPr>
              <w:spacing w:after="0"/>
              <w:rPr>
                <w:sz w:val="17"/>
                <w:szCs w:val="17"/>
                <w:color w:val="auto"/>
              </w:rPr>
            </w:pPr>
          </w:p>
        </w:tc>
        <w:tc>
          <w:tcPr>
            <w:tcW w:w="20" w:type="dxa"/>
            <w:vAlign w:val="bottom"/>
            <w:shd w:val="clear" w:color="auto" w:fill="F5F5F5"/>
          </w:tcPr>
          <w:p>
            <w:pPr>
              <w:spacing w:after="0"/>
              <w:rPr>
                <w:sz w:val="17"/>
                <w:szCs w:val="17"/>
                <w:color w:val="auto"/>
              </w:rPr>
            </w:pPr>
          </w:p>
        </w:tc>
        <w:tc>
          <w:tcPr>
            <w:tcW w:w="260" w:type="dxa"/>
            <w:vAlign w:val="bottom"/>
            <w:shd w:val="clear" w:color="auto" w:fill="F5F5F5"/>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220" w:type="dxa"/>
            <w:vAlign w:val="bottom"/>
            <w:gridSpan w:val="4"/>
          </w:tcPr>
          <w:p>
            <w:pPr>
              <w:spacing w:after="0" w:line="153" w:lineRule="exact"/>
              <w:rPr>
                <w:sz w:val="20"/>
                <w:szCs w:val="20"/>
                <w:color w:val="auto"/>
              </w:rPr>
            </w:pPr>
            <w:r>
              <w:rPr>
                <w:rFonts w:ascii="Arial" w:cs="Arial" w:eastAsia="Arial" w:hAnsi="Arial"/>
                <w:sz w:val="14"/>
                <w:szCs w:val="14"/>
                <w:color w:val="auto"/>
              </w:rPr>
              <w:t>ASU 2023-07, Segment</w:t>
            </w:r>
          </w:p>
        </w:tc>
        <w:tc>
          <w:tcPr>
            <w:tcW w:w="444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The update modifies the disclosure/presentation requirements of</w:t>
            </w:r>
          </w:p>
        </w:tc>
        <w:tc>
          <w:tcPr>
            <w:tcW w:w="160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February 1, 2025</w:t>
            </w:r>
          </w:p>
        </w:tc>
        <w:tc>
          <w:tcPr>
            <w:tcW w:w="20" w:type="dxa"/>
            <w:vAlign w:val="bottom"/>
          </w:tcPr>
          <w:p>
            <w:pPr>
              <w:spacing w:after="0"/>
              <w:rPr>
                <w:sz w:val="13"/>
                <w:szCs w:val="13"/>
                <w:color w:val="auto"/>
              </w:rPr>
            </w:pPr>
          </w:p>
        </w:tc>
        <w:tc>
          <w:tcPr>
            <w:tcW w:w="2880" w:type="dxa"/>
            <w:vAlign w:val="bottom"/>
            <w:gridSpan w:val="7"/>
          </w:tcPr>
          <w:p>
            <w:pPr>
              <w:spacing w:after="0" w:line="153" w:lineRule="exact"/>
              <w:rPr>
                <w:sz w:val="20"/>
                <w:szCs w:val="20"/>
                <w:color w:val="auto"/>
              </w:rPr>
            </w:pPr>
            <w:r>
              <w:rPr>
                <w:rFonts w:ascii="Arial" w:cs="Arial" w:eastAsia="Arial" w:hAnsi="Arial"/>
                <w:sz w:val="14"/>
                <w:szCs w:val="14"/>
                <w:color w:val="auto"/>
              </w:rPr>
              <w:t>The Company adopted this guidance by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gridSpan w:val="4"/>
          </w:tcPr>
          <w:p>
            <w:pPr>
              <w:spacing w:after="0" w:line="149" w:lineRule="exact"/>
              <w:rPr>
                <w:sz w:val="20"/>
                <w:szCs w:val="20"/>
                <w:color w:val="auto"/>
              </w:rPr>
            </w:pPr>
            <w:r>
              <w:rPr>
                <w:rFonts w:ascii="Arial" w:cs="Arial" w:eastAsia="Arial" w:hAnsi="Arial"/>
                <w:sz w:val="14"/>
                <w:szCs w:val="14"/>
                <w:color w:val="auto"/>
              </w:rPr>
              <w:t>Reporting (Topic 280):</w:t>
            </w:r>
          </w:p>
        </w:tc>
        <w:tc>
          <w:tcPr>
            <w:tcW w:w="4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reportable segments. The amendments in the update require the</w:t>
            </w: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80" w:type="dxa"/>
            <w:vAlign w:val="bottom"/>
            <w:gridSpan w:val="7"/>
          </w:tcPr>
          <w:p>
            <w:pPr>
              <w:spacing w:after="0" w:line="149" w:lineRule="exact"/>
              <w:rPr>
                <w:sz w:val="20"/>
                <w:szCs w:val="20"/>
                <w:color w:val="auto"/>
              </w:rPr>
            </w:pPr>
            <w:r>
              <w:rPr>
                <w:rFonts w:ascii="Arial" w:cs="Arial" w:eastAsia="Arial" w:hAnsi="Arial"/>
                <w:sz w:val="14"/>
                <w:szCs w:val="14"/>
                <w:color w:val="auto"/>
              </w:rPr>
              <w:t>enhancing segment reporting footnote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20" w:type="dxa"/>
            <w:vAlign w:val="bottom"/>
            <w:gridSpan w:val="4"/>
          </w:tcPr>
          <w:p>
            <w:pPr>
              <w:spacing w:after="0" w:line="145" w:lineRule="exact"/>
              <w:rPr>
                <w:sz w:val="20"/>
                <w:szCs w:val="20"/>
                <w:color w:val="auto"/>
              </w:rPr>
            </w:pPr>
            <w:r>
              <w:rPr>
                <w:rFonts w:ascii="Arial" w:cs="Arial" w:eastAsia="Arial" w:hAnsi="Arial"/>
                <w:sz w:val="14"/>
                <w:szCs w:val="14"/>
                <w:color w:val="auto"/>
              </w:rPr>
              <w:t>Improvements to Reportable</w:t>
            </w:r>
          </w:p>
        </w:tc>
        <w:tc>
          <w:tcPr>
            <w:tcW w:w="4440" w:type="dxa"/>
            <w:vAlign w:val="bottom"/>
            <w:gridSpan w:val="2"/>
          </w:tcPr>
          <w:p>
            <w:pPr>
              <w:ind w:left="20"/>
              <w:spacing w:after="0" w:line="145" w:lineRule="exact"/>
              <w:rPr>
                <w:sz w:val="20"/>
                <w:szCs w:val="20"/>
                <w:color w:val="auto"/>
              </w:rPr>
            </w:pPr>
            <w:r>
              <w:rPr>
                <w:rFonts w:ascii="Arial" w:cs="Arial" w:eastAsia="Arial" w:hAnsi="Arial"/>
                <w:sz w:val="14"/>
                <w:szCs w:val="14"/>
                <w:color w:val="auto"/>
              </w:rPr>
              <w:t>disclosure  of  significant  segment  expenses  that  are  regularly</w:t>
            </w: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80" w:type="dxa"/>
            <w:vAlign w:val="bottom"/>
            <w:gridSpan w:val="7"/>
          </w:tcPr>
          <w:p>
            <w:pPr>
              <w:spacing w:after="0" w:line="145" w:lineRule="exact"/>
              <w:rPr>
                <w:sz w:val="20"/>
                <w:szCs w:val="20"/>
                <w:color w:val="auto"/>
              </w:rPr>
            </w:pPr>
            <w:r>
              <w:rPr>
                <w:rFonts w:ascii="Arial" w:cs="Arial" w:eastAsia="Arial" w:hAnsi="Arial"/>
                <w:sz w:val="14"/>
                <w:szCs w:val="14"/>
                <w:color w:val="auto"/>
              </w:rPr>
              <w:t>disclosures to include significant segment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gridSpan w:val="4"/>
          </w:tcPr>
          <w:p>
            <w:pPr>
              <w:spacing w:after="0" w:line="149" w:lineRule="exact"/>
              <w:rPr>
                <w:sz w:val="20"/>
                <w:szCs w:val="20"/>
                <w:color w:val="auto"/>
              </w:rPr>
            </w:pPr>
            <w:r>
              <w:rPr>
                <w:rFonts w:ascii="Arial" w:cs="Arial" w:eastAsia="Arial" w:hAnsi="Arial"/>
                <w:sz w:val="14"/>
                <w:szCs w:val="14"/>
                <w:color w:val="auto"/>
              </w:rPr>
              <w:t>Segment Disclosures</w:t>
            </w:r>
          </w:p>
        </w:tc>
        <w:tc>
          <w:tcPr>
            <w:tcW w:w="4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provided  to  the  chief  operating  decision  maker  (CODM)  and</w:t>
            </w: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80" w:type="dxa"/>
            <w:vAlign w:val="bottom"/>
            <w:gridSpan w:val="7"/>
          </w:tcPr>
          <w:p>
            <w:pPr>
              <w:spacing w:after="0" w:line="149" w:lineRule="exact"/>
              <w:rPr>
                <w:sz w:val="20"/>
                <w:szCs w:val="20"/>
                <w:color w:val="auto"/>
              </w:rPr>
            </w:pPr>
            <w:r>
              <w:rPr>
                <w:rFonts w:ascii="Arial" w:cs="Arial" w:eastAsia="Arial" w:hAnsi="Arial"/>
                <w:sz w:val="14"/>
                <w:szCs w:val="14"/>
                <w:color w:val="auto"/>
              </w:rPr>
              <w:t>expenses. Refer to Note 17, “</w:t>
            </w:r>
            <w:r>
              <w:rPr>
                <w:rFonts w:ascii="Arial" w:cs="Arial" w:eastAsia="Arial" w:hAnsi="Arial"/>
                <w:sz w:val="14"/>
                <w:szCs w:val="14"/>
                <w:i w:val="1"/>
                <w:iCs w:val="1"/>
                <w:color w:val="0000FF"/>
              </w:rPr>
              <w:t>SEGMENT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40" w:type="dxa"/>
            <w:vAlign w:val="bottom"/>
            <w:gridSpan w:val="2"/>
          </w:tcPr>
          <w:p>
            <w:pPr>
              <w:ind w:left="20"/>
              <w:spacing w:after="0" w:line="129" w:lineRule="exact"/>
              <w:rPr>
                <w:sz w:val="20"/>
                <w:szCs w:val="20"/>
                <w:color w:val="auto"/>
              </w:rPr>
            </w:pPr>
            <w:r>
              <w:rPr>
                <w:rFonts w:ascii="Arial" w:cs="Arial" w:eastAsia="Arial" w:hAnsi="Arial"/>
                <w:sz w:val="14"/>
                <w:szCs w:val="14"/>
                <w:color w:val="auto"/>
              </w:rPr>
              <w:t>included within each reported measure of segment profit and loss.</w:t>
            </w: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80" w:type="dxa"/>
            <w:vAlign w:val="bottom"/>
            <w:gridSpan w:val="3"/>
          </w:tcPr>
          <w:p>
            <w:pPr>
              <w:spacing w:after="0" w:line="129" w:lineRule="exact"/>
              <w:rPr>
                <w:sz w:val="20"/>
                <w:szCs w:val="20"/>
                <w:color w:val="auto"/>
              </w:rPr>
            </w:pPr>
            <w:r>
              <w:rPr>
                <w:rFonts w:ascii="Arial" w:cs="Arial" w:eastAsia="Arial" w:hAnsi="Arial"/>
                <w:sz w:val="14"/>
                <w:szCs w:val="14"/>
                <w:i w:val="1"/>
                <w:iCs w:val="1"/>
                <w:color w:val="0000FF"/>
              </w:rPr>
              <w:t>REPORTING</w:t>
            </w:r>
            <w:r>
              <w:rPr>
                <w:rFonts w:ascii="Arial" w:cs="Arial" w:eastAsia="Arial" w:hAnsi="Arial"/>
                <w:sz w:val="14"/>
                <w:szCs w:val="14"/>
                <w:i w:val="1"/>
                <w:iCs w:val="1"/>
                <w:color w:val="000000"/>
              </w:rPr>
              <w:t>.</w:t>
            </w:r>
          </w:p>
        </w:tc>
        <w:tc>
          <w:tcPr>
            <w:tcW w:w="720" w:type="dxa"/>
            <w:vAlign w:val="bottom"/>
            <w:tcBorders>
              <w:top w:val="single" w:sz="8" w:color="0000FF"/>
            </w:tcBorders>
            <w:gridSpan w:val="2"/>
          </w:tcPr>
          <w:p>
            <w:pPr>
              <w:spacing w:after="0"/>
              <w:rPr>
                <w:sz w:val="11"/>
                <w:szCs w:val="11"/>
                <w:color w:val="auto"/>
              </w:rPr>
            </w:pPr>
          </w:p>
        </w:tc>
        <w:tc>
          <w:tcPr>
            <w:tcW w:w="2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40" w:type="dxa"/>
            <w:vAlign w:val="bottom"/>
            <w:gridSpan w:val="2"/>
          </w:tcPr>
          <w:p>
            <w:pPr>
              <w:ind w:left="20"/>
              <w:spacing w:after="0" w:line="115" w:lineRule="exact"/>
              <w:rPr>
                <w:sz w:val="20"/>
                <w:szCs w:val="20"/>
                <w:color w:val="auto"/>
              </w:rPr>
            </w:pPr>
            <w:r>
              <w:rPr>
                <w:rFonts w:ascii="Arial" w:cs="Arial" w:eastAsia="Arial" w:hAnsi="Arial"/>
                <w:sz w:val="13"/>
                <w:szCs w:val="13"/>
                <w:color w:val="auto"/>
              </w:rPr>
              <w:t>The amendments also require disclosure of all other segment items</w:t>
            </w:r>
          </w:p>
        </w:tc>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Borders>
              <w:top w:val="single" w:sz="8" w:color="0000FF"/>
            </w:tcBorders>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40" w:type="dxa"/>
            <w:vAlign w:val="bottom"/>
            <w:gridSpan w:val="2"/>
          </w:tcPr>
          <w:p>
            <w:pPr>
              <w:ind w:left="20"/>
              <w:spacing w:after="0" w:line="139" w:lineRule="exact"/>
              <w:rPr>
                <w:sz w:val="20"/>
                <w:szCs w:val="20"/>
                <w:color w:val="auto"/>
              </w:rPr>
            </w:pPr>
            <w:r>
              <w:rPr>
                <w:rFonts w:ascii="Arial" w:cs="Arial" w:eastAsia="Arial" w:hAnsi="Arial"/>
                <w:sz w:val="14"/>
                <w:szCs w:val="14"/>
                <w:color w:val="auto"/>
              </w:rPr>
              <w:t>by  reportable  segment  and  a  description  of  its  composition.</w:t>
            </w: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40" w:type="dxa"/>
            <w:vAlign w:val="bottom"/>
            <w:gridSpan w:val="2"/>
          </w:tcPr>
          <w:p>
            <w:pPr>
              <w:ind w:left="20"/>
              <w:spacing w:after="0" w:line="145" w:lineRule="exact"/>
              <w:rPr>
                <w:sz w:val="20"/>
                <w:szCs w:val="20"/>
                <w:color w:val="auto"/>
              </w:rPr>
            </w:pPr>
            <w:r>
              <w:rPr>
                <w:rFonts w:ascii="Arial" w:cs="Arial" w:eastAsia="Arial" w:hAnsi="Arial"/>
                <w:sz w:val="14"/>
                <w:szCs w:val="14"/>
                <w:color w:val="auto"/>
              </w:rPr>
              <w:t>Additionally, the amendments require disclosure of the title and</w:t>
            </w: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40" w:type="dxa"/>
            <w:vAlign w:val="bottom"/>
            <w:gridSpan w:val="2"/>
          </w:tcPr>
          <w:p>
            <w:pPr>
              <w:ind w:left="20"/>
              <w:spacing w:after="0" w:line="139" w:lineRule="exact"/>
              <w:rPr>
                <w:sz w:val="20"/>
                <w:szCs w:val="20"/>
                <w:color w:val="auto"/>
              </w:rPr>
            </w:pPr>
            <w:r>
              <w:rPr>
                <w:rFonts w:ascii="Arial" w:cs="Arial" w:eastAsia="Arial" w:hAnsi="Arial"/>
                <w:sz w:val="14"/>
                <w:szCs w:val="14"/>
                <w:color w:val="auto"/>
              </w:rPr>
              <w:t>position of the CODM and an explanation of how the CODM uses</w:t>
            </w: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the reported measure(s) of segment profit or loss in assessing</w:t>
            </w: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40" w:type="dxa"/>
            <w:vAlign w:val="bottom"/>
            <w:gridSpan w:val="2"/>
          </w:tcPr>
          <w:p>
            <w:pPr>
              <w:ind w:left="20"/>
              <w:spacing w:after="0" w:line="145" w:lineRule="exact"/>
              <w:rPr>
                <w:sz w:val="20"/>
                <w:szCs w:val="20"/>
                <w:color w:val="auto"/>
              </w:rPr>
            </w:pPr>
            <w:r>
              <w:rPr>
                <w:rFonts w:ascii="Arial" w:cs="Arial" w:eastAsia="Arial" w:hAnsi="Arial"/>
                <w:sz w:val="14"/>
                <w:szCs w:val="14"/>
                <w:color w:val="auto"/>
              </w:rPr>
              <w:t>segment performance and deciding how to allocate resources. This</w:t>
            </w: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40" w:type="dxa"/>
            <w:vAlign w:val="bottom"/>
            <w:gridSpan w:val="2"/>
          </w:tcPr>
          <w:p>
            <w:pPr>
              <w:ind w:left="20"/>
              <w:spacing w:after="0" w:line="139" w:lineRule="exact"/>
              <w:rPr>
                <w:sz w:val="20"/>
                <w:szCs w:val="20"/>
                <w:color w:val="auto"/>
              </w:rPr>
            </w:pPr>
            <w:r>
              <w:rPr>
                <w:rFonts w:ascii="Arial" w:cs="Arial" w:eastAsia="Arial" w:hAnsi="Arial"/>
                <w:sz w:val="14"/>
                <w:szCs w:val="14"/>
                <w:color w:val="auto"/>
              </w:rPr>
              <w:t>update is effective for annual periods beginning after December 15,</w:t>
            </w: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2023,  and  interim  periods  within  fiscal  years  beginning  after</w:t>
            </w: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40" w:type="dxa"/>
            <w:vAlign w:val="bottom"/>
            <w:gridSpan w:val="2"/>
          </w:tcPr>
          <w:p>
            <w:pPr>
              <w:ind w:left="20"/>
              <w:spacing w:after="0"/>
              <w:rPr>
                <w:sz w:val="20"/>
                <w:szCs w:val="20"/>
                <w:color w:val="auto"/>
              </w:rPr>
            </w:pPr>
            <w:r>
              <w:rPr>
                <w:rFonts w:ascii="Arial" w:cs="Arial" w:eastAsia="Arial" w:hAnsi="Arial"/>
                <w:sz w:val="14"/>
                <w:szCs w:val="14"/>
                <w:color w:val="auto"/>
              </w:rPr>
              <w:t>December 15, 2024. Early adoption is permitted.</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F5F5F5"/>
          </w:tcPr>
          <w:p>
            <w:pPr>
              <w:spacing w:after="0"/>
              <w:rPr>
                <w:sz w:val="14"/>
                <w:szCs w:val="14"/>
                <w:color w:val="auto"/>
              </w:rPr>
            </w:pPr>
          </w:p>
        </w:tc>
        <w:tc>
          <w:tcPr>
            <w:tcW w:w="2220" w:type="dxa"/>
            <w:vAlign w:val="bottom"/>
            <w:gridSpan w:val="4"/>
            <w:shd w:val="clear" w:color="auto" w:fill="F5F5F5"/>
          </w:tcPr>
          <w:p>
            <w:pPr>
              <w:spacing w:after="0"/>
              <w:rPr>
                <w:sz w:val="20"/>
                <w:szCs w:val="20"/>
                <w:color w:val="auto"/>
              </w:rPr>
            </w:pPr>
            <w:r>
              <w:rPr>
                <w:rFonts w:ascii="Arial" w:cs="Arial" w:eastAsia="Arial" w:hAnsi="Arial"/>
                <w:sz w:val="14"/>
                <w:szCs w:val="14"/>
                <w:i w:val="1"/>
                <w:iCs w:val="1"/>
                <w:color w:val="auto"/>
              </w:rPr>
              <w:t>Standards not yet adopted</w:t>
            </w:r>
          </w:p>
        </w:tc>
        <w:tc>
          <w:tcPr>
            <w:tcW w:w="4320" w:type="dxa"/>
            <w:vAlign w:val="bottom"/>
            <w:shd w:val="clear" w:color="auto" w:fill="F5F5F5"/>
          </w:tcPr>
          <w:p>
            <w:pPr>
              <w:spacing w:after="0"/>
              <w:rPr>
                <w:sz w:val="14"/>
                <w:szCs w:val="14"/>
                <w:color w:val="auto"/>
              </w:rPr>
            </w:pPr>
          </w:p>
        </w:tc>
        <w:tc>
          <w:tcPr>
            <w:tcW w:w="120" w:type="dxa"/>
            <w:vAlign w:val="bottom"/>
            <w:shd w:val="clear" w:color="auto" w:fill="F5F5F5"/>
          </w:tcPr>
          <w:p>
            <w:pPr>
              <w:spacing w:after="0"/>
              <w:rPr>
                <w:sz w:val="14"/>
                <w:szCs w:val="14"/>
                <w:color w:val="auto"/>
              </w:rPr>
            </w:pPr>
          </w:p>
        </w:tc>
        <w:tc>
          <w:tcPr>
            <w:tcW w:w="1500" w:type="dxa"/>
            <w:vAlign w:val="bottom"/>
            <w:shd w:val="clear" w:color="auto" w:fill="F5F5F5"/>
          </w:tcPr>
          <w:p>
            <w:pPr>
              <w:spacing w:after="0"/>
              <w:rPr>
                <w:sz w:val="14"/>
                <w:szCs w:val="14"/>
                <w:color w:val="auto"/>
              </w:rPr>
            </w:pPr>
          </w:p>
        </w:tc>
        <w:tc>
          <w:tcPr>
            <w:tcW w:w="100" w:type="dxa"/>
            <w:vAlign w:val="bottom"/>
            <w:shd w:val="clear" w:color="auto" w:fill="F5F5F5"/>
          </w:tcPr>
          <w:p>
            <w:pPr>
              <w:spacing w:after="0"/>
              <w:rPr>
                <w:sz w:val="14"/>
                <w:szCs w:val="14"/>
                <w:color w:val="auto"/>
              </w:rPr>
            </w:pPr>
          </w:p>
        </w:tc>
        <w:tc>
          <w:tcPr>
            <w:tcW w:w="20" w:type="dxa"/>
            <w:vAlign w:val="bottom"/>
            <w:shd w:val="clear" w:color="auto" w:fill="F5F5F5"/>
          </w:tcPr>
          <w:p>
            <w:pPr>
              <w:spacing w:after="0"/>
              <w:rPr>
                <w:sz w:val="14"/>
                <w:szCs w:val="14"/>
                <w:color w:val="auto"/>
              </w:rPr>
            </w:pPr>
          </w:p>
        </w:tc>
        <w:tc>
          <w:tcPr>
            <w:tcW w:w="860" w:type="dxa"/>
            <w:vAlign w:val="bottom"/>
            <w:shd w:val="clear" w:color="auto" w:fill="F5F5F5"/>
          </w:tcPr>
          <w:p>
            <w:pPr>
              <w:spacing w:after="0"/>
              <w:rPr>
                <w:sz w:val="14"/>
                <w:szCs w:val="14"/>
                <w:color w:val="auto"/>
              </w:rPr>
            </w:pPr>
          </w:p>
        </w:tc>
        <w:tc>
          <w:tcPr>
            <w:tcW w:w="260" w:type="dxa"/>
            <w:vAlign w:val="bottom"/>
            <w:shd w:val="clear" w:color="auto" w:fill="F5F5F5"/>
          </w:tcPr>
          <w:p>
            <w:pPr>
              <w:spacing w:after="0"/>
              <w:rPr>
                <w:sz w:val="14"/>
                <w:szCs w:val="14"/>
                <w:color w:val="auto"/>
              </w:rPr>
            </w:pPr>
          </w:p>
        </w:tc>
        <w:tc>
          <w:tcPr>
            <w:tcW w:w="760" w:type="dxa"/>
            <w:vAlign w:val="bottom"/>
            <w:shd w:val="clear" w:color="auto" w:fill="F5F5F5"/>
          </w:tcPr>
          <w:p>
            <w:pPr>
              <w:spacing w:after="0"/>
              <w:rPr>
                <w:sz w:val="14"/>
                <w:szCs w:val="14"/>
                <w:color w:val="auto"/>
              </w:rPr>
            </w:pPr>
          </w:p>
        </w:tc>
        <w:tc>
          <w:tcPr>
            <w:tcW w:w="200" w:type="dxa"/>
            <w:vAlign w:val="bottom"/>
            <w:shd w:val="clear" w:color="auto" w:fill="F5F5F5"/>
          </w:tcPr>
          <w:p>
            <w:pPr>
              <w:spacing w:after="0"/>
              <w:rPr>
                <w:sz w:val="14"/>
                <w:szCs w:val="14"/>
                <w:color w:val="auto"/>
              </w:rPr>
            </w:pPr>
          </w:p>
        </w:tc>
        <w:tc>
          <w:tcPr>
            <w:tcW w:w="520" w:type="dxa"/>
            <w:vAlign w:val="bottom"/>
            <w:shd w:val="clear" w:color="auto" w:fill="F5F5F5"/>
          </w:tcPr>
          <w:p>
            <w:pPr>
              <w:spacing w:after="0"/>
              <w:rPr>
                <w:sz w:val="14"/>
                <w:szCs w:val="14"/>
                <w:color w:val="auto"/>
              </w:rPr>
            </w:pPr>
          </w:p>
        </w:tc>
        <w:tc>
          <w:tcPr>
            <w:tcW w:w="20" w:type="dxa"/>
            <w:vAlign w:val="bottom"/>
            <w:shd w:val="clear" w:color="auto" w:fill="F5F5F5"/>
          </w:tcPr>
          <w:p>
            <w:pPr>
              <w:spacing w:after="0"/>
              <w:rPr>
                <w:sz w:val="14"/>
                <w:szCs w:val="14"/>
                <w:color w:val="auto"/>
              </w:rPr>
            </w:pPr>
          </w:p>
        </w:tc>
        <w:tc>
          <w:tcPr>
            <w:tcW w:w="260" w:type="dxa"/>
            <w:vAlign w:val="bottom"/>
            <w:shd w:val="clear" w:color="auto" w:fill="F5F5F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F5F5F5"/>
            </w:tcBorders>
            <w:shd w:val="clear" w:color="auto" w:fill="F5F5F5"/>
          </w:tcPr>
          <w:p>
            <w:pPr>
              <w:spacing w:after="0" w:line="20" w:lineRule="exact"/>
              <w:rPr>
                <w:sz w:val="1"/>
                <w:szCs w:val="1"/>
                <w:color w:val="auto"/>
              </w:rPr>
            </w:pPr>
          </w:p>
        </w:tc>
        <w:tc>
          <w:tcPr>
            <w:tcW w:w="1200" w:type="dxa"/>
            <w:vAlign w:val="bottom"/>
            <w:tcBorders>
              <w:top w:val="single" w:sz="8" w:color="auto"/>
            </w:tcBorders>
            <w:shd w:val="clear" w:color="auto" w:fill="F5F5F5"/>
          </w:tcPr>
          <w:p>
            <w:pPr>
              <w:spacing w:after="0" w:line="20" w:lineRule="exact"/>
              <w:rPr>
                <w:sz w:val="1"/>
                <w:szCs w:val="1"/>
                <w:color w:val="auto"/>
              </w:rPr>
            </w:pPr>
          </w:p>
        </w:tc>
        <w:tc>
          <w:tcPr>
            <w:tcW w:w="480" w:type="dxa"/>
            <w:vAlign w:val="bottom"/>
            <w:tcBorders>
              <w:top w:val="single" w:sz="8" w:color="auto"/>
            </w:tcBorders>
            <w:shd w:val="clear" w:color="auto" w:fill="F5F5F5"/>
          </w:tcPr>
          <w:p>
            <w:pPr>
              <w:spacing w:after="0" w:line="20" w:lineRule="exact"/>
              <w:rPr>
                <w:sz w:val="1"/>
                <w:szCs w:val="1"/>
                <w:color w:val="auto"/>
              </w:rPr>
            </w:pPr>
          </w:p>
        </w:tc>
        <w:tc>
          <w:tcPr>
            <w:tcW w:w="420" w:type="dxa"/>
            <w:vAlign w:val="bottom"/>
            <w:tcBorders>
              <w:top w:val="single" w:sz="8" w:color="F5F5F5"/>
            </w:tcBorders>
            <w:shd w:val="clear" w:color="auto" w:fill="F5F5F5"/>
          </w:tcPr>
          <w:p>
            <w:pPr>
              <w:spacing w:after="0" w:line="20" w:lineRule="exact"/>
              <w:rPr>
                <w:sz w:val="1"/>
                <w:szCs w:val="1"/>
                <w:color w:val="auto"/>
              </w:rPr>
            </w:pPr>
          </w:p>
        </w:tc>
        <w:tc>
          <w:tcPr>
            <w:tcW w:w="120" w:type="dxa"/>
            <w:vAlign w:val="bottom"/>
            <w:tcBorders>
              <w:top w:val="single" w:sz="8" w:color="F5F5F5"/>
            </w:tcBorders>
            <w:shd w:val="clear" w:color="auto" w:fill="F5F5F5"/>
          </w:tcPr>
          <w:p>
            <w:pPr>
              <w:spacing w:after="0" w:line="20" w:lineRule="exact"/>
              <w:rPr>
                <w:sz w:val="1"/>
                <w:szCs w:val="1"/>
                <w:color w:val="auto"/>
              </w:rPr>
            </w:pPr>
          </w:p>
        </w:tc>
        <w:tc>
          <w:tcPr>
            <w:tcW w:w="4320" w:type="dxa"/>
            <w:vAlign w:val="bottom"/>
            <w:tcBorders>
              <w:top w:val="single" w:sz="8" w:color="F5F5F5"/>
            </w:tcBorders>
            <w:shd w:val="clear" w:color="auto" w:fill="F5F5F5"/>
          </w:tcPr>
          <w:p>
            <w:pPr>
              <w:spacing w:after="0" w:line="20" w:lineRule="exact"/>
              <w:rPr>
                <w:sz w:val="1"/>
                <w:szCs w:val="1"/>
                <w:color w:val="auto"/>
              </w:rPr>
            </w:pPr>
          </w:p>
        </w:tc>
        <w:tc>
          <w:tcPr>
            <w:tcW w:w="120" w:type="dxa"/>
            <w:vAlign w:val="bottom"/>
            <w:tcBorders>
              <w:top w:val="single" w:sz="8" w:color="F5F5F5"/>
            </w:tcBorders>
            <w:shd w:val="clear" w:color="auto" w:fill="F5F5F5"/>
          </w:tcPr>
          <w:p>
            <w:pPr>
              <w:spacing w:after="0" w:line="20" w:lineRule="exact"/>
              <w:rPr>
                <w:sz w:val="1"/>
                <w:szCs w:val="1"/>
                <w:color w:val="auto"/>
              </w:rPr>
            </w:pPr>
          </w:p>
        </w:tc>
        <w:tc>
          <w:tcPr>
            <w:tcW w:w="1500" w:type="dxa"/>
            <w:vAlign w:val="bottom"/>
            <w:tcBorders>
              <w:top w:val="single" w:sz="8" w:color="F5F5F5"/>
            </w:tcBorders>
            <w:shd w:val="clear" w:color="auto" w:fill="F5F5F5"/>
          </w:tcPr>
          <w:p>
            <w:pPr>
              <w:spacing w:after="0" w:line="20" w:lineRule="exact"/>
              <w:rPr>
                <w:sz w:val="1"/>
                <w:szCs w:val="1"/>
                <w:color w:val="auto"/>
              </w:rPr>
            </w:pPr>
          </w:p>
        </w:tc>
        <w:tc>
          <w:tcPr>
            <w:tcW w:w="10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860" w:type="dxa"/>
            <w:vAlign w:val="bottom"/>
            <w:tcBorders>
              <w:top w:val="single" w:sz="8" w:color="F5F5F5"/>
            </w:tcBorders>
            <w:shd w:val="clear" w:color="auto" w:fill="F5F5F5"/>
          </w:tcPr>
          <w:p>
            <w:pPr>
              <w:spacing w:after="0" w:line="20" w:lineRule="exact"/>
              <w:rPr>
                <w:sz w:val="1"/>
                <w:szCs w:val="1"/>
                <w:color w:val="auto"/>
              </w:rPr>
            </w:pPr>
          </w:p>
        </w:tc>
        <w:tc>
          <w:tcPr>
            <w:tcW w:w="260" w:type="dxa"/>
            <w:vAlign w:val="bottom"/>
            <w:tcBorders>
              <w:top w:val="single" w:sz="8" w:color="F5F5F5"/>
            </w:tcBorders>
            <w:shd w:val="clear" w:color="auto" w:fill="F5F5F5"/>
          </w:tcPr>
          <w:p>
            <w:pPr>
              <w:spacing w:after="0" w:line="20" w:lineRule="exact"/>
              <w:rPr>
                <w:sz w:val="1"/>
                <w:szCs w:val="1"/>
                <w:color w:val="auto"/>
              </w:rPr>
            </w:pPr>
          </w:p>
        </w:tc>
        <w:tc>
          <w:tcPr>
            <w:tcW w:w="760" w:type="dxa"/>
            <w:vAlign w:val="bottom"/>
            <w:tcBorders>
              <w:top w:val="single" w:sz="8" w:color="F5F5F5"/>
            </w:tcBorders>
            <w:shd w:val="clear" w:color="auto" w:fill="F5F5F5"/>
          </w:tcPr>
          <w:p>
            <w:pPr>
              <w:spacing w:after="0" w:line="20" w:lineRule="exact"/>
              <w:rPr>
                <w:sz w:val="1"/>
                <w:szCs w:val="1"/>
                <w:color w:val="auto"/>
              </w:rPr>
            </w:pPr>
          </w:p>
        </w:tc>
        <w:tc>
          <w:tcPr>
            <w:tcW w:w="200" w:type="dxa"/>
            <w:vAlign w:val="bottom"/>
            <w:tcBorders>
              <w:top w:val="single" w:sz="8" w:color="F5F5F5"/>
            </w:tcBorders>
            <w:shd w:val="clear" w:color="auto" w:fill="F5F5F5"/>
          </w:tcPr>
          <w:p>
            <w:pPr>
              <w:spacing w:after="0" w:line="20" w:lineRule="exact"/>
              <w:rPr>
                <w:sz w:val="1"/>
                <w:szCs w:val="1"/>
                <w:color w:val="auto"/>
              </w:rPr>
            </w:pPr>
          </w:p>
        </w:tc>
        <w:tc>
          <w:tcPr>
            <w:tcW w:w="5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60" w:type="dxa"/>
            <w:vAlign w:val="bottom"/>
            <w:tcBorders>
              <w:top w:val="single" w:sz="8" w:color="F5F5F5"/>
            </w:tcBorders>
            <w:shd w:val="clear" w:color="auto" w:fill="F5F5F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2220" w:type="dxa"/>
            <w:vAlign w:val="bottom"/>
            <w:gridSpan w:val="4"/>
          </w:tcPr>
          <w:p>
            <w:pPr>
              <w:spacing w:after="0" w:line="153" w:lineRule="exact"/>
              <w:rPr>
                <w:sz w:val="20"/>
                <w:szCs w:val="20"/>
                <w:color w:val="auto"/>
              </w:rPr>
            </w:pPr>
            <w:r>
              <w:rPr>
                <w:rFonts w:ascii="Arial" w:cs="Arial" w:eastAsia="Arial" w:hAnsi="Arial"/>
                <w:sz w:val="14"/>
                <w:szCs w:val="14"/>
                <w:i w:val="1"/>
                <w:iCs w:val="1"/>
                <w:color w:val="auto"/>
              </w:rPr>
              <w:t>ASU 2023-09, Income Taxes</w:t>
            </w:r>
          </w:p>
        </w:tc>
        <w:tc>
          <w:tcPr>
            <w:tcW w:w="444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The standard requires disaggregated information about a reporting</w:t>
            </w: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80" w:type="dxa"/>
            <w:vAlign w:val="bottom"/>
            <w:gridSpan w:val="7"/>
          </w:tcPr>
          <w:p>
            <w:pPr>
              <w:spacing w:after="0" w:line="153" w:lineRule="exact"/>
              <w:rPr>
                <w:sz w:val="20"/>
                <w:szCs w:val="20"/>
                <w:color w:val="auto"/>
              </w:rPr>
            </w:pPr>
            <w:r>
              <w:rPr>
                <w:rFonts w:ascii="Arial" w:cs="Arial" w:eastAsia="Arial" w:hAnsi="Arial"/>
                <w:sz w:val="14"/>
                <w:szCs w:val="14"/>
                <w:color w:val="auto"/>
              </w:rPr>
              <w:t>Other than the new disclosure requirements,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gridSpan w:val="4"/>
          </w:tcPr>
          <w:p>
            <w:pPr>
              <w:spacing w:after="0" w:line="149" w:lineRule="exact"/>
              <w:rPr>
                <w:sz w:val="20"/>
                <w:szCs w:val="20"/>
                <w:color w:val="auto"/>
              </w:rPr>
            </w:pPr>
            <w:r>
              <w:rPr>
                <w:rFonts w:ascii="Arial" w:cs="Arial" w:eastAsia="Arial" w:hAnsi="Arial"/>
                <w:sz w:val="14"/>
                <w:szCs w:val="14"/>
                <w:i w:val="1"/>
                <w:iCs w:val="1"/>
                <w:color w:val="auto"/>
              </w:rPr>
              <w:t>(Topic 740): Improvements to</w:t>
            </w:r>
          </w:p>
        </w:tc>
        <w:tc>
          <w:tcPr>
            <w:tcW w:w="4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entity’s effective tax rate reconciliation as well as information on</w:t>
            </w: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80" w:type="dxa"/>
            <w:vAlign w:val="bottom"/>
            <w:gridSpan w:val="7"/>
          </w:tcPr>
          <w:p>
            <w:pPr>
              <w:spacing w:after="0" w:line="149" w:lineRule="exact"/>
              <w:rPr>
                <w:sz w:val="20"/>
                <w:szCs w:val="20"/>
                <w:color w:val="auto"/>
              </w:rPr>
            </w:pPr>
            <w:r>
              <w:rPr>
                <w:rFonts w:ascii="Arial" w:cs="Arial" w:eastAsia="Arial" w:hAnsi="Arial"/>
                <w:sz w:val="14"/>
                <w:szCs w:val="14"/>
                <w:color w:val="auto"/>
              </w:rPr>
              <w:t>the adoption of this guidance will not have a</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20" w:type="dxa"/>
            <w:vAlign w:val="bottom"/>
            <w:gridSpan w:val="4"/>
          </w:tcPr>
          <w:p>
            <w:pPr>
              <w:spacing w:after="0" w:line="145" w:lineRule="exact"/>
              <w:rPr>
                <w:sz w:val="20"/>
                <w:szCs w:val="20"/>
                <w:color w:val="auto"/>
              </w:rPr>
            </w:pPr>
            <w:r>
              <w:rPr>
                <w:rFonts w:ascii="Arial" w:cs="Arial" w:eastAsia="Arial" w:hAnsi="Arial"/>
                <w:sz w:val="14"/>
                <w:szCs w:val="14"/>
                <w:i w:val="1"/>
                <w:iCs w:val="1"/>
                <w:color w:val="auto"/>
              </w:rPr>
              <w:t>Income Tax Disclosures</w:t>
            </w:r>
          </w:p>
        </w:tc>
        <w:tc>
          <w:tcPr>
            <w:tcW w:w="4440" w:type="dxa"/>
            <w:vAlign w:val="bottom"/>
            <w:gridSpan w:val="2"/>
          </w:tcPr>
          <w:p>
            <w:pPr>
              <w:ind w:left="20"/>
              <w:spacing w:after="0" w:line="145" w:lineRule="exact"/>
              <w:rPr>
                <w:sz w:val="20"/>
                <w:szCs w:val="20"/>
                <w:color w:val="auto"/>
              </w:rPr>
            </w:pPr>
            <w:r>
              <w:rPr>
                <w:rFonts w:ascii="Arial" w:cs="Arial" w:eastAsia="Arial" w:hAnsi="Arial"/>
                <w:sz w:val="14"/>
                <w:szCs w:val="14"/>
                <w:color w:val="auto"/>
              </w:rPr>
              <w:t>income  taxes  paid.  For  public  business  entities  (PBEs),  the</w:t>
            </w: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80" w:type="dxa"/>
            <w:vAlign w:val="bottom"/>
            <w:gridSpan w:val="7"/>
          </w:tcPr>
          <w:p>
            <w:pPr>
              <w:spacing w:after="0" w:line="145" w:lineRule="exact"/>
              <w:rPr>
                <w:sz w:val="20"/>
                <w:szCs w:val="20"/>
                <w:color w:val="auto"/>
              </w:rPr>
            </w:pPr>
            <w:r>
              <w:rPr>
                <w:rFonts w:ascii="Arial" w:cs="Arial" w:eastAsia="Arial" w:hAnsi="Arial"/>
                <w:sz w:val="14"/>
                <w:szCs w:val="14"/>
                <w:color w:val="auto"/>
              </w:rPr>
              <w:t>significant impact on the Company's</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40" w:type="dxa"/>
            <w:vAlign w:val="bottom"/>
            <w:gridSpan w:val="2"/>
          </w:tcPr>
          <w:p>
            <w:pPr>
              <w:ind w:left="20"/>
              <w:spacing w:after="0" w:line="139" w:lineRule="exact"/>
              <w:rPr>
                <w:sz w:val="20"/>
                <w:szCs w:val="20"/>
                <w:color w:val="auto"/>
              </w:rPr>
            </w:pPr>
            <w:r>
              <w:rPr>
                <w:rFonts w:ascii="Arial" w:cs="Arial" w:eastAsia="Arial" w:hAnsi="Arial"/>
                <w:sz w:val="14"/>
                <w:szCs w:val="14"/>
                <w:color w:val="auto"/>
              </w:rPr>
              <w:t>requirement will be effective for annual periods beginning after</w:t>
            </w: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80" w:type="dxa"/>
            <w:vAlign w:val="bottom"/>
            <w:gridSpan w:val="7"/>
          </w:tcPr>
          <w:p>
            <w:pPr>
              <w:spacing w:after="0" w:line="139" w:lineRule="exact"/>
              <w:rPr>
                <w:sz w:val="20"/>
                <w:szCs w:val="20"/>
                <w:color w:val="auto"/>
              </w:rPr>
            </w:pPr>
            <w:r>
              <w:rPr>
                <w:rFonts w:ascii="Arial" w:cs="Arial" w:eastAsia="Arial" w:hAnsi="Arial"/>
                <w:sz w:val="14"/>
                <w:szCs w:val="14"/>
                <w:color w:val="auto"/>
              </w:rPr>
              <w:t>consolidated financial statements.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December 15, 2024. The guidance will be applied on a prospective</w:t>
            </w: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40" w:type="dxa"/>
            <w:vAlign w:val="bottom"/>
            <w:gridSpan w:val="2"/>
          </w:tcPr>
          <w:p>
            <w:pPr>
              <w:ind w:left="20"/>
              <w:spacing w:after="0" w:line="145" w:lineRule="exact"/>
              <w:rPr>
                <w:sz w:val="20"/>
                <w:szCs w:val="20"/>
                <w:color w:val="auto"/>
              </w:rPr>
            </w:pPr>
            <w:r>
              <w:rPr>
                <w:rFonts w:ascii="Arial" w:cs="Arial" w:eastAsia="Arial" w:hAnsi="Arial"/>
                <w:sz w:val="14"/>
                <w:szCs w:val="14"/>
                <w:color w:val="auto"/>
              </w:rPr>
              <w:t>basis with the option to apply the standard retrospectively. Early</w:t>
            </w: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40" w:type="dxa"/>
            <w:vAlign w:val="bottom"/>
            <w:gridSpan w:val="2"/>
          </w:tcPr>
          <w:p>
            <w:pPr>
              <w:ind w:left="20"/>
              <w:spacing w:after="0"/>
              <w:rPr>
                <w:sz w:val="20"/>
                <w:szCs w:val="20"/>
                <w:color w:val="auto"/>
              </w:rPr>
            </w:pPr>
            <w:r>
              <w:rPr>
                <w:rFonts w:ascii="Arial" w:cs="Arial" w:eastAsia="Arial" w:hAnsi="Arial"/>
                <w:sz w:val="14"/>
                <w:szCs w:val="14"/>
                <w:color w:val="auto"/>
              </w:rPr>
              <w:t>adoption is permitted.</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shd w:val="clear" w:color="auto" w:fill="F5F5F5"/>
          </w:tcPr>
          <w:p>
            <w:pPr>
              <w:spacing w:after="0"/>
              <w:rPr>
                <w:sz w:val="13"/>
                <w:szCs w:val="13"/>
                <w:color w:val="auto"/>
              </w:rPr>
            </w:pPr>
          </w:p>
        </w:tc>
        <w:tc>
          <w:tcPr>
            <w:tcW w:w="2220" w:type="dxa"/>
            <w:vAlign w:val="bottom"/>
            <w:gridSpan w:val="4"/>
            <w:shd w:val="clear" w:color="auto" w:fill="F5F5F5"/>
          </w:tcPr>
          <w:p>
            <w:pPr>
              <w:spacing w:after="0" w:line="153" w:lineRule="exact"/>
              <w:rPr>
                <w:sz w:val="20"/>
                <w:szCs w:val="20"/>
                <w:color w:val="auto"/>
              </w:rPr>
            </w:pPr>
            <w:r>
              <w:rPr>
                <w:rFonts w:ascii="Arial" w:cs="Arial" w:eastAsia="Arial" w:hAnsi="Arial"/>
                <w:sz w:val="14"/>
                <w:szCs w:val="14"/>
                <w:i w:val="1"/>
                <w:iCs w:val="1"/>
                <w:color w:val="auto"/>
              </w:rPr>
              <w:t>ASU 2024-03 - Income</w:t>
            </w:r>
          </w:p>
        </w:tc>
        <w:tc>
          <w:tcPr>
            <w:tcW w:w="4440" w:type="dxa"/>
            <w:vAlign w:val="bottom"/>
            <w:gridSpan w:val="2"/>
            <w:shd w:val="clear" w:color="auto" w:fill="F5F5F5"/>
          </w:tcPr>
          <w:p>
            <w:pPr>
              <w:ind w:left="20"/>
              <w:spacing w:after="0" w:line="153" w:lineRule="exact"/>
              <w:rPr>
                <w:sz w:val="20"/>
                <w:szCs w:val="20"/>
                <w:color w:val="auto"/>
              </w:rPr>
            </w:pPr>
            <w:r>
              <w:rPr>
                <w:rFonts w:ascii="Arial" w:cs="Arial" w:eastAsia="Arial" w:hAnsi="Arial"/>
                <w:sz w:val="14"/>
                <w:szCs w:val="14"/>
                <w:color w:val="auto"/>
              </w:rPr>
              <w:t>The  update  requires  a  disaggregated  disclosure  of  income</w:t>
            </w:r>
          </w:p>
        </w:tc>
        <w:tc>
          <w:tcPr>
            <w:tcW w:w="1500" w:type="dxa"/>
            <w:vAlign w:val="bottom"/>
            <w:shd w:val="clear" w:color="auto" w:fill="F5F5F5"/>
          </w:tcPr>
          <w:p>
            <w:pPr>
              <w:spacing w:after="0"/>
              <w:rPr>
                <w:sz w:val="13"/>
                <w:szCs w:val="13"/>
                <w:color w:val="auto"/>
              </w:rPr>
            </w:pPr>
          </w:p>
        </w:tc>
        <w:tc>
          <w:tcPr>
            <w:tcW w:w="100" w:type="dxa"/>
            <w:vAlign w:val="bottom"/>
            <w:shd w:val="clear" w:color="auto" w:fill="F5F5F5"/>
          </w:tcPr>
          <w:p>
            <w:pPr>
              <w:spacing w:after="0"/>
              <w:rPr>
                <w:sz w:val="13"/>
                <w:szCs w:val="13"/>
                <w:color w:val="auto"/>
              </w:rPr>
            </w:pPr>
          </w:p>
        </w:tc>
        <w:tc>
          <w:tcPr>
            <w:tcW w:w="20" w:type="dxa"/>
            <w:vAlign w:val="bottom"/>
            <w:shd w:val="clear" w:color="auto" w:fill="F5F5F5"/>
          </w:tcPr>
          <w:p>
            <w:pPr>
              <w:spacing w:after="0"/>
              <w:rPr>
                <w:sz w:val="13"/>
                <w:szCs w:val="13"/>
                <w:color w:val="auto"/>
              </w:rPr>
            </w:pPr>
          </w:p>
        </w:tc>
        <w:tc>
          <w:tcPr>
            <w:tcW w:w="2880" w:type="dxa"/>
            <w:vAlign w:val="bottom"/>
            <w:gridSpan w:val="7"/>
            <w:shd w:val="clear" w:color="auto" w:fill="F5F5F5"/>
          </w:tcPr>
          <w:p>
            <w:pPr>
              <w:spacing w:after="0" w:line="153" w:lineRule="exact"/>
              <w:rPr>
                <w:sz w:val="20"/>
                <w:szCs w:val="20"/>
                <w:color w:val="auto"/>
              </w:rPr>
            </w:pPr>
            <w:r>
              <w:rPr>
                <w:rFonts w:ascii="Arial" w:cs="Arial" w:eastAsia="Arial" w:hAnsi="Arial"/>
                <w:sz w:val="14"/>
                <w:szCs w:val="14"/>
                <w:color w:val="auto"/>
              </w:rPr>
              <w:t>Other than the new disclosure requirements,</w:t>
            </w:r>
          </w:p>
        </w:tc>
        <w:tc>
          <w:tcPr>
            <w:tcW w:w="0" w:type="dxa"/>
            <w:vAlign w:val="bottom"/>
          </w:tcPr>
          <w:p>
            <w:pPr>
              <w:spacing w:after="0"/>
              <w:rPr>
                <w:sz w:val="1"/>
                <w:szCs w:val="1"/>
                <w:color w:val="auto"/>
              </w:rPr>
            </w:pPr>
          </w:p>
        </w:tc>
      </w:tr>
      <w:tr>
        <w:trPr>
          <w:trHeight w:val="149"/>
        </w:trPr>
        <w:tc>
          <w:tcPr>
            <w:tcW w:w="20" w:type="dxa"/>
            <w:vAlign w:val="bottom"/>
            <w:shd w:val="clear" w:color="auto" w:fill="F5F5F5"/>
          </w:tcPr>
          <w:p>
            <w:pPr>
              <w:spacing w:after="0"/>
              <w:rPr>
                <w:sz w:val="12"/>
                <w:szCs w:val="12"/>
                <w:color w:val="auto"/>
              </w:rPr>
            </w:pPr>
          </w:p>
        </w:tc>
        <w:tc>
          <w:tcPr>
            <w:tcW w:w="2220" w:type="dxa"/>
            <w:vAlign w:val="bottom"/>
            <w:gridSpan w:val="4"/>
            <w:shd w:val="clear" w:color="auto" w:fill="F5F5F5"/>
          </w:tcPr>
          <w:p>
            <w:pPr>
              <w:spacing w:after="0" w:line="149" w:lineRule="exact"/>
              <w:rPr>
                <w:sz w:val="20"/>
                <w:szCs w:val="20"/>
                <w:color w:val="auto"/>
              </w:rPr>
            </w:pPr>
            <w:r>
              <w:rPr>
                <w:rFonts w:ascii="Arial" w:cs="Arial" w:eastAsia="Arial" w:hAnsi="Arial"/>
                <w:sz w:val="14"/>
                <w:szCs w:val="14"/>
                <w:i w:val="1"/>
                <w:iCs w:val="1"/>
                <w:color w:val="auto"/>
              </w:rPr>
              <w:t>Statement—Reporting</w:t>
            </w:r>
          </w:p>
        </w:tc>
        <w:tc>
          <w:tcPr>
            <w:tcW w:w="4440" w:type="dxa"/>
            <w:vAlign w:val="bottom"/>
            <w:gridSpan w:val="2"/>
            <w:shd w:val="clear" w:color="auto" w:fill="F5F5F5"/>
          </w:tcPr>
          <w:p>
            <w:pPr>
              <w:ind w:left="20"/>
              <w:spacing w:after="0" w:line="149" w:lineRule="exact"/>
              <w:rPr>
                <w:sz w:val="20"/>
                <w:szCs w:val="20"/>
                <w:color w:val="auto"/>
              </w:rPr>
            </w:pPr>
            <w:r>
              <w:rPr>
                <w:rFonts w:ascii="Arial" w:cs="Arial" w:eastAsia="Arial" w:hAnsi="Arial"/>
                <w:sz w:val="14"/>
                <w:szCs w:val="14"/>
                <w:color w:val="auto"/>
              </w:rPr>
              <w:t>statement  expenses.  The  amendments  in  this  update  require</w:t>
            </w:r>
          </w:p>
        </w:tc>
        <w:tc>
          <w:tcPr>
            <w:tcW w:w="1500" w:type="dxa"/>
            <w:vAlign w:val="bottom"/>
            <w:shd w:val="clear" w:color="auto" w:fill="F5F5F5"/>
          </w:tcPr>
          <w:p>
            <w:pPr>
              <w:spacing w:after="0"/>
              <w:rPr>
                <w:sz w:val="12"/>
                <w:szCs w:val="12"/>
                <w:color w:val="auto"/>
              </w:rPr>
            </w:pPr>
          </w:p>
        </w:tc>
        <w:tc>
          <w:tcPr>
            <w:tcW w:w="100" w:type="dxa"/>
            <w:vAlign w:val="bottom"/>
            <w:shd w:val="clear" w:color="auto" w:fill="F5F5F5"/>
          </w:tcPr>
          <w:p>
            <w:pPr>
              <w:spacing w:after="0"/>
              <w:rPr>
                <w:sz w:val="12"/>
                <w:szCs w:val="12"/>
                <w:color w:val="auto"/>
              </w:rPr>
            </w:pPr>
          </w:p>
        </w:tc>
        <w:tc>
          <w:tcPr>
            <w:tcW w:w="20" w:type="dxa"/>
            <w:vAlign w:val="bottom"/>
            <w:shd w:val="clear" w:color="auto" w:fill="F5F5F5"/>
          </w:tcPr>
          <w:p>
            <w:pPr>
              <w:spacing w:after="0"/>
              <w:rPr>
                <w:sz w:val="12"/>
                <w:szCs w:val="12"/>
                <w:color w:val="auto"/>
              </w:rPr>
            </w:pPr>
          </w:p>
        </w:tc>
        <w:tc>
          <w:tcPr>
            <w:tcW w:w="2880" w:type="dxa"/>
            <w:vAlign w:val="bottom"/>
            <w:gridSpan w:val="7"/>
            <w:shd w:val="clear" w:color="auto" w:fill="F5F5F5"/>
          </w:tcPr>
          <w:p>
            <w:pPr>
              <w:spacing w:after="0" w:line="149" w:lineRule="exact"/>
              <w:rPr>
                <w:sz w:val="20"/>
                <w:szCs w:val="20"/>
                <w:color w:val="auto"/>
              </w:rPr>
            </w:pPr>
            <w:r>
              <w:rPr>
                <w:rFonts w:ascii="Arial" w:cs="Arial" w:eastAsia="Arial" w:hAnsi="Arial"/>
                <w:sz w:val="14"/>
                <w:szCs w:val="14"/>
                <w:color w:val="auto"/>
              </w:rPr>
              <w:t>the adoption of this guidance will not have a</w:t>
            </w:r>
          </w:p>
        </w:tc>
        <w:tc>
          <w:tcPr>
            <w:tcW w:w="0" w:type="dxa"/>
            <w:vAlign w:val="bottom"/>
          </w:tcPr>
          <w:p>
            <w:pPr>
              <w:spacing w:after="0"/>
              <w:rPr>
                <w:sz w:val="1"/>
                <w:szCs w:val="1"/>
                <w:color w:val="auto"/>
              </w:rPr>
            </w:pPr>
          </w:p>
        </w:tc>
      </w:tr>
      <w:tr>
        <w:trPr>
          <w:trHeight w:val="144"/>
        </w:trPr>
        <w:tc>
          <w:tcPr>
            <w:tcW w:w="20" w:type="dxa"/>
            <w:vAlign w:val="bottom"/>
            <w:shd w:val="clear" w:color="auto" w:fill="F5F5F5"/>
          </w:tcPr>
          <w:p>
            <w:pPr>
              <w:spacing w:after="0"/>
              <w:rPr>
                <w:sz w:val="12"/>
                <w:szCs w:val="12"/>
                <w:color w:val="auto"/>
              </w:rPr>
            </w:pPr>
          </w:p>
        </w:tc>
        <w:tc>
          <w:tcPr>
            <w:tcW w:w="2220" w:type="dxa"/>
            <w:vAlign w:val="bottom"/>
            <w:gridSpan w:val="4"/>
            <w:shd w:val="clear" w:color="auto" w:fill="F5F5F5"/>
          </w:tcPr>
          <w:p>
            <w:pPr>
              <w:spacing w:after="0" w:line="145" w:lineRule="exact"/>
              <w:rPr>
                <w:sz w:val="20"/>
                <w:szCs w:val="20"/>
                <w:color w:val="auto"/>
              </w:rPr>
            </w:pPr>
            <w:r>
              <w:rPr>
                <w:rFonts w:ascii="Arial" w:cs="Arial" w:eastAsia="Arial" w:hAnsi="Arial"/>
                <w:sz w:val="14"/>
                <w:szCs w:val="14"/>
                <w:i w:val="1"/>
                <w:iCs w:val="1"/>
                <w:color w:val="auto"/>
              </w:rPr>
              <w:t>Comprehensive Income—</w:t>
            </w:r>
          </w:p>
        </w:tc>
        <w:tc>
          <w:tcPr>
            <w:tcW w:w="4440" w:type="dxa"/>
            <w:vAlign w:val="bottom"/>
            <w:gridSpan w:val="2"/>
            <w:shd w:val="clear" w:color="auto" w:fill="F5F5F5"/>
          </w:tcPr>
          <w:p>
            <w:pPr>
              <w:ind w:left="20"/>
              <w:spacing w:after="0" w:line="145" w:lineRule="exact"/>
              <w:rPr>
                <w:sz w:val="20"/>
                <w:szCs w:val="20"/>
                <w:color w:val="auto"/>
              </w:rPr>
            </w:pPr>
            <w:r>
              <w:rPr>
                <w:rFonts w:ascii="Arial" w:cs="Arial" w:eastAsia="Arial" w:hAnsi="Arial"/>
                <w:sz w:val="14"/>
                <w:szCs w:val="14"/>
                <w:color w:val="auto"/>
              </w:rPr>
              <w:t>disclosure,  in  the  notes  to  financial  statements,  of  specified</w:t>
            </w:r>
          </w:p>
        </w:tc>
        <w:tc>
          <w:tcPr>
            <w:tcW w:w="1500" w:type="dxa"/>
            <w:vAlign w:val="bottom"/>
            <w:shd w:val="clear" w:color="auto" w:fill="F5F5F5"/>
          </w:tcPr>
          <w:p>
            <w:pPr>
              <w:spacing w:after="0"/>
              <w:rPr>
                <w:sz w:val="12"/>
                <w:szCs w:val="12"/>
                <w:color w:val="auto"/>
              </w:rPr>
            </w:pPr>
          </w:p>
        </w:tc>
        <w:tc>
          <w:tcPr>
            <w:tcW w:w="100" w:type="dxa"/>
            <w:vAlign w:val="bottom"/>
            <w:shd w:val="clear" w:color="auto" w:fill="F5F5F5"/>
          </w:tcPr>
          <w:p>
            <w:pPr>
              <w:spacing w:after="0"/>
              <w:rPr>
                <w:sz w:val="12"/>
                <w:szCs w:val="12"/>
                <w:color w:val="auto"/>
              </w:rPr>
            </w:pPr>
          </w:p>
        </w:tc>
        <w:tc>
          <w:tcPr>
            <w:tcW w:w="20" w:type="dxa"/>
            <w:vAlign w:val="bottom"/>
            <w:shd w:val="clear" w:color="auto" w:fill="F5F5F5"/>
          </w:tcPr>
          <w:p>
            <w:pPr>
              <w:spacing w:after="0"/>
              <w:rPr>
                <w:sz w:val="12"/>
                <w:szCs w:val="12"/>
                <w:color w:val="auto"/>
              </w:rPr>
            </w:pPr>
          </w:p>
        </w:tc>
        <w:tc>
          <w:tcPr>
            <w:tcW w:w="2880" w:type="dxa"/>
            <w:vAlign w:val="bottom"/>
            <w:gridSpan w:val="7"/>
            <w:shd w:val="clear" w:color="auto" w:fill="F5F5F5"/>
          </w:tcPr>
          <w:p>
            <w:pPr>
              <w:spacing w:after="0" w:line="145" w:lineRule="exact"/>
              <w:rPr>
                <w:sz w:val="20"/>
                <w:szCs w:val="20"/>
                <w:color w:val="auto"/>
              </w:rPr>
            </w:pPr>
            <w:r>
              <w:rPr>
                <w:rFonts w:ascii="Arial" w:cs="Arial" w:eastAsia="Arial" w:hAnsi="Arial"/>
                <w:sz w:val="14"/>
                <w:szCs w:val="14"/>
                <w:color w:val="auto"/>
              </w:rPr>
              <w:t>significant impact on the Company’s</w:t>
            </w:r>
          </w:p>
        </w:tc>
        <w:tc>
          <w:tcPr>
            <w:tcW w:w="0" w:type="dxa"/>
            <w:vAlign w:val="bottom"/>
          </w:tcPr>
          <w:p>
            <w:pPr>
              <w:spacing w:after="0"/>
              <w:rPr>
                <w:sz w:val="1"/>
                <w:szCs w:val="1"/>
                <w:color w:val="auto"/>
              </w:rPr>
            </w:pPr>
          </w:p>
        </w:tc>
      </w:tr>
      <w:tr>
        <w:trPr>
          <w:trHeight w:val="139"/>
        </w:trPr>
        <w:tc>
          <w:tcPr>
            <w:tcW w:w="20" w:type="dxa"/>
            <w:vAlign w:val="bottom"/>
            <w:shd w:val="clear" w:color="auto" w:fill="F5F5F5"/>
          </w:tcPr>
          <w:p>
            <w:pPr>
              <w:spacing w:after="0"/>
              <w:rPr>
                <w:sz w:val="12"/>
                <w:szCs w:val="12"/>
                <w:color w:val="auto"/>
              </w:rPr>
            </w:pPr>
          </w:p>
        </w:tc>
        <w:tc>
          <w:tcPr>
            <w:tcW w:w="2220" w:type="dxa"/>
            <w:vAlign w:val="bottom"/>
            <w:gridSpan w:val="4"/>
            <w:shd w:val="clear" w:color="auto" w:fill="F5F5F5"/>
          </w:tcPr>
          <w:p>
            <w:pPr>
              <w:spacing w:after="0" w:line="139" w:lineRule="exact"/>
              <w:rPr>
                <w:sz w:val="20"/>
                <w:szCs w:val="20"/>
                <w:color w:val="auto"/>
              </w:rPr>
            </w:pPr>
            <w:r>
              <w:rPr>
                <w:rFonts w:ascii="Arial" w:cs="Arial" w:eastAsia="Arial" w:hAnsi="Arial"/>
                <w:sz w:val="14"/>
                <w:szCs w:val="14"/>
                <w:i w:val="1"/>
                <w:iCs w:val="1"/>
                <w:color w:val="auto"/>
              </w:rPr>
              <w:t>Expense Disaggregation</w:t>
            </w:r>
          </w:p>
        </w:tc>
        <w:tc>
          <w:tcPr>
            <w:tcW w:w="4440" w:type="dxa"/>
            <w:vAlign w:val="bottom"/>
            <w:gridSpan w:val="2"/>
            <w:shd w:val="clear" w:color="auto" w:fill="F5F5F5"/>
          </w:tcPr>
          <w:p>
            <w:pPr>
              <w:ind w:left="20"/>
              <w:spacing w:after="0" w:line="139" w:lineRule="exact"/>
              <w:rPr>
                <w:sz w:val="20"/>
                <w:szCs w:val="20"/>
                <w:color w:val="auto"/>
              </w:rPr>
            </w:pPr>
            <w:r>
              <w:rPr>
                <w:rFonts w:ascii="Arial" w:cs="Arial" w:eastAsia="Arial" w:hAnsi="Arial"/>
                <w:sz w:val="14"/>
                <w:szCs w:val="14"/>
                <w:color w:val="auto"/>
              </w:rPr>
              <w:t>information about certain costs and expenses. The update is</w:t>
            </w:r>
          </w:p>
        </w:tc>
        <w:tc>
          <w:tcPr>
            <w:tcW w:w="1500" w:type="dxa"/>
            <w:vAlign w:val="bottom"/>
            <w:shd w:val="clear" w:color="auto" w:fill="F5F5F5"/>
          </w:tcPr>
          <w:p>
            <w:pPr>
              <w:spacing w:after="0"/>
              <w:rPr>
                <w:sz w:val="12"/>
                <w:szCs w:val="12"/>
                <w:color w:val="auto"/>
              </w:rPr>
            </w:pPr>
          </w:p>
        </w:tc>
        <w:tc>
          <w:tcPr>
            <w:tcW w:w="100" w:type="dxa"/>
            <w:vAlign w:val="bottom"/>
            <w:shd w:val="clear" w:color="auto" w:fill="F5F5F5"/>
          </w:tcPr>
          <w:p>
            <w:pPr>
              <w:spacing w:after="0"/>
              <w:rPr>
                <w:sz w:val="12"/>
                <w:szCs w:val="12"/>
                <w:color w:val="auto"/>
              </w:rPr>
            </w:pPr>
          </w:p>
        </w:tc>
        <w:tc>
          <w:tcPr>
            <w:tcW w:w="20" w:type="dxa"/>
            <w:vAlign w:val="bottom"/>
            <w:shd w:val="clear" w:color="auto" w:fill="F5F5F5"/>
          </w:tcPr>
          <w:p>
            <w:pPr>
              <w:spacing w:after="0"/>
              <w:rPr>
                <w:sz w:val="12"/>
                <w:szCs w:val="12"/>
                <w:color w:val="auto"/>
              </w:rPr>
            </w:pPr>
          </w:p>
        </w:tc>
        <w:tc>
          <w:tcPr>
            <w:tcW w:w="2880" w:type="dxa"/>
            <w:vAlign w:val="bottom"/>
            <w:gridSpan w:val="7"/>
            <w:shd w:val="clear" w:color="auto" w:fill="F5F5F5"/>
          </w:tcPr>
          <w:p>
            <w:pPr>
              <w:spacing w:after="0" w:line="139" w:lineRule="exact"/>
              <w:rPr>
                <w:sz w:val="20"/>
                <w:szCs w:val="20"/>
                <w:color w:val="auto"/>
              </w:rPr>
            </w:pPr>
            <w:r>
              <w:rPr>
                <w:rFonts w:ascii="Arial" w:cs="Arial" w:eastAsia="Arial" w:hAnsi="Arial"/>
                <w:sz w:val="14"/>
                <w:szCs w:val="14"/>
                <w:color w:val="auto"/>
              </w:rPr>
              <w:t>consolidated financial statements.</w:t>
            </w:r>
          </w:p>
        </w:tc>
        <w:tc>
          <w:tcPr>
            <w:tcW w:w="0" w:type="dxa"/>
            <w:vAlign w:val="bottom"/>
          </w:tcPr>
          <w:p>
            <w:pPr>
              <w:spacing w:after="0"/>
              <w:rPr>
                <w:sz w:val="1"/>
                <w:szCs w:val="1"/>
                <w:color w:val="auto"/>
              </w:rPr>
            </w:pPr>
          </w:p>
        </w:tc>
      </w:tr>
      <w:tr>
        <w:trPr>
          <w:trHeight w:val="149"/>
        </w:trPr>
        <w:tc>
          <w:tcPr>
            <w:tcW w:w="20" w:type="dxa"/>
            <w:vAlign w:val="bottom"/>
            <w:shd w:val="clear" w:color="auto" w:fill="F5F5F5"/>
          </w:tcPr>
          <w:p>
            <w:pPr>
              <w:spacing w:after="0"/>
              <w:rPr>
                <w:sz w:val="12"/>
                <w:szCs w:val="12"/>
                <w:color w:val="auto"/>
              </w:rPr>
            </w:pPr>
          </w:p>
        </w:tc>
        <w:tc>
          <w:tcPr>
            <w:tcW w:w="2220" w:type="dxa"/>
            <w:vAlign w:val="bottom"/>
            <w:gridSpan w:val="4"/>
            <w:shd w:val="clear" w:color="auto" w:fill="F5F5F5"/>
          </w:tcPr>
          <w:p>
            <w:pPr>
              <w:spacing w:after="0" w:line="149" w:lineRule="exact"/>
              <w:rPr>
                <w:sz w:val="20"/>
                <w:szCs w:val="20"/>
                <w:color w:val="auto"/>
              </w:rPr>
            </w:pPr>
            <w:r>
              <w:rPr>
                <w:rFonts w:ascii="Arial" w:cs="Arial" w:eastAsia="Arial" w:hAnsi="Arial"/>
                <w:sz w:val="14"/>
                <w:szCs w:val="14"/>
                <w:i w:val="1"/>
                <w:iCs w:val="1"/>
                <w:color w:val="auto"/>
              </w:rPr>
              <w:t>Disclosures (Subtopic 220-40):</w:t>
            </w:r>
          </w:p>
        </w:tc>
        <w:tc>
          <w:tcPr>
            <w:tcW w:w="4440" w:type="dxa"/>
            <w:vAlign w:val="bottom"/>
            <w:gridSpan w:val="2"/>
            <w:shd w:val="clear" w:color="auto" w:fill="F5F5F5"/>
          </w:tcPr>
          <w:p>
            <w:pPr>
              <w:ind w:left="20"/>
              <w:spacing w:after="0" w:line="149" w:lineRule="exact"/>
              <w:rPr>
                <w:sz w:val="20"/>
                <w:szCs w:val="20"/>
                <w:color w:val="auto"/>
              </w:rPr>
            </w:pPr>
            <w:r>
              <w:rPr>
                <w:rFonts w:ascii="Arial" w:cs="Arial" w:eastAsia="Arial" w:hAnsi="Arial"/>
                <w:sz w:val="14"/>
                <w:szCs w:val="14"/>
                <w:color w:val="auto"/>
              </w:rPr>
              <w:t>effective for fiscal years beginning after December 15, 2026 and</w:t>
            </w:r>
          </w:p>
        </w:tc>
        <w:tc>
          <w:tcPr>
            <w:tcW w:w="1500" w:type="dxa"/>
            <w:vAlign w:val="bottom"/>
            <w:shd w:val="clear" w:color="auto" w:fill="F5F5F5"/>
          </w:tcPr>
          <w:p>
            <w:pPr>
              <w:spacing w:after="0"/>
              <w:rPr>
                <w:sz w:val="12"/>
                <w:szCs w:val="12"/>
                <w:color w:val="auto"/>
              </w:rPr>
            </w:pPr>
          </w:p>
        </w:tc>
        <w:tc>
          <w:tcPr>
            <w:tcW w:w="100" w:type="dxa"/>
            <w:vAlign w:val="bottom"/>
            <w:shd w:val="clear" w:color="auto" w:fill="F5F5F5"/>
          </w:tcPr>
          <w:p>
            <w:pPr>
              <w:spacing w:after="0"/>
              <w:rPr>
                <w:sz w:val="12"/>
                <w:szCs w:val="12"/>
                <w:color w:val="auto"/>
              </w:rPr>
            </w:pPr>
          </w:p>
        </w:tc>
        <w:tc>
          <w:tcPr>
            <w:tcW w:w="20" w:type="dxa"/>
            <w:vAlign w:val="bottom"/>
            <w:shd w:val="clear" w:color="auto" w:fill="F5F5F5"/>
          </w:tcPr>
          <w:p>
            <w:pPr>
              <w:spacing w:after="0"/>
              <w:rPr>
                <w:sz w:val="12"/>
                <w:szCs w:val="12"/>
                <w:color w:val="auto"/>
              </w:rPr>
            </w:pPr>
          </w:p>
        </w:tc>
        <w:tc>
          <w:tcPr>
            <w:tcW w:w="860" w:type="dxa"/>
            <w:vAlign w:val="bottom"/>
            <w:shd w:val="clear" w:color="auto" w:fill="F5F5F5"/>
          </w:tcPr>
          <w:p>
            <w:pPr>
              <w:spacing w:after="0"/>
              <w:rPr>
                <w:sz w:val="12"/>
                <w:szCs w:val="12"/>
                <w:color w:val="auto"/>
              </w:rPr>
            </w:pPr>
          </w:p>
        </w:tc>
        <w:tc>
          <w:tcPr>
            <w:tcW w:w="260" w:type="dxa"/>
            <w:vAlign w:val="bottom"/>
            <w:shd w:val="clear" w:color="auto" w:fill="F5F5F5"/>
          </w:tcPr>
          <w:p>
            <w:pPr>
              <w:spacing w:after="0"/>
              <w:rPr>
                <w:sz w:val="12"/>
                <w:szCs w:val="12"/>
                <w:color w:val="auto"/>
              </w:rPr>
            </w:pPr>
          </w:p>
        </w:tc>
        <w:tc>
          <w:tcPr>
            <w:tcW w:w="760" w:type="dxa"/>
            <w:vAlign w:val="bottom"/>
            <w:shd w:val="clear" w:color="auto" w:fill="F5F5F5"/>
          </w:tcPr>
          <w:p>
            <w:pPr>
              <w:spacing w:after="0"/>
              <w:rPr>
                <w:sz w:val="12"/>
                <w:szCs w:val="12"/>
                <w:color w:val="auto"/>
              </w:rPr>
            </w:pPr>
          </w:p>
        </w:tc>
        <w:tc>
          <w:tcPr>
            <w:tcW w:w="200" w:type="dxa"/>
            <w:vAlign w:val="bottom"/>
            <w:shd w:val="clear" w:color="auto" w:fill="F5F5F5"/>
          </w:tcPr>
          <w:p>
            <w:pPr>
              <w:spacing w:after="0"/>
              <w:rPr>
                <w:sz w:val="12"/>
                <w:szCs w:val="12"/>
                <w:color w:val="auto"/>
              </w:rPr>
            </w:pPr>
          </w:p>
        </w:tc>
        <w:tc>
          <w:tcPr>
            <w:tcW w:w="520" w:type="dxa"/>
            <w:vAlign w:val="bottom"/>
            <w:shd w:val="clear" w:color="auto" w:fill="F5F5F5"/>
          </w:tcPr>
          <w:p>
            <w:pPr>
              <w:spacing w:after="0"/>
              <w:rPr>
                <w:sz w:val="12"/>
                <w:szCs w:val="12"/>
                <w:color w:val="auto"/>
              </w:rPr>
            </w:pPr>
          </w:p>
        </w:tc>
        <w:tc>
          <w:tcPr>
            <w:tcW w:w="20" w:type="dxa"/>
            <w:vAlign w:val="bottom"/>
            <w:shd w:val="clear" w:color="auto" w:fill="F5F5F5"/>
          </w:tcPr>
          <w:p>
            <w:pPr>
              <w:spacing w:after="0"/>
              <w:rPr>
                <w:sz w:val="12"/>
                <w:szCs w:val="12"/>
                <w:color w:val="auto"/>
              </w:rPr>
            </w:pPr>
          </w:p>
        </w:tc>
        <w:tc>
          <w:tcPr>
            <w:tcW w:w="260" w:type="dxa"/>
            <w:vAlign w:val="bottom"/>
            <w:shd w:val="clear" w:color="auto" w:fill="F5F5F5"/>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shd w:val="clear" w:color="auto" w:fill="F5F5F5"/>
          </w:tcPr>
          <w:p>
            <w:pPr>
              <w:spacing w:after="0"/>
              <w:rPr>
                <w:sz w:val="12"/>
                <w:szCs w:val="12"/>
                <w:color w:val="auto"/>
              </w:rPr>
            </w:pPr>
          </w:p>
        </w:tc>
        <w:tc>
          <w:tcPr>
            <w:tcW w:w="2220" w:type="dxa"/>
            <w:vAlign w:val="bottom"/>
            <w:gridSpan w:val="4"/>
            <w:shd w:val="clear" w:color="auto" w:fill="F5F5F5"/>
          </w:tcPr>
          <w:p>
            <w:pPr>
              <w:spacing w:after="0" w:line="145" w:lineRule="exact"/>
              <w:rPr>
                <w:sz w:val="20"/>
                <w:szCs w:val="20"/>
                <w:color w:val="auto"/>
              </w:rPr>
            </w:pPr>
            <w:r>
              <w:rPr>
                <w:rFonts w:ascii="Arial" w:cs="Arial" w:eastAsia="Arial" w:hAnsi="Arial"/>
                <w:sz w:val="14"/>
                <w:szCs w:val="14"/>
                <w:i w:val="1"/>
                <w:iCs w:val="1"/>
                <w:color w:val="auto"/>
              </w:rPr>
              <w:t>Disaggregation of Income</w:t>
            </w:r>
          </w:p>
        </w:tc>
        <w:tc>
          <w:tcPr>
            <w:tcW w:w="4440" w:type="dxa"/>
            <w:vAlign w:val="bottom"/>
            <w:gridSpan w:val="2"/>
            <w:shd w:val="clear" w:color="auto" w:fill="F5F5F5"/>
          </w:tcPr>
          <w:p>
            <w:pPr>
              <w:ind w:left="20"/>
              <w:spacing w:after="0" w:line="145" w:lineRule="exact"/>
              <w:rPr>
                <w:sz w:val="20"/>
                <w:szCs w:val="20"/>
                <w:color w:val="auto"/>
              </w:rPr>
            </w:pPr>
            <w:r>
              <w:rPr>
                <w:rFonts w:ascii="Arial" w:cs="Arial" w:eastAsia="Arial" w:hAnsi="Arial"/>
                <w:sz w:val="14"/>
                <w:szCs w:val="14"/>
                <w:color w:val="auto"/>
              </w:rPr>
              <w:t>interim period periods within annual reporting periods beginning</w:t>
            </w:r>
          </w:p>
        </w:tc>
        <w:tc>
          <w:tcPr>
            <w:tcW w:w="1500" w:type="dxa"/>
            <w:vAlign w:val="bottom"/>
            <w:shd w:val="clear" w:color="auto" w:fill="F5F5F5"/>
          </w:tcPr>
          <w:p>
            <w:pPr>
              <w:spacing w:after="0"/>
              <w:rPr>
                <w:sz w:val="12"/>
                <w:szCs w:val="12"/>
                <w:color w:val="auto"/>
              </w:rPr>
            </w:pPr>
          </w:p>
        </w:tc>
        <w:tc>
          <w:tcPr>
            <w:tcW w:w="100" w:type="dxa"/>
            <w:vAlign w:val="bottom"/>
            <w:shd w:val="clear" w:color="auto" w:fill="F5F5F5"/>
          </w:tcPr>
          <w:p>
            <w:pPr>
              <w:spacing w:after="0"/>
              <w:rPr>
                <w:sz w:val="12"/>
                <w:szCs w:val="12"/>
                <w:color w:val="auto"/>
              </w:rPr>
            </w:pPr>
          </w:p>
        </w:tc>
        <w:tc>
          <w:tcPr>
            <w:tcW w:w="20" w:type="dxa"/>
            <w:vAlign w:val="bottom"/>
            <w:shd w:val="clear" w:color="auto" w:fill="F5F5F5"/>
          </w:tcPr>
          <w:p>
            <w:pPr>
              <w:spacing w:after="0"/>
              <w:rPr>
                <w:sz w:val="12"/>
                <w:szCs w:val="12"/>
                <w:color w:val="auto"/>
              </w:rPr>
            </w:pPr>
          </w:p>
        </w:tc>
        <w:tc>
          <w:tcPr>
            <w:tcW w:w="860" w:type="dxa"/>
            <w:vAlign w:val="bottom"/>
            <w:shd w:val="clear" w:color="auto" w:fill="F5F5F5"/>
          </w:tcPr>
          <w:p>
            <w:pPr>
              <w:spacing w:after="0"/>
              <w:rPr>
                <w:sz w:val="12"/>
                <w:szCs w:val="12"/>
                <w:color w:val="auto"/>
              </w:rPr>
            </w:pPr>
          </w:p>
        </w:tc>
        <w:tc>
          <w:tcPr>
            <w:tcW w:w="260" w:type="dxa"/>
            <w:vAlign w:val="bottom"/>
            <w:shd w:val="clear" w:color="auto" w:fill="F5F5F5"/>
          </w:tcPr>
          <w:p>
            <w:pPr>
              <w:spacing w:after="0"/>
              <w:rPr>
                <w:sz w:val="12"/>
                <w:szCs w:val="12"/>
                <w:color w:val="auto"/>
              </w:rPr>
            </w:pPr>
          </w:p>
        </w:tc>
        <w:tc>
          <w:tcPr>
            <w:tcW w:w="760" w:type="dxa"/>
            <w:vAlign w:val="bottom"/>
            <w:shd w:val="clear" w:color="auto" w:fill="F5F5F5"/>
          </w:tcPr>
          <w:p>
            <w:pPr>
              <w:spacing w:after="0"/>
              <w:rPr>
                <w:sz w:val="12"/>
                <w:szCs w:val="12"/>
                <w:color w:val="auto"/>
              </w:rPr>
            </w:pPr>
          </w:p>
        </w:tc>
        <w:tc>
          <w:tcPr>
            <w:tcW w:w="200" w:type="dxa"/>
            <w:vAlign w:val="bottom"/>
            <w:shd w:val="clear" w:color="auto" w:fill="F5F5F5"/>
          </w:tcPr>
          <w:p>
            <w:pPr>
              <w:spacing w:after="0"/>
              <w:rPr>
                <w:sz w:val="12"/>
                <w:szCs w:val="12"/>
                <w:color w:val="auto"/>
              </w:rPr>
            </w:pPr>
          </w:p>
        </w:tc>
        <w:tc>
          <w:tcPr>
            <w:tcW w:w="520" w:type="dxa"/>
            <w:vAlign w:val="bottom"/>
            <w:shd w:val="clear" w:color="auto" w:fill="F5F5F5"/>
          </w:tcPr>
          <w:p>
            <w:pPr>
              <w:spacing w:after="0"/>
              <w:rPr>
                <w:sz w:val="12"/>
                <w:szCs w:val="12"/>
                <w:color w:val="auto"/>
              </w:rPr>
            </w:pPr>
          </w:p>
        </w:tc>
        <w:tc>
          <w:tcPr>
            <w:tcW w:w="20" w:type="dxa"/>
            <w:vAlign w:val="bottom"/>
            <w:shd w:val="clear" w:color="auto" w:fill="F5F5F5"/>
          </w:tcPr>
          <w:p>
            <w:pPr>
              <w:spacing w:after="0"/>
              <w:rPr>
                <w:sz w:val="12"/>
                <w:szCs w:val="12"/>
                <w:color w:val="auto"/>
              </w:rPr>
            </w:pPr>
          </w:p>
        </w:tc>
        <w:tc>
          <w:tcPr>
            <w:tcW w:w="260" w:type="dxa"/>
            <w:vAlign w:val="bottom"/>
            <w:shd w:val="clear" w:color="auto" w:fill="F5F5F5"/>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F5F5F5"/>
          </w:tcPr>
          <w:p>
            <w:pPr>
              <w:spacing w:after="0"/>
              <w:rPr>
                <w:sz w:val="16"/>
                <w:szCs w:val="16"/>
                <w:color w:val="auto"/>
              </w:rPr>
            </w:pPr>
          </w:p>
        </w:tc>
        <w:tc>
          <w:tcPr>
            <w:tcW w:w="2220" w:type="dxa"/>
            <w:vAlign w:val="bottom"/>
            <w:gridSpan w:val="4"/>
            <w:shd w:val="clear" w:color="auto" w:fill="F5F5F5"/>
          </w:tcPr>
          <w:p>
            <w:pPr>
              <w:spacing w:after="0"/>
              <w:rPr>
                <w:sz w:val="20"/>
                <w:szCs w:val="20"/>
                <w:color w:val="auto"/>
              </w:rPr>
            </w:pPr>
            <w:r>
              <w:rPr>
                <w:rFonts w:ascii="Arial" w:cs="Arial" w:eastAsia="Arial" w:hAnsi="Arial"/>
                <w:sz w:val="14"/>
                <w:szCs w:val="14"/>
                <w:i w:val="1"/>
                <w:iCs w:val="1"/>
                <w:color w:val="auto"/>
              </w:rPr>
              <w:t>Statement Expenses</w:t>
            </w:r>
          </w:p>
        </w:tc>
        <w:tc>
          <w:tcPr>
            <w:tcW w:w="4440" w:type="dxa"/>
            <w:vAlign w:val="bottom"/>
            <w:gridSpan w:val="2"/>
            <w:shd w:val="clear" w:color="auto" w:fill="F5F5F5"/>
          </w:tcPr>
          <w:p>
            <w:pPr>
              <w:ind w:left="20"/>
              <w:spacing w:after="0"/>
              <w:rPr>
                <w:sz w:val="20"/>
                <w:szCs w:val="20"/>
                <w:color w:val="auto"/>
              </w:rPr>
            </w:pPr>
            <w:r>
              <w:rPr>
                <w:rFonts w:ascii="Arial" w:cs="Arial" w:eastAsia="Arial" w:hAnsi="Arial"/>
                <w:sz w:val="14"/>
                <w:szCs w:val="14"/>
                <w:color w:val="auto"/>
              </w:rPr>
              <w:t>after December 15, 2027. Early adoption is permitted.</w:t>
            </w:r>
          </w:p>
        </w:tc>
        <w:tc>
          <w:tcPr>
            <w:tcW w:w="1500" w:type="dxa"/>
            <w:vAlign w:val="bottom"/>
            <w:shd w:val="clear" w:color="auto" w:fill="F5F5F5"/>
          </w:tcPr>
          <w:p>
            <w:pPr>
              <w:spacing w:after="0"/>
              <w:rPr>
                <w:sz w:val="16"/>
                <w:szCs w:val="16"/>
                <w:color w:val="auto"/>
              </w:rPr>
            </w:pPr>
          </w:p>
        </w:tc>
        <w:tc>
          <w:tcPr>
            <w:tcW w:w="100" w:type="dxa"/>
            <w:vAlign w:val="bottom"/>
            <w:shd w:val="clear" w:color="auto" w:fill="F5F5F5"/>
          </w:tcPr>
          <w:p>
            <w:pPr>
              <w:spacing w:after="0"/>
              <w:rPr>
                <w:sz w:val="16"/>
                <w:szCs w:val="16"/>
                <w:color w:val="auto"/>
              </w:rPr>
            </w:pPr>
          </w:p>
        </w:tc>
        <w:tc>
          <w:tcPr>
            <w:tcW w:w="20" w:type="dxa"/>
            <w:vAlign w:val="bottom"/>
            <w:shd w:val="clear" w:color="auto" w:fill="F5F5F5"/>
          </w:tcPr>
          <w:p>
            <w:pPr>
              <w:spacing w:after="0"/>
              <w:rPr>
                <w:sz w:val="16"/>
                <w:szCs w:val="16"/>
                <w:color w:val="auto"/>
              </w:rPr>
            </w:pPr>
          </w:p>
        </w:tc>
        <w:tc>
          <w:tcPr>
            <w:tcW w:w="860" w:type="dxa"/>
            <w:vAlign w:val="bottom"/>
            <w:shd w:val="clear" w:color="auto" w:fill="F5F5F5"/>
          </w:tcPr>
          <w:p>
            <w:pPr>
              <w:spacing w:after="0"/>
              <w:rPr>
                <w:sz w:val="16"/>
                <w:szCs w:val="16"/>
                <w:color w:val="auto"/>
              </w:rPr>
            </w:pPr>
          </w:p>
        </w:tc>
        <w:tc>
          <w:tcPr>
            <w:tcW w:w="260" w:type="dxa"/>
            <w:vAlign w:val="bottom"/>
            <w:shd w:val="clear" w:color="auto" w:fill="F5F5F5"/>
          </w:tcPr>
          <w:p>
            <w:pPr>
              <w:spacing w:after="0"/>
              <w:rPr>
                <w:sz w:val="16"/>
                <w:szCs w:val="16"/>
                <w:color w:val="auto"/>
              </w:rPr>
            </w:pPr>
          </w:p>
        </w:tc>
        <w:tc>
          <w:tcPr>
            <w:tcW w:w="760" w:type="dxa"/>
            <w:vAlign w:val="bottom"/>
            <w:shd w:val="clear" w:color="auto" w:fill="F5F5F5"/>
          </w:tcPr>
          <w:p>
            <w:pPr>
              <w:spacing w:after="0"/>
              <w:rPr>
                <w:sz w:val="16"/>
                <w:szCs w:val="16"/>
                <w:color w:val="auto"/>
              </w:rPr>
            </w:pPr>
          </w:p>
        </w:tc>
        <w:tc>
          <w:tcPr>
            <w:tcW w:w="200" w:type="dxa"/>
            <w:vAlign w:val="bottom"/>
            <w:shd w:val="clear" w:color="auto" w:fill="F5F5F5"/>
          </w:tcPr>
          <w:p>
            <w:pPr>
              <w:spacing w:after="0"/>
              <w:rPr>
                <w:sz w:val="16"/>
                <w:szCs w:val="16"/>
                <w:color w:val="auto"/>
              </w:rPr>
            </w:pPr>
          </w:p>
        </w:tc>
        <w:tc>
          <w:tcPr>
            <w:tcW w:w="520" w:type="dxa"/>
            <w:vAlign w:val="bottom"/>
            <w:shd w:val="clear" w:color="auto" w:fill="F5F5F5"/>
          </w:tcPr>
          <w:p>
            <w:pPr>
              <w:spacing w:after="0"/>
              <w:rPr>
                <w:sz w:val="16"/>
                <w:szCs w:val="16"/>
                <w:color w:val="auto"/>
              </w:rPr>
            </w:pPr>
          </w:p>
        </w:tc>
        <w:tc>
          <w:tcPr>
            <w:tcW w:w="20" w:type="dxa"/>
            <w:vAlign w:val="bottom"/>
            <w:shd w:val="clear" w:color="auto" w:fill="F5F5F5"/>
          </w:tcPr>
          <w:p>
            <w:pPr>
              <w:spacing w:after="0"/>
              <w:rPr>
                <w:sz w:val="16"/>
                <w:szCs w:val="16"/>
                <w:color w:val="auto"/>
              </w:rPr>
            </w:pPr>
          </w:p>
        </w:tc>
        <w:tc>
          <w:tcPr>
            <w:tcW w:w="260" w:type="dxa"/>
            <w:vAlign w:val="bottom"/>
            <w:shd w:val="clear" w:color="auto" w:fill="F5F5F5"/>
          </w:tcPr>
          <w:p>
            <w:pPr>
              <w:spacing w:after="0"/>
              <w:rPr>
                <w:sz w:val="16"/>
                <w:szCs w:val="16"/>
                <w:color w:val="auto"/>
              </w:rPr>
            </w:pPr>
          </w:p>
        </w:tc>
        <w:tc>
          <w:tcPr>
            <w:tcW w:w="0" w:type="dxa"/>
            <w:vAlign w:val="bottom"/>
          </w:tcPr>
          <w:p>
            <w:pPr>
              <w:spacing w:after="0"/>
              <w:rPr>
                <w:sz w:val="1"/>
                <w:szCs w:val="1"/>
                <w:color w:val="auto"/>
              </w:rPr>
            </w:pPr>
          </w:p>
        </w:tc>
      </w:tr>
      <w:tr>
        <w:trPr>
          <w:trHeight w:val="336"/>
        </w:trPr>
        <w:tc>
          <w:tcPr>
            <w:tcW w:w="20" w:type="dxa"/>
            <w:vAlign w:val="bottom"/>
            <w:shd w:val="clear" w:color="auto" w:fill="F5F5F5"/>
          </w:tcPr>
          <w:p>
            <w:pPr>
              <w:spacing w:after="0"/>
              <w:rPr>
                <w:sz w:val="24"/>
                <w:szCs w:val="24"/>
                <w:color w:val="auto"/>
              </w:rPr>
            </w:pPr>
          </w:p>
        </w:tc>
        <w:tc>
          <w:tcPr>
            <w:tcW w:w="2220" w:type="dxa"/>
            <w:vAlign w:val="bottom"/>
            <w:gridSpan w:val="4"/>
            <w:shd w:val="clear" w:color="auto" w:fill="F5F5F5"/>
          </w:tcPr>
          <w:p>
            <w:pPr>
              <w:spacing w:after="0"/>
              <w:rPr>
                <w:sz w:val="20"/>
                <w:szCs w:val="20"/>
                <w:color w:val="auto"/>
              </w:rPr>
            </w:pPr>
            <w:r>
              <w:rPr>
                <w:rFonts w:ascii="Arial" w:cs="Arial" w:eastAsia="Arial" w:hAnsi="Arial"/>
                <w:sz w:val="14"/>
                <w:szCs w:val="14"/>
                <w:i w:val="1"/>
                <w:iCs w:val="1"/>
                <w:color w:val="auto"/>
              </w:rPr>
              <w:t>ASU 2025-01 - Income</w:t>
            </w:r>
          </w:p>
        </w:tc>
        <w:tc>
          <w:tcPr>
            <w:tcW w:w="4320" w:type="dxa"/>
            <w:vAlign w:val="bottom"/>
            <w:shd w:val="clear" w:color="auto" w:fill="F5F5F5"/>
          </w:tcPr>
          <w:p>
            <w:pPr>
              <w:spacing w:after="0"/>
              <w:rPr>
                <w:sz w:val="24"/>
                <w:szCs w:val="24"/>
                <w:color w:val="auto"/>
              </w:rPr>
            </w:pPr>
          </w:p>
        </w:tc>
        <w:tc>
          <w:tcPr>
            <w:tcW w:w="120" w:type="dxa"/>
            <w:vAlign w:val="bottom"/>
            <w:shd w:val="clear" w:color="auto" w:fill="F5F5F5"/>
          </w:tcPr>
          <w:p>
            <w:pPr>
              <w:spacing w:after="0"/>
              <w:rPr>
                <w:sz w:val="24"/>
                <w:szCs w:val="24"/>
                <w:color w:val="auto"/>
              </w:rPr>
            </w:pPr>
          </w:p>
        </w:tc>
        <w:tc>
          <w:tcPr>
            <w:tcW w:w="1500" w:type="dxa"/>
            <w:vAlign w:val="bottom"/>
            <w:shd w:val="clear" w:color="auto" w:fill="F5F5F5"/>
          </w:tcPr>
          <w:p>
            <w:pPr>
              <w:spacing w:after="0"/>
              <w:rPr>
                <w:sz w:val="24"/>
                <w:szCs w:val="24"/>
                <w:color w:val="auto"/>
              </w:rPr>
            </w:pPr>
          </w:p>
        </w:tc>
        <w:tc>
          <w:tcPr>
            <w:tcW w:w="100" w:type="dxa"/>
            <w:vAlign w:val="bottom"/>
            <w:shd w:val="clear" w:color="auto" w:fill="F5F5F5"/>
          </w:tcPr>
          <w:p>
            <w:pPr>
              <w:spacing w:after="0"/>
              <w:rPr>
                <w:sz w:val="24"/>
                <w:szCs w:val="24"/>
                <w:color w:val="auto"/>
              </w:rPr>
            </w:pPr>
          </w:p>
        </w:tc>
        <w:tc>
          <w:tcPr>
            <w:tcW w:w="20" w:type="dxa"/>
            <w:vAlign w:val="bottom"/>
            <w:shd w:val="clear" w:color="auto" w:fill="F5F5F5"/>
          </w:tcPr>
          <w:p>
            <w:pPr>
              <w:spacing w:after="0"/>
              <w:rPr>
                <w:sz w:val="24"/>
                <w:szCs w:val="24"/>
                <w:color w:val="auto"/>
              </w:rPr>
            </w:pPr>
          </w:p>
        </w:tc>
        <w:tc>
          <w:tcPr>
            <w:tcW w:w="860" w:type="dxa"/>
            <w:vAlign w:val="bottom"/>
            <w:shd w:val="clear" w:color="auto" w:fill="F5F5F5"/>
          </w:tcPr>
          <w:p>
            <w:pPr>
              <w:spacing w:after="0"/>
              <w:rPr>
                <w:sz w:val="24"/>
                <w:szCs w:val="24"/>
                <w:color w:val="auto"/>
              </w:rPr>
            </w:pPr>
          </w:p>
        </w:tc>
        <w:tc>
          <w:tcPr>
            <w:tcW w:w="260" w:type="dxa"/>
            <w:vAlign w:val="bottom"/>
            <w:shd w:val="clear" w:color="auto" w:fill="F5F5F5"/>
          </w:tcPr>
          <w:p>
            <w:pPr>
              <w:spacing w:after="0"/>
              <w:rPr>
                <w:sz w:val="24"/>
                <w:szCs w:val="24"/>
                <w:color w:val="auto"/>
              </w:rPr>
            </w:pPr>
          </w:p>
        </w:tc>
        <w:tc>
          <w:tcPr>
            <w:tcW w:w="760" w:type="dxa"/>
            <w:vAlign w:val="bottom"/>
            <w:shd w:val="clear" w:color="auto" w:fill="F5F5F5"/>
          </w:tcPr>
          <w:p>
            <w:pPr>
              <w:spacing w:after="0"/>
              <w:rPr>
                <w:sz w:val="24"/>
                <w:szCs w:val="24"/>
                <w:color w:val="auto"/>
              </w:rPr>
            </w:pPr>
          </w:p>
        </w:tc>
        <w:tc>
          <w:tcPr>
            <w:tcW w:w="200" w:type="dxa"/>
            <w:vAlign w:val="bottom"/>
            <w:shd w:val="clear" w:color="auto" w:fill="F5F5F5"/>
          </w:tcPr>
          <w:p>
            <w:pPr>
              <w:spacing w:after="0"/>
              <w:rPr>
                <w:sz w:val="24"/>
                <w:szCs w:val="24"/>
                <w:color w:val="auto"/>
              </w:rPr>
            </w:pPr>
          </w:p>
        </w:tc>
        <w:tc>
          <w:tcPr>
            <w:tcW w:w="520" w:type="dxa"/>
            <w:vAlign w:val="bottom"/>
            <w:shd w:val="clear" w:color="auto" w:fill="F5F5F5"/>
          </w:tcPr>
          <w:p>
            <w:pPr>
              <w:spacing w:after="0"/>
              <w:rPr>
                <w:sz w:val="24"/>
                <w:szCs w:val="24"/>
                <w:color w:val="auto"/>
              </w:rPr>
            </w:pPr>
          </w:p>
        </w:tc>
        <w:tc>
          <w:tcPr>
            <w:tcW w:w="20" w:type="dxa"/>
            <w:vAlign w:val="bottom"/>
            <w:shd w:val="clear" w:color="auto" w:fill="F5F5F5"/>
          </w:tcPr>
          <w:p>
            <w:pPr>
              <w:spacing w:after="0"/>
              <w:rPr>
                <w:sz w:val="24"/>
                <w:szCs w:val="24"/>
                <w:color w:val="auto"/>
              </w:rPr>
            </w:pPr>
          </w:p>
        </w:tc>
        <w:tc>
          <w:tcPr>
            <w:tcW w:w="260" w:type="dxa"/>
            <w:vAlign w:val="bottom"/>
            <w:shd w:val="clear" w:color="auto" w:fill="F5F5F5"/>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20" w:type="dxa"/>
            <w:vAlign w:val="bottom"/>
            <w:shd w:val="clear" w:color="auto" w:fill="F5F5F5"/>
          </w:tcPr>
          <w:p>
            <w:pPr>
              <w:spacing w:after="0"/>
              <w:rPr>
                <w:sz w:val="12"/>
                <w:szCs w:val="12"/>
                <w:color w:val="auto"/>
              </w:rPr>
            </w:pPr>
          </w:p>
        </w:tc>
        <w:tc>
          <w:tcPr>
            <w:tcW w:w="2220" w:type="dxa"/>
            <w:vAlign w:val="bottom"/>
            <w:gridSpan w:val="4"/>
            <w:shd w:val="clear" w:color="auto" w:fill="F5F5F5"/>
          </w:tcPr>
          <w:p>
            <w:pPr>
              <w:spacing w:after="0" w:line="141" w:lineRule="exact"/>
              <w:rPr>
                <w:sz w:val="20"/>
                <w:szCs w:val="20"/>
                <w:color w:val="auto"/>
              </w:rPr>
            </w:pPr>
            <w:r>
              <w:rPr>
                <w:rFonts w:ascii="Arial" w:cs="Arial" w:eastAsia="Arial" w:hAnsi="Arial"/>
                <w:sz w:val="14"/>
                <w:szCs w:val="14"/>
                <w:i w:val="1"/>
                <w:iCs w:val="1"/>
                <w:color w:val="auto"/>
              </w:rPr>
              <w:t>Statement—Reporting</w:t>
            </w:r>
          </w:p>
        </w:tc>
        <w:tc>
          <w:tcPr>
            <w:tcW w:w="4320" w:type="dxa"/>
            <w:vAlign w:val="bottom"/>
            <w:shd w:val="clear" w:color="auto" w:fill="F5F5F5"/>
          </w:tcPr>
          <w:p>
            <w:pPr>
              <w:spacing w:after="0"/>
              <w:rPr>
                <w:sz w:val="12"/>
                <w:szCs w:val="12"/>
                <w:color w:val="auto"/>
              </w:rPr>
            </w:pPr>
          </w:p>
        </w:tc>
        <w:tc>
          <w:tcPr>
            <w:tcW w:w="120" w:type="dxa"/>
            <w:vAlign w:val="bottom"/>
            <w:shd w:val="clear" w:color="auto" w:fill="F5F5F5"/>
          </w:tcPr>
          <w:p>
            <w:pPr>
              <w:spacing w:after="0"/>
              <w:rPr>
                <w:sz w:val="12"/>
                <w:szCs w:val="12"/>
                <w:color w:val="auto"/>
              </w:rPr>
            </w:pPr>
          </w:p>
        </w:tc>
        <w:tc>
          <w:tcPr>
            <w:tcW w:w="1500" w:type="dxa"/>
            <w:vAlign w:val="bottom"/>
            <w:shd w:val="clear" w:color="auto" w:fill="F5F5F5"/>
          </w:tcPr>
          <w:p>
            <w:pPr>
              <w:spacing w:after="0"/>
              <w:rPr>
                <w:sz w:val="12"/>
                <w:szCs w:val="12"/>
                <w:color w:val="auto"/>
              </w:rPr>
            </w:pPr>
          </w:p>
        </w:tc>
        <w:tc>
          <w:tcPr>
            <w:tcW w:w="100" w:type="dxa"/>
            <w:vAlign w:val="bottom"/>
            <w:shd w:val="clear" w:color="auto" w:fill="F5F5F5"/>
          </w:tcPr>
          <w:p>
            <w:pPr>
              <w:spacing w:after="0"/>
              <w:rPr>
                <w:sz w:val="12"/>
                <w:szCs w:val="12"/>
                <w:color w:val="auto"/>
              </w:rPr>
            </w:pPr>
          </w:p>
        </w:tc>
        <w:tc>
          <w:tcPr>
            <w:tcW w:w="20" w:type="dxa"/>
            <w:vAlign w:val="bottom"/>
            <w:shd w:val="clear" w:color="auto" w:fill="F5F5F5"/>
          </w:tcPr>
          <w:p>
            <w:pPr>
              <w:spacing w:after="0"/>
              <w:rPr>
                <w:sz w:val="12"/>
                <w:szCs w:val="12"/>
                <w:color w:val="auto"/>
              </w:rPr>
            </w:pPr>
          </w:p>
        </w:tc>
        <w:tc>
          <w:tcPr>
            <w:tcW w:w="860" w:type="dxa"/>
            <w:vAlign w:val="bottom"/>
            <w:shd w:val="clear" w:color="auto" w:fill="F5F5F5"/>
          </w:tcPr>
          <w:p>
            <w:pPr>
              <w:spacing w:after="0"/>
              <w:rPr>
                <w:sz w:val="12"/>
                <w:szCs w:val="12"/>
                <w:color w:val="auto"/>
              </w:rPr>
            </w:pPr>
          </w:p>
        </w:tc>
        <w:tc>
          <w:tcPr>
            <w:tcW w:w="260" w:type="dxa"/>
            <w:vAlign w:val="bottom"/>
            <w:shd w:val="clear" w:color="auto" w:fill="F5F5F5"/>
          </w:tcPr>
          <w:p>
            <w:pPr>
              <w:spacing w:after="0"/>
              <w:rPr>
                <w:sz w:val="12"/>
                <w:szCs w:val="12"/>
                <w:color w:val="auto"/>
              </w:rPr>
            </w:pPr>
          </w:p>
        </w:tc>
        <w:tc>
          <w:tcPr>
            <w:tcW w:w="760" w:type="dxa"/>
            <w:vAlign w:val="bottom"/>
            <w:shd w:val="clear" w:color="auto" w:fill="F5F5F5"/>
          </w:tcPr>
          <w:p>
            <w:pPr>
              <w:spacing w:after="0"/>
              <w:rPr>
                <w:sz w:val="12"/>
                <w:szCs w:val="12"/>
                <w:color w:val="auto"/>
              </w:rPr>
            </w:pPr>
          </w:p>
        </w:tc>
        <w:tc>
          <w:tcPr>
            <w:tcW w:w="200" w:type="dxa"/>
            <w:vAlign w:val="bottom"/>
            <w:shd w:val="clear" w:color="auto" w:fill="F5F5F5"/>
          </w:tcPr>
          <w:p>
            <w:pPr>
              <w:spacing w:after="0"/>
              <w:rPr>
                <w:sz w:val="12"/>
                <w:szCs w:val="12"/>
                <w:color w:val="auto"/>
              </w:rPr>
            </w:pPr>
          </w:p>
        </w:tc>
        <w:tc>
          <w:tcPr>
            <w:tcW w:w="520" w:type="dxa"/>
            <w:vAlign w:val="bottom"/>
            <w:shd w:val="clear" w:color="auto" w:fill="F5F5F5"/>
          </w:tcPr>
          <w:p>
            <w:pPr>
              <w:spacing w:after="0"/>
              <w:rPr>
                <w:sz w:val="12"/>
                <w:szCs w:val="12"/>
                <w:color w:val="auto"/>
              </w:rPr>
            </w:pPr>
          </w:p>
        </w:tc>
        <w:tc>
          <w:tcPr>
            <w:tcW w:w="20" w:type="dxa"/>
            <w:vAlign w:val="bottom"/>
            <w:shd w:val="clear" w:color="auto" w:fill="F5F5F5"/>
          </w:tcPr>
          <w:p>
            <w:pPr>
              <w:spacing w:after="0"/>
              <w:rPr>
                <w:sz w:val="12"/>
                <w:szCs w:val="12"/>
                <w:color w:val="auto"/>
              </w:rPr>
            </w:pPr>
          </w:p>
        </w:tc>
        <w:tc>
          <w:tcPr>
            <w:tcW w:w="260" w:type="dxa"/>
            <w:vAlign w:val="bottom"/>
            <w:shd w:val="clear" w:color="auto" w:fill="F5F5F5"/>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F5F5F5"/>
          </w:tcPr>
          <w:p>
            <w:pPr>
              <w:spacing w:after="0"/>
              <w:rPr>
                <w:sz w:val="12"/>
                <w:szCs w:val="12"/>
                <w:color w:val="auto"/>
              </w:rPr>
            </w:pPr>
          </w:p>
        </w:tc>
        <w:tc>
          <w:tcPr>
            <w:tcW w:w="2220" w:type="dxa"/>
            <w:vAlign w:val="bottom"/>
            <w:gridSpan w:val="4"/>
            <w:shd w:val="clear" w:color="auto" w:fill="F5F5F5"/>
          </w:tcPr>
          <w:p>
            <w:pPr>
              <w:spacing w:after="0" w:line="149" w:lineRule="exact"/>
              <w:rPr>
                <w:sz w:val="20"/>
                <w:szCs w:val="20"/>
                <w:color w:val="auto"/>
              </w:rPr>
            </w:pPr>
            <w:r>
              <w:rPr>
                <w:rFonts w:ascii="Arial" w:cs="Arial" w:eastAsia="Arial" w:hAnsi="Arial"/>
                <w:sz w:val="14"/>
                <w:szCs w:val="14"/>
                <w:i w:val="1"/>
                <w:iCs w:val="1"/>
                <w:color w:val="auto"/>
              </w:rPr>
              <w:t>Comprehensive Income—</w:t>
            </w:r>
          </w:p>
        </w:tc>
        <w:tc>
          <w:tcPr>
            <w:tcW w:w="4320" w:type="dxa"/>
            <w:vAlign w:val="bottom"/>
            <w:shd w:val="clear" w:color="auto" w:fill="F5F5F5"/>
          </w:tcPr>
          <w:p>
            <w:pPr>
              <w:spacing w:after="0"/>
              <w:rPr>
                <w:sz w:val="12"/>
                <w:szCs w:val="12"/>
                <w:color w:val="auto"/>
              </w:rPr>
            </w:pPr>
          </w:p>
        </w:tc>
        <w:tc>
          <w:tcPr>
            <w:tcW w:w="120" w:type="dxa"/>
            <w:vAlign w:val="bottom"/>
            <w:shd w:val="clear" w:color="auto" w:fill="F5F5F5"/>
          </w:tcPr>
          <w:p>
            <w:pPr>
              <w:spacing w:after="0"/>
              <w:rPr>
                <w:sz w:val="12"/>
                <w:szCs w:val="12"/>
                <w:color w:val="auto"/>
              </w:rPr>
            </w:pPr>
          </w:p>
        </w:tc>
        <w:tc>
          <w:tcPr>
            <w:tcW w:w="1500" w:type="dxa"/>
            <w:vAlign w:val="bottom"/>
            <w:shd w:val="clear" w:color="auto" w:fill="F5F5F5"/>
          </w:tcPr>
          <w:p>
            <w:pPr>
              <w:spacing w:after="0"/>
              <w:rPr>
                <w:sz w:val="12"/>
                <w:szCs w:val="12"/>
                <w:color w:val="auto"/>
              </w:rPr>
            </w:pPr>
          </w:p>
        </w:tc>
        <w:tc>
          <w:tcPr>
            <w:tcW w:w="100" w:type="dxa"/>
            <w:vAlign w:val="bottom"/>
            <w:shd w:val="clear" w:color="auto" w:fill="F5F5F5"/>
          </w:tcPr>
          <w:p>
            <w:pPr>
              <w:spacing w:after="0"/>
              <w:rPr>
                <w:sz w:val="12"/>
                <w:szCs w:val="12"/>
                <w:color w:val="auto"/>
              </w:rPr>
            </w:pPr>
          </w:p>
        </w:tc>
        <w:tc>
          <w:tcPr>
            <w:tcW w:w="20" w:type="dxa"/>
            <w:vAlign w:val="bottom"/>
            <w:shd w:val="clear" w:color="auto" w:fill="F5F5F5"/>
          </w:tcPr>
          <w:p>
            <w:pPr>
              <w:spacing w:after="0"/>
              <w:rPr>
                <w:sz w:val="12"/>
                <w:szCs w:val="12"/>
                <w:color w:val="auto"/>
              </w:rPr>
            </w:pPr>
          </w:p>
        </w:tc>
        <w:tc>
          <w:tcPr>
            <w:tcW w:w="860" w:type="dxa"/>
            <w:vAlign w:val="bottom"/>
            <w:shd w:val="clear" w:color="auto" w:fill="F5F5F5"/>
          </w:tcPr>
          <w:p>
            <w:pPr>
              <w:spacing w:after="0"/>
              <w:rPr>
                <w:sz w:val="12"/>
                <w:szCs w:val="12"/>
                <w:color w:val="auto"/>
              </w:rPr>
            </w:pPr>
          </w:p>
        </w:tc>
        <w:tc>
          <w:tcPr>
            <w:tcW w:w="260" w:type="dxa"/>
            <w:vAlign w:val="bottom"/>
            <w:shd w:val="clear" w:color="auto" w:fill="F5F5F5"/>
          </w:tcPr>
          <w:p>
            <w:pPr>
              <w:spacing w:after="0"/>
              <w:rPr>
                <w:sz w:val="12"/>
                <w:szCs w:val="12"/>
                <w:color w:val="auto"/>
              </w:rPr>
            </w:pPr>
          </w:p>
        </w:tc>
        <w:tc>
          <w:tcPr>
            <w:tcW w:w="760" w:type="dxa"/>
            <w:vAlign w:val="bottom"/>
            <w:shd w:val="clear" w:color="auto" w:fill="F5F5F5"/>
          </w:tcPr>
          <w:p>
            <w:pPr>
              <w:spacing w:after="0"/>
              <w:rPr>
                <w:sz w:val="12"/>
                <w:szCs w:val="12"/>
                <w:color w:val="auto"/>
              </w:rPr>
            </w:pPr>
          </w:p>
        </w:tc>
        <w:tc>
          <w:tcPr>
            <w:tcW w:w="200" w:type="dxa"/>
            <w:vAlign w:val="bottom"/>
            <w:shd w:val="clear" w:color="auto" w:fill="F5F5F5"/>
          </w:tcPr>
          <w:p>
            <w:pPr>
              <w:spacing w:after="0"/>
              <w:rPr>
                <w:sz w:val="12"/>
                <w:szCs w:val="12"/>
                <w:color w:val="auto"/>
              </w:rPr>
            </w:pPr>
          </w:p>
        </w:tc>
        <w:tc>
          <w:tcPr>
            <w:tcW w:w="520" w:type="dxa"/>
            <w:vAlign w:val="bottom"/>
            <w:shd w:val="clear" w:color="auto" w:fill="F5F5F5"/>
          </w:tcPr>
          <w:p>
            <w:pPr>
              <w:spacing w:after="0"/>
              <w:rPr>
                <w:sz w:val="12"/>
                <w:szCs w:val="12"/>
                <w:color w:val="auto"/>
              </w:rPr>
            </w:pPr>
          </w:p>
        </w:tc>
        <w:tc>
          <w:tcPr>
            <w:tcW w:w="20" w:type="dxa"/>
            <w:vAlign w:val="bottom"/>
            <w:shd w:val="clear" w:color="auto" w:fill="F5F5F5"/>
          </w:tcPr>
          <w:p>
            <w:pPr>
              <w:spacing w:after="0"/>
              <w:rPr>
                <w:sz w:val="12"/>
                <w:szCs w:val="12"/>
                <w:color w:val="auto"/>
              </w:rPr>
            </w:pPr>
          </w:p>
        </w:tc>
        <w:tc>
          <w:tcPr>
            <w:tcW w:w="260" w:type="dxa"/>
            <w:vAlign w:val="bottom"/>
            <w:shd w:val="clear" w:color="auto" w:fill="F5F5F5"/>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F5F5F5"/>
          </w:tcPr>
          <w:p>
            <w:pPr>
              <w:spacing w:after="0"/>
              <w:rPr>
                <w:sz w:val="12"/>
                <w:szCs w:val="12"/>
                <w:color w:val="auto"/>
              </w:rPr>
            </w:pPr>
          </w:p>
        </w:tc>
        <w:tc>
          <w:tcPr>
            <w:tcW w:w="2220" w:type="dxa"/>
            <w:vAlign w:val="bottom"/>
            <w:gridSpan w:val="4"/>
            <w:shd w:val="clear" w:color="auto" w:fill="F5F5F5"/>
          </w:tcPr>
          <w:p>
            <w:pPr>
              <w:spacing w:after="0" w:line="143" w:lineRule="exact"/>
              <w:rPr>
                <w:sz w:val="20"/>
                <w:szCs w:val="20"/>
                <w:color w:val="auto"/>
              </w:rPr>
            </w:pPr>
            <w:r>
              <w:rPr>
                <w:rFonts w:ascii="Arial" w:cs="Arial" w:eastAsia="Arial" w:hAnsi="Arial"/>
                <w:sz w:val="14"/>
                <w:szCs w:val="14"/>
                <w:i w:val="1"/>
                <w:iCs w:val="1"/>
                <w:color w:val="auto"/>
              </w:rPr>
              <w:t>Expense Disaggregation</w:t>
            </w:r>
          </w:p>
        </w:tc>
        <w:tc>
          <w:tcPr>
            <w:tcW w:w="4320" w:type="dxa"/>
            <w:vAlign w:val="bottom"/>
            <w:shd w:val="clear" w:color="auto" w:fill="F5F5F5"/>
          </w:tcPr>
          <w:p>
            <w:pPr>
              <w:spacing w:after="0"/>
              <w:rPr>
                <w:sz w:val="12"/>
                <w:szCs w:val="12"/>
                <w:color w:val="auto"/>
              </w:rPr>
            </w:pPr>
          </w:p>
        </w:tc>
        <w:tc>
          <w:tcPr>
            <w:tcW w:w="120" w:type="dxa"/>
            <w:vAlign w:val="bottom"/>
            <w:shd w:val="clear" w:color="auto" w:fill="F5F5F5"/>
          </w:tcPr>
          <w:p>
            <w:pPr>
              <w:spacing w:after="0"/>
              <w:rPr>
                <w:sz w:val="12"/>
                <w:szCs w:val="12"/>
                <w:color w:val="auto"/>
              </w:rPr>
            </w:pPr>
          </w:p>
        </w:tc>
        <w:tc>
          <w:tcPr>
            <w:tcW w:w="1500" w:type="dxa"/>
            <w:vAlign w:val="bottom"/>
            <w:shd w:val="clear" w:color="auto" w:fill="F5F5F5"/>
          </w:tcPr>
          <w:p>
            <w:pPr>
              <w:spacing w:after="0"/>
              <w:rPr>
                <w:sz w:val="12"/>
                <w:szCs w:val="12"/>
                <w:color w:val="auto"/>
              </w:rPr>
            </w:pPr>
          </w:p>
        </w:tc>
        <w:tc>
          <w:tcPr>
            <w:tcW w:w="100" w:type="dxa"/>
            <w:vAlign w:val="bottom"/>
            <w:shd w:val="clear" w:color="auto" w:fill="F5F5F5"/>
          </w:tcPr>
          <w:p>
            <w:pPr>
              <w:spacing w:after="0"/>
              <w:rPr>
                <w:sz w:val="12"/>
                <w:szCs w:val="12"/>
                <w:color w:val="auto"/>
              </w:rPr>
            </w:pPr>
          </w:p>
        </w:tc>
        <w:tc>
          <w:tcPr>
            <w:tcW w:w="20" w:type="dxa"/>
            <w:vAlign w:val="bottom"/>
            <w:shd w:val="clear" w:color="auto" w:fill="F5F5F5"/>
          </w:tcPr>
          <w:p>
            <w:pPr>
              <w:spacing w:after="0"/>
              <w:rPr>
                <w:sz w:val="12"/>
                <w:szCs w:val="12"/>
                <w:color w:val="auto"/>
              </w:rPr>
            </w:pPr>
          </w:p>
        </w:tc>
        <w:tc>
          <w:tcPr>
            <w:tcW w:w="860" w:type="dxa"/>
            <w:vAlign w:val="bottom"/>
            <w:shd w:val="clear" w:color="auto" w:fill="F5F5F5"/>
          </w:tcPr>
          <w:p>
            <w:pPr>
              <w:spacing w:after="0"/>
              <w:rPr>
                <w:sz w:val="12"/>
                <w:szCs w:val="12"/>
                <w:color w:val="auto"/>
              </w:rPr>
            </w:pPr>
          </w:p>
        </w:tc>
        <w:tc>
          <w:tcPr>
            <w:tcW w:w="260" w:type="dxa"/>
            <w:vAlign w:val="bottom"/>
            <w:shd w:val="clear" w:color="auto" w:fill="F5F5F5"/>
          </w:tcPr>
          <w:p>
            <w:pPr>
              <w:spacing w:after="0"/>
              <w:rPr>
                <w:sz w:val="12"/>
                <w:szCs w:val="12"/>
                <w:color w:val="auto"/>
              </w:rPr>
            </w:pPr>
          </w:p>
        </w:tc>
        <w:tc>
          <w:tcPr>
            <w:tcW w:w="760" w:type="dxa"/>
            <w:vAlign w:val="bottom"/>
            <w:shd w:val="clear" w:color="auto" w:fill="F5F5F5"/>
          </w:tcPr>
          <w:p>
            <w:pPr>
              <w:spacing w:after="0"/>
              <w:rPr>
                <w:sz w:val="12"/>
                <w:szCs w:val="12"/>
                <w:color w:val="auto"/>
              </w:rPr>
            </w:pPr>
          </w:p>
        </w:tc>
        <w:tc>
          <w:tcPr>
            <w:tcW w:w="200" w:type="dxa"/>
            <w:vAlign w:val="bottom"/>
            <w:shd w:val="clear" w:color="auto" w:fill="F5F5F5"/>
          </w:tcPr>
          <w:p>
            <w:pPr>
              <w:spacing w:after="0"/>
              <w:rPr>
                <w:sz w:val="12"/>
                <w:szCs w:val="12"/>
                <w:color w:val="auto"/>
              </w:rPr>
            </w:pPr>
          </w:p>
        </w:tc>
        <w:tc>
          <w:tcPr>
            <w:tcW w:w="520" w:type="dxa"/>
            <w:vAlign w:val="bottom"/>
            <w:shd w:val="clear" w:color="auto" w:fill="F5F5F5"/>
          </w:tcPr>
          <w:p>
            <w:pPr>
              <w:spacing w:after="0"/>
              <w:rPr>
                <w:sz w:val="12"/>
                <w:szCs w:val="12"/>
                <w:color w:val="auto"/>
              </w:rPr>
            </w:pPr>
          </w:p>
        </w:tc>
        <w:tc>
          <w:tcPr>
            <w:tcW w:w="20" w:type="dxa"/>
            <w:vAlign w:val="bottom"/>
            <w:shd w:val="clear" w:color="auto" w:fill="F5F5F5"/>
          </w:tcPr>
          <w:p>
            <w:pPr>
              <w:spacing w:after="0"/>
              <w:rPr>
                <w:sz w:val="12"/>
                <w:szCs w:val="12"/>
                <w:color w:val="auto"/>
              </w:rPr>
            </w:pPr>
          </w:p>
        </w:tc>
        <w:tc>
          <w:tcPr>
            <w:tcW w:w="260" w:type="dxa"/>
            <w:vAlign w:val="bottom"/>
            <w:shd w:val="clear" w:color="auto" w:fill="F5F5F5"/>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shd w:val="clear" w:color="auto" w:fill="F5F5F5"/>
          </w:tcPr>
          <w:p>
            <w:pPr>
              <w:spacing w:after="0"/>
              <w:rPr>
                <w:sz w:val="12"/>
                <w:szCs w:val="12"/>
                <w:color w:val="auto"/>
              </w:rPr>
            </w:pPr>
          </w:p>
        </w:tc>
        <w:tc>
          <w:tcPr>
            <w:tcW w:w="2220" w:type="dxa"/>
            <w:vAlign w:val="bottom"/>
            <w:gridSpan w:val="4"/>
            <w:shd w:val="clear" w:color="auto" w:fill="F5F5F5"/>
          </w:tcPr>
          <w:p>
            <w:pPr>
              <w:spacing w:after="0" w:line="141" w:lineRule="exact"/>
              <w:rPr>
                <w:sz w:val="20"/>
                <w:szCs w:val="20"/>
                <w:color w:val="auto"/>
              </w:rPr>
            </w:pPr>
            <w:r>
              <w:rPr>
                <w:rFonts w:ascii="Arial" w:cs="Arial" w:eastAsia="Arial" w:hAnsi="Arial"/>
                <w:sz w:val="14"/>
                <w:szCs w:val="14"/>
                <w:i w:val="1"/>
                <w:iCs w:val="1"/>
                <w:color w:val="auto"/>
              </w:rPr>
              <w:t>Disclosures (Subtopic 220-40):</w:t>
            </w:r>
          </w:p>
        </w:tc>
        <w:tc>
          <w:tcPr>
            <w:tcW w:w="4320" w:type="dxa"/>
            <w:vAlign w:val="bottom"/>
            <w:shd w:val="clear" w:color="auto" w:fill="F5F5F5"/>
          </w:tcPr>
          <w:p>
            <w:pPr>
              <w:spacing w:after="0"/>
              <w:rPr>
                <w:sz w:val="12"/>
                <w:szCs w:val="12"/>
                <w:color w:val="auto"/>
              </w:rPr>
            </w:pPr>
          </w:p>
        </w:tc>
        <w:tc>
          <w:tcPr>
            <w:tcW w:w="120" w:type="dxa"/>
            <w:vAlign w:val="bottom"/>
            <w:shd w:val="clear" w:color="auto" w:fill="F5F5F5"/>
          </w:tcPr>
          <w:p>
            <w:pPr>
              <w:spacing w:after="0"/>
              <w:rPr>
                <w:sz w:val="12"/>
                <w:szCs w:val="12"/>
                <w:color w:val="auto"/>
              </w:rPr>
            </w:pPr>
          </w:p>
        </w:tc>
        <w:tc>
          <w:tcPr>
            <w:tcW w:w="1500" w:type="dxa"/>
            <w:vAlign w:val="bottom"/>
            <w:shd w:val="clear" w:color="auto" w:fill="F5F5F5"/>
          </w:tcPr>
          <w:p>
            <w:pPr>
              <w:spacing w:after="0"/>
              <w:rPr>
                <w:sz w:val="12"/>
                <w:szCs w:val="12"/>
                <w:color w:val="auto"/>
              </w:rPr>
            </w:pPr>
          </w:p>
        </w:tc>
        <w:tc>
          <w:tcPr>
            <w:tcW w:w="100" w:type="dxa"/>
            <w:vAlign w:val="bottom"/>
            <w:shd w:val="clear" w:color="auto" w:fill="F5F5F5"/>
          </w:tcPr>
          <w:p>
            <w:pPr>
              <w:spacing w:after="0"/>
              <w:rPr>
                <w:sz w:val="12"/>
                <w:szCs w:val="12"/>
                <w:color w:val="auto"/>
              </w:rPr>
            </w:pPr>
          </w:p>
        </w:tc>
        <w:tc>
          <w:tcPr>
            <w:tcW w:w="20" w:type="dxa"/>
            <w:vAlign w:val="bottom"/>
            <w:shd w:val="clear" w:color="auto" w:fill="F5F5F5"/>
          </w:tcPr>
          <w:p>
            <w:pPr>
              <w:spacing w:after="0"/>
              <w:rPr>
                <w:sz w:val="12"/>
                <w:szCs w:val="12"/>
                <w:color w:val="auto"/>
              </w:rPr>
            </w:pPr>
          </w:p>
        </w:tc>
        <w:tc>
          <w:tcPr>
            <w:tcW w:w="860" w:type="dxa"/>
            <w:vAlign w:val="bottom"/>
            <w:shd w:val="clear" w:color="auto" w:fill="F5F5F5"/>
          </w:tcPr>
          <w:p>
            <w:pPr>
              <w:spacing w:after="0"/>
              <w:rPr>
                <w:sz w:val="12"/>
                <w:szCs w:val="12"/>
                <w:color w:val="auto"/>
              </w:rPr>
            </w:pPr>
          </w:p>
        </w:tc>
        <w:tc>
          <w:tcPr>
            <w:tcW w:w="260" w:type="dxa"/>
            <w:vAlign w:val="bottom"/>
            <w:shd w:val="clear" w:color="auto" w:fill="F5F5F5"/>
          </w:tcPr>
          <w:p>
            <w:pPr>
              <w:spacing w:after="0"/>
              <w:rPr>
                <w:sz w:val="12"/>
                <w:szCs w:val="12"/>
                <w:color w:val="auto"/>
              </w:rPr>
            </w:pPr>
          </w:p>
        </w:tc>
        <w:tc>
          <w:tcPr>
            <w:tcW w:w="760" w:type="dxa"/>
            <w:vAlign w:val="bottom"/>
            <w:shd w:val="clear" w:color="auto" w:fill="F5F5F5"/>
          </w:tcPr>
          <w:p>
            <w:pPr>
              <w:spacing w:after="0"/>
              <w:rPr>
                <w:sz w:val="12"/>
                <w:szCs w:val="12"/>
                <w:color w:val="auto"/>
              </w:rPr>
            </w:pPr>
          </w:p>
        </w:tc>
        <w:tc>
          <w:tcPr>
            <w:tcW w:w="200" w:type="dxa"/>
            <w:vAlign w:val="bottom"/>
            <w:shd w:val="clear" w:color="auto" w:fill="F5F5F5"/>
          </w:tcPr>
          <w:p>
            <w:pPr>
              <w:spacing w:after="0"/>
              <w:rPr>
                <w:sz w:val="12"/>
                <w:szCs w:val="12"/>
                <w:color w:val="auto"/>
              </w:rPr>
            </w:pPr>
          </w:p>
        </w:tc>
        <w:tc>
          <w:tcPr>
            <w:tcW w:w="520" w:type="dxa"/>
            <w:vAlign w:val="bottom"/>
            <w:shd w:val="clear" w:color="auto" w:fill="F5F5F5"/>
          </w:tcPr>
          <w:p>
            <w:pPr>
              <w:spacing w:after="0"/>
              <w:rPr>
                <w:sz w:val="12"/>
                <w:szCs w:val="12"/>
                <w:color w:val="auto"/>
              </w:rPr>
            </w:pPr>
          </w:p>
        </w:tc>
        <w:tc>
          <w:tcPr>
            <w:tcW w:w="20" w:type="dxa"/>
            <w:vAlign w:val="bottom"/>
            <w:shd w:val="clear" w:color="auto" w:fill="F5F5F5"/>
          </w:tcPr>
          <w:p>
            <w:pPr>
              <w:spacing w:after="0"/>
              <w:rPr>
                <w:sz w:val="12"/>
                <w:szCs w:val="12"/>
                <w:color w:val="auto"/>
              </w:rPr>
            </w:pPr>
          </w:p>
        </w:tc>
        <w:tc>
          <w:tcPr>
            <w:tcW w:w="260" w:type="dxa"/>
            <w:vAlign w:val="bottom"/>
            <w:shd w:val="clear" w:color="auto" w:fill="F5F5F5"/>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F5F5F5"/>
          </w:tcPr>
          <w:p>
            <w:pPr>
              <w:spacing w:after="0"/>
              <w:rPr>
                <w:sz w:val="17"/>
                <w:szCs w:val="17"/>
                <w:color w:val="auto"/>
              </w:rPr>
            </w:pPr>
          </w:p>
        </w:tc>
        <w:tc>
          <w:tcPr>
            <w:tcW w:w="2220" w:type="dxa"/>
            <w:vAlign w:val="bottom"/>
            <w:gridSpan w:val="4"/>
            <w:shd w:val="clear" w:color="auto" w:fill="F5F5F5"/>
          </w:tcPr>
          <w:p>
            <w:pPr>
              <w:spacing w:after="0"/>
              <w:rPr>
                <w:sz w:val="20"/>
                <w:szCs w:val="20"/>
                <w:color w:val="auto"/>
              </w:rPr>
            </w:pPr>
            <w:r>
              <w:rPr>
                <w:rFonts w:ascii="Arial" w:cs="Arial" w:eastAsia="Arial" w:hAnsi="Arial"/>
                <w:sz w:val="14"/>
                <w:szCs w:val="14"/>
                <w:i w:val="1"/>
                <w:iCs w:val="1"/>
                <w:color w:val="auto"/>
              </w:rPr>
              <w:t>Clarifying the Effective Date</w:t>
            </w:r>
          </w:p>
        </w:tc>
        <w:tc>
          <w:tcPr>
            <w:tcW w:w="4320" w:type="dxa"/>
            <w:vAlign w:val="bottom"/>
            <w:shd w:val="clear" w:color="auto" w:fill="F5F5F5"/>
          </w:tcPr>
          <w:p>
            <w:pPr>
              <w:spacing w:after="0"/>
              <w:rPr>
                <w:sz w:val="17"/>
                <w:szCs w:val="17"/>
                <w:color w:val="auto"/>
              </w:rPr>
            </w:pPr>
          </w:p>
        </w:tc>
        <w:tc>
          <w:tcPr>
            <w:tcW w:w="120" w:type="dxa"/>
            <w:vAlign w:val="bottom"/>
            <w:shd w:val="clear" w:color="auto" w:fill="F5F5F5"/>
          </w:tcPr>
          <w:p>
            <w:pPr>
              <w:spacing w:after="0"/>
              <w:rPr>
                <w:sz w:val="17"/>
                <w:szCs w:val="17"/>
                <w:color w:val="auto"/>
              </w:rPr>
            </w:pPr>
          </w:p>
        </w:tc>
        <w:tc>
          <w:tcPr>
            <w:tcW w:w="1500" w:type="dxa"/>
            <w:vAlign w:val="bottom"/>
            <w:shd w:val="clear" w:color="auto" w:fill="F5F5F5"/>
          </w:tcPr>
          <w:p>
            <w:pPr>
              <w:spacing w:after="0"/>
              <w:rPr>
                <w:sz w:val="17"/>
                <w:szCs w:val="17"/>
                <w:color w:val="auto"/>
              </w:rPr>
            </w:pPr>
          </w:p>
        </w:tc>
        <w:tc>
          <w:tcPr>
            <w:tcW w:w="100" w:type="dxa"/>
            <w:vAlign w:val="bottom"/>
            <w:shd w:val="clear" w:color="auto" w:fill="F5F5F5"/>
          </w:tcPr>
          <w:p>
            <w:pPr>
              <w:spacing w:after="0"/>
              <w:rPr>
                <w:sz w:val="17"/>
                <w:szCs w:val="17"/>
                <w:color w:val="auto"/>
              </w:rPr>
            </w:pPr>
          </w:p>
        </w:tc>
        <w:tc>
          <w:tcPr>
            <w:tcW w:w="20" w:type="dxa"/>
            <w:vAlign w:val="bottom"/>
            <w:shd w:val="clear" w:color="auto" w:fill="F5F5F5"/>
          </w:tcPr>
          <w:p>
            <w:pPr>
              <w:spacing w:after="0"/>
              <w:rPr>
                <w:sz w:val="17"/>
                <w:szCs w:val="17"/>
                <w:color w:val="auto"/>
              </w:rPr>
            </w:pPr>
          </w:p>
        </w:tc>
        <w:tc>
          <w:tcPr>
            <w:tcW w:w="860" w:type="dxa"/>
            <w:vAlign w:val="bottom"/>
            <w:shd w:val="clear" w:color="auto" w:fill="F5F5F5"/>
          </w:tcPr>
          <w:p>
            <w:pPr>
              <w:spacing w:after="0"/>
              <w:rPr>
                <w:sz w:val="17"/>
                <w:szCs w:val="17"/>
                <w:color w:val="auto"/>
              </w:rPr>
            </w:pPr>
          </w:p>
        </w:tc>
        <w:tc>
          <w:tcPr>
            <w:tcW w:w="260" w:type="dxa"/>
            <w:vAlign w:val="bottom"/>
            <w:shd w:val="clear" w:color="auto" w:fill="F5F5F5"/>
          </w:tcPr>
          <w:p>
            <w:pPr>
              <w:spacing w:after="0"/>
              <w:rPr>
                <w:sz w:val="17"/>
                <w:szCs w:val="17"/>
                <w:color w:val="auto"/>
              </w:rPr>
            </w:pPr>
          </w:p>
        </w:tc>
        <w:tc>
          <w:tcPr>
            <w:tcW w:w="760" w:type="dxa"/>
            <w:vAlign w:val="bottom"/>
            <w:shd w:val="clear" w:color="auto" w:fill="F5F5F5"/>
          </w:tcPr>
          <w:p>
            <w:pPr>
              <w:spacing w:after="0"/>
              <w:rPr>
                <w:sz w:val="17"/>
                <w:szCs w:val="17"/>
                <w:color w:val="auto"/>
              </w:rPr>
            </w:pPr>
          </w:p>
        </w:tc>
        <w:tc>
          <w:tcPr>
            <w:tcW w:w="200" w:type="dxa"/>
            <w:vAlign w:val="bottom"/>
            <w:shd w:val="clear" w:color="auto" w:fill="F5F5F5"/>
          </w:tcPr>
          <w:p>
            <w:pPr>
              <w:spacing w:after="0"/>
              <w:rPr>
                <w:sz w:val="17"/>
                <w:szCs w:val="17"/>
                <w:color w:val="auto"/>
              </w:rPr>
            </w:pPr>
          </w:p>
        </w:tc>
        <w:tc>
          <w:tcPr>
            <w:tcW w:w="520" w:type="dxa"/>
            <w:vAlign w:val="bottom"/>
            <w:shd w:val="clear" w:color="auto" w:fill="F5F5F5"/>
          </w:tcPr>
          <w:p>
            <w:pPr>
              <w:spacing w:after="0"/>
              <w:rPr>
                <w:sz w:val="17"/>
                <w:szCs w:val="17"/>
                <w:color w:val="auto"/>
              </w:rPr>
            </w:pPr>
          </w:p>
        </w:tc>
        <w:tc>
          <w:tcPr>
            <w:tcW w:w="20" w:type="dxa"/>
            <w:vAlign w:val="bottom"/>
            <w:shd w:val="clear" w:color="auto" w:fill="F5F5F5"/>
          </w:tcPr>
          <w:p>
            <w:pPr>
              <w:spacing w:after="0"/>
              <w:rPr>
                <w:sz w:val="17"/>
                <w:szCs w:val="17"/>
                <w:color w:val="auto"/>
              </w:rPr>
            </w:pPr>
          </w:p>
        </w:tc>
        <w:tc>
          <w:tcPr>
            <w:tcW w:w="260" w:type="dxa"/>
            <w:vAlign w:val="bottom"/>
            <w:shd w:val="clear" w:color="auto" w:fill="F5F5F5"/>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60</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sz w:val="20"/>
          <w:szCs w:val="20"/>
          <w:color w:val="auto"/>
        </w:rPr>
      </w:pPr>
      <w:r>
        <w:rPr>
          <w:rFonts w:ascii="Arial" w:cs="Arial" w:eastAsia="Arial" w:hAnsi="Arial"/>
          <w:sz w:val="16"/>
          <w:szCs w:val="16"/>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Abercrombie &amp; Fitch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b w:val="1"/>
          <w:bCs w:val="1"/>
          <w:color w:val="AC7E65"/>
        </w:rPr>
        <w:t>3. REVENUE RECOGNITION</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Disaggregation of revenue</w:t>
      </w:r>
    </w:p>
    <w:p>
      <w:pPr>
        <w:spacing w:after="0" w:line="26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All revenues are recognized in net sales in the Consolidated Statements of Operations and Comprehensive Income (Loss). For information regarding the disaggregation of revenue, refer to Note 17, “</w:t>
      </w:r>
      <w:r>
        <w:rPr>
          <w:rFonts w:ascii="Arial" w:cs="Arial" w:eastAsia="Arial" w:hAnsi="Arial"/>
          <w:sz w:val="16"/>
          <w:szCs w:val="16"/>
          <w:i w:val="1"/>
          <w:iCs w:val="1"/>
          <w:u w:val="single" w:color="auto"/>
          <w:color w:val="0000FF"/>
        </w:rPr>
        <w:t>SEGMENT REPORTING</w:t>
      </w:r>
      <w:r>
        <w:rPr>
          <w:rFonts w:ascii="Arial" w:cs="Arial" w:eastAsia="Arial" w:hAnsi="Arial"/>
          <w:sz w:val="16"/>
          <w:szCs w:val="16"/>
          <w:i w:val="1"/>
          <w:iCs w:val="1"/>
          <w:color w:val="auto"/>
        </w:rPr>
        <w:t>.</w:t>
      </w:r>
      <w:r>
        <w:rPr>
          <w:rFonts w:ascii="Arial" w:cs="Arial" w:eastAsia="Arial" w:hAnsi="Arial"/>
          <w:sz w:val="16"/>
          <w:szCs w:val="16"/>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Contract liabilities</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details certain contract liabilities representing unearned revenue as of February 1, 2025, February 3, 2024 and January 28, 2023:</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62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6"/>
                <w:szCs w:val="16"/>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color w:val="auto"/>
              </w:rPr>
              <w:t>February 1, 2025</w:t>
            </w:r>
          </w:p>
        </w:tc>
        <w:tc>
          <w:tcPr>
            <w:tcW w:w="280" w:type="dxa"/>
            <w:vAlign w:val="bottom"/>
          </w:tcPr>
          <w:p>
            <w:pPr>
              <w:spacing w:after="0"/>
              <w:rPr>
                <w:sz w:val="16"/>
                <w:szCs w:val="16"/>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color w:val="auto"/>
              </w:rPr>
              <w:t>February 3, 2024</w:t>
            </w: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January 28, 2023</w:t>
            </w:r>
          </w:p>
        </w:tc>
      </w:tr>
      <w:tr>
        <w:trPr>
          <w:trHeight w:val="200"/>
        </w:trPr>
        <w:tc>
          <w:tcPr>
            <w:tcW w:w="6260" w:type="dxa"/>
            <w:vAlign w:val="bottom"/>
            <w:tcBorders>
              <w:top w:val="single" w:sz="8" w:color="F5F5F5"/>
            </w:tcBorders>
            <w:shd w:val="clear" w:color="auto" w:fill="F5F5F5"/>
          </w:tcPr>
          <w:p>
            <w:pPr>
              <w:ind w:left="20"/>
              <w:spacing w:after="0" w:line="200" w:lineRule="exact"/>
              <w:rPr>
                <w:sz w:val="20"/>
                <w:szCs w:val="20"/>
                <w:color w:val="auto"/>
              </w:rPr>
            </w:pPr>
            <w:r>
              <w:rPr>
                <w:rFonts w:ascii="Arial" w:cs="Arial" w:eastAsia="Arial" w:hAnsi="Arial"/>
                <w:sz w:val="14"/>
                <w:szCs w:val="14"/>
                <w:color w:val="auto"/>
              </w:rPr>
              <w:t xml:space="preserve">Gift card liability </w:t>
            </w:r>
            <w:r>
              <w:rPr>
                <w:rFonts w:ascii="Arial" w:cs="Arial" w:eastAsia="Arial" w:hAnsi="Arial"/>
                <w:sz w:val="18"/>
                <w:szCs w:val="18"/>
                <w:color w:val="auto"/>
                <w:vertAlign w:val="superscript"/>
              </w:rPr>
              <w:t>(1)</w:t>
            </w:r>
          </w:p>
        </w:tc>
        <w:tc>
          <w:tcPr>
            <w:tcW w:w="280" w:type="dxa"/>
            <w:vAlign w:val="bottom"/>
            <w:tcBorders>
              <w:top w:val="single" w:sz="8" w:color="auto"/>
            </w:tcBorders>
            <w:shd w:val="clear" w:color="auto" w:fill="F5F5F5"/>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45,364</w:t>
            </w:r>
          </w:p>
        </w:tc>
        <w:tc>
          <w:tcPr>
            <w:tcW w:w="120" w:type="dxa"/>
            <w:vAlign w:val="bottom"/>
            <w:tcBorders>
              <w:top w:val="single" w:sz="8" w:color="F5F5F5"/>
            </w:tcBorders>
            <w:shd w:val="clear" w:color="auto" w:fill="F5F5F5"/>
          </w:tcPr>
          <w:p>
            <w:pPr>
              <w:spacing w:after="0"/>
              <w:rPr>
                <w:sz w:val="17"/>
                <w:szCs w:val="17"/>
                <w:color w:val="auto"/>
              </w:rPr>
            </w:pPr>
          </w:p>
        </w:tc>
        <w:tc>
          <w:tcPr>
            <w:tcW w:w="280" w:type="dxa"/>
            <w:vAlign w:val="bottom"/>
            <w:tcBorders>
              <w:top w:val="single" w:sz="8" w:color="auto"/>
            </w:tcBorders>
            <w:shd w:val="clear" w:color="auto" w:fill="F5F5F5"/>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41,144</w:t>
            </w:r>
          </w:p>
        </w:tc>
        <w:tc>
          <w:tcPr>
            <w:tcW w:w="80" w:type="dxa"/>
            <w:vAlign w:val="bottom"/>
            <w:tcBorders>
              <w:top w:val="single" w:sz="8" w:color="F5F5F5"/>
            </w:tcBorders>
            <w:shd w:val="clear" w:color="auto" w:fill="F5F5F5"/>
          </w:tcPr>
          <w:p>
            <w:pPr>
              <w:spacing w:after="0"/>
              <w:rPr>
                <w:sz w:val="17"/>
                <w:szCs w:val="17"/>
                <w:color w:val="auto"/>
              </w:rPr>
            </w:pPr>
          </w:p>
        </w:tc>
        <w:tc>
          <w:tcPr>
            <w:tcW w:w="280" w:type="dxa"/>
            <w:vAlign w:val="bottom"/>
            <w:tcBorders>
              <w:top w:val="single" w:sz="8" w:color="auto"/>
            </w:tcBorders>
            <w:shd w:val="clear" w:color="auto" w:fill="F5F5F5"/>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39,235</w:t>
            </w:r>
          </w:p>
        </w:tc>
      </w:tr>
      <w:tr>
        <w:trPr>
          <w:trHeight w:val="194"/>
        </w:trPr>
        <w:tc>
          <w:tcPr>
            <w:tcW w:w="6260" w:type="dxa"/>
            <w:vAlign w:val="bottom"/>
          </w:tcPr>
          <w:p>
            <w:pPr>
              <w:ind w:left="20"/>
              <w:spacing w:after="0"/>
              <w:rPr>
                <w:sz w:val="20"/>
                <w:szCs w:val="20"/>
                <w:color w:val="auto"/>
              </w:rPr>
            </w:pPr>
            <w:r>
              <w:rPr>
                <w:rFonts w:ascii="Arial" w:cs="Arial" w:eastAsia="Arial" w:hAnsi="Arial"/>
                <w:sz w:val="14"/>
                <w:szCs w:val="14"/>
                <w:color w:val="auto"/>
              </w:rPr>
              <w:t>Loyalty programs liability</w:t>
            </w: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32,199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27,937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25,640</w:t>
            </w:r>
          </w:p>
        </w:tc>
      </w:tr>
    </w:tbl>
    <w:p>
      <w:pPr>
        <w:spacing w:after="0" w:line="184" w:lineRule="exact"/>
        <w:rPr>
          <w:sz w:val="20"/>
          <w:szCs w:val="20"/>
          <w:color w:val="auto"/>
        </w:rPr>
      </w:pPr>
    </w:p>
    <w:p>
      <w:pPr>
        <w:ind w:left="340" w:hanging="332"/>
        <w:spacing w:after="0" w:line="227" w:lineRule="auto"/>
        <w:tabs>
          <w:tab w:leader="none" w:pos="339" w:val="left"/>
        </w:tabs>
        <w:numPr>
          <w:ilvl w:val="0"/>
          <w:numId w:val="54"/>
        </w:numPr>
        <w:rPr>
          <w:rFonts w:ascii="Arial" w:cs="Arial" w:eastAsia="Arial" w:hAnsi="Arial"/>
          <w:sz w:val="18"/>
          <w:szCs w:val="18"/>
          <w:i w:val="1"/>
          <w:iCs w:val="1"/>
          <w:color w:val="auto"/>
          <w:vertAlign w:val="superscript"/>
        </w:rPr>
      </w:pPr>
      <w:r>
        <w:rPr>
          <w:rFonts w:ascii="Arial" w:cs="Arial" w:eastAsia="Arial" w:hAnsi="Arial"/>
          <w:sz w:val="13"/>
          <w:szCs w:val="13"/>
          <w:color w:val="auto"/>
        </w:rPr>
        <w:t>Includes $19.8 million and $20.0 million of revenue recognized during Fiscal 2024 and Fiscal 2023, respectively, that was included in the gift card liability at the beginning of February 3, 2024 and January 28, 2023, respectively.</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details recognized revenue associated with the Company’s gift card program and loyalty programs for Fiscal 2024, Fiscal 2023, and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Fiscal 2022:</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63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460" w:type="dxa"/>
            <w:vAlign w:val="bottom"/>
          </w:tcPr>
          <w:p>
            <w:pPr>
              <w:spacing w:after="0"/>
              <w:rPr>
                <w:sz w:val="16"/>
                <w:szCs w:val="16"/>
                <w:color w:val="auto"/>
              </w:rPr>
            </w:pPr>
          </w:p>
        </w:tc>
        <w:tc>
          <w:tcPr>
            <w:tcW w:w="1220" w:type="dxa"/>
            <w:vAlign w:val="bottom"/>
            <w:gridSpan w:val="2"/>
          </w:tcPr>
          <w:p>
            <w:pPr>
              <w:ind w:left="360"/>
              <w:spacing w:after="0"/>
              <w:rPr>
                <w:sz w:val="20"/>
                <w:szCs w:val="20"/>
                <w:color w:val="auto"/>
              </w:rPr>
            </w:pPr>
            <w:r>
              <w:rPr>
                <w:rFonts w:ascii="Arial" w:cs="Arial" w:eastAsia="Arial" w:hAnsi="Arial"/>
                <w:sz w:val="14"/>
                <w:szCs w:val="14"/>
                <w:color w:val="auto"/>
              </w:rPr>
              <w:t>Fiscal 2024</w:t>
            </w:r>
          </w:p>
        </w:tc>
        <w:tc>
          <w:tcPr>
            <w:tcW w:w="4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Fiscal 2023</w:t>
            </w:r>
          </w:p>
        </w:tc>
        <w:tc>
          <w:tcPr>
            <w:tcW w:w="4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Fiscal 2022</w:t>
            </w:r>
          </w:p>
        </w:tc>
        <w:tc>
          <w:tcPr>
            <w:tcW w:w="0" w:type="dxa"/>
            <w:vAlign w:val="bottom"/>
          </w:tcPr>
          <w:p>
            <w:pPr>
              <w:spacing w:after="0"/>
              <w:rPr>
                <w:sz w:val="1"/>
                <w:szCs w:val="1"/>
                <w:color w:val="auto"/>
              </w:rPr>
            </w:pPr>
          </w:p>
        </w:tc>
      </w:tr>
      <w:tr>
        <w:trPr>
          <w:trHeight w:val="200"/>
        </w:trPr>
        <w:tc>
          <w:tcPr>
            <w:tcW w:w="6360" w:type="dxa"/>
            <w:vAlign w:val="bottom"/>
            <w:tcBorders>
              <w:top w:val="single" w:sz="8" w:color="F5F5F5"/>
            </w:tcBorders>
            <w:shd w:val="clear" w:color="auto" w:fill="F5F5F5"/>
          </w:tcPr>
          <w:p>
            <w:pPr>
              <w:ind w:left="20"/>
              <w:spacing w:after="0"/>
              <w:rPr>
                <w:sz w:val="20"/>
                <w:szCs w:val="20"/>
                <w:color w:val="auto"/>
              </w:rPr>
            </w:pPr>
            <w:r>
              <w:rPr>
                <w:rFonts w:ascii="Arial" w:cs="Arial" w:eastAsia="Arial" w:hAnsi="Arial"/>
                <w:sz w:val="14"/>
                <w:szCs w:val="14"/>
                <w:color w:val="auto"/>
              </w:rPr>
              <w:t>Revenue associated with gift card redemptions and gift card breakage</w:t>
            </w:r>
          </w:p>
        </w:tc>
        <w:tc>
          <w:tcPr>
            <w:tcW w:w="460" w:type="dxa"/>
            <w:vAlign w:val="bottom"/>
            <w:tcBorders>
              <w:top w:val="single" w:sz="8" w:color="auto"/>
            </w:tcBorders>
            <w:shd w:val="clear" w:color="auto" w:fill="F5F5F5"/>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141,380</w:t>
            </w:r>
          </w:p>
        </w:tc>
        <w:tc>
          <w:tcPr>
            <w:tcW w:w="100" w:type="dxa"/>
            <w:vAlign w:val="bottom"/>
            <w:tcBorders>
              <w:top w:val="single" w:sz="8" w:color="F5F5F5"/>
            </w:tcBorders>
            <w:shd w:val="clear" w:color="auto" w:fill="F5F5F5"/>
          </w:tcPr>
          <w:p>
            <w:pPr>
              <w:spacing w:after="0"/>
              <w:rPr>
                <w:sz w:val="17"/>
                <w:szCs w:val="17"/>
                <w:color w:val="auto"/>
              </w:rPr>
            </w:pPr>
          </w:p>
        </w:tc>
        <w:tc>
          <w:tcPr>
            <w:tcW w:w="460" w:type="dxa"/>
            <w:vAlign w:val="bottom"/>
            <w:tcBorders>
              <w:top w:val="single" w:sz="8" w:color="auto"/>
            </w:tcBorders>
            <w:shd w:val="clear" w:color="auto" w:fill="F5F5F5"/>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112,749</w:t>
            </w:r>
          </w:p>
        </w:tc>
        <w:tc>
          <w:tcPr>
            <w:tcW w:w="460" w:type="dxa"/>
            <w:vAlign w:val="bottom"/>
            <w:tcBorders>
              <w:top w:val="single" w:sz="8" w:color="auto"/>
            </w:tcBorders>
            <w:shd w:val="clear" w:color="auto" w:fill="F5F5F5"/>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98,488</w:t>
            </w:r>
          </w:p>
        </w:tc>
        <w:tc>
          <w:tcPr>
            <w:tcW w:w="0" w:type="dxa"/>
            <w:vAlign w:val="bottom"/>
          </w:tcPr>
          <w:p>
            <w:pPr>
              <w:spacing w:after="0"/>
              <w:rPr>
                <w:sz w:val="1"/>
                <w:szCs w:val="1"/>
                <w:color w:val="auto"/>
              </w:rPr>
            </w:pPr>
          </w:p>
        </w:tc>
      </w:tr>
      <w:tr>
        <w:trPr>
          <w:trHeight w:val="153"/>
        </w:trPr>
        <w:tc>
          <w:tcPr>
            <w:tcW w:w="6360" w:type="dxa"/>
            <w:vAlign w:val="bottom"/>
          </w:tcPr>
          <w:p>
            <w:pPr>
              <w:ind w:left="20"/>
              <w:spacing w:after="0" w:line="153" w:lineRule="exact"/>
              <w:rPr>
                <w:sz w:val="20"/>
                <w:szCs w:val="20"/>
                <w:color w:val="auto"/>
              </w:rPr>
            </w:pPr>
            <w:r>
              <w:rPr>
                <w:rFonts w:ascii="Arial" w:cs="Arial" w:eastAsia="Arial" w:hAnsi="Arial"/>
                <w:sz w:val="14"/>
                <w:szCs w:val="14"/>
                <w:color w:val="auto"/>
              </w:rPr>
              <w:t>Revenue associated with reward redemptions and breakage related to the Company’s loyalty</w:t>
            </w:r>
          </w:p>
        </w:tc>
        <w:tc>
          <w:tcPr>
            <w:tcW w:w="46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65,776</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56,406</w:t>
            </w:r>
          </w:p>
        </w:tc>
        <w:tc>
          <w:tcPr>
            <w:tcW w:w="46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48,624</w:t>
            </w:r>
          </w:p>
        </w:tc>
        <w:tc>
          <w:tcPr>
            <w:tcW w:w="0" w:type="dxa"/>
            <w:vAlign w:val="bottom"/>
          </w:tcPr>
          <w:p>
            <w:pPr>
              <w:spacing w:after="0"/>
              <w:rPr>
                <w:sz w:val="1"/>
                <w:szCs w:val="1"/>
                <w:color w:val="auto"/>
              </w:rPr>
            </w:pPr>
          </w:p>
        </w:tc>
      </w:tr>
      <w:tr>
        <w:trPr>
          <w:trHeight w:val="190"/>
        </w:trPr>
        <w:tc>
          <w:tcPr>
            <w:tcW w:w="6360" w:type="dxa"/>
            <w:vAlign w:val="bottom"/>
          </w:tcPr>
          <w:p>
            <w:pPr>
              <w:ind w:left="180"/>
              <w:spacing w:after="0"/>
              <w:rPr>
                <w:sz w:val="20"/>
                <w:szCs w:val="20"/>
                <w:color w:val="auto"/>
              </w:rPr>
            </w:pPr>
            <w:r>
              <w:rPr>
                <w:rFonts w:ascii="Arial" w:cs="Arial" w:eastAsia="Arial" w:hAnsi="Arial"/>
                <w:sz w:val="14"/>
                <w:szCs w:val="14"/>
                <w:color w:val="auto"/>
              </w:rPr>
              <w:t>programs</w:t>
            </w:r>
          </w:p>
        </w:tc>
        <w:tc>
          <w:tcPr>
            <w:tcW w:w="4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 xml:space="preserve">Refer to Note 2, </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0000FF"/>
        </w:rPr>
        <w:t>SUMMARY OF SIGNIFICANT ACCOUNTING POLICIES - Revenue recognition</w:t>
      </w:r>
      <w:r>
        <w:rPr>
          <w:rFonts w:ascii="Arial" w:cs="Arial" w:eastAsia="Arial" w:hAnsi="Arial"/>
          <w:sz w:val="16"/>
          <w:szCs w:val="16"/>
          <w:color w:val="auto"/>
        </w:rPr>
        <w:t>,” for discussion regarding significant accounting policies related to the Company’s revenue recognition.</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61</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sz w:val="20"/>
          <w:szCs w:val="20"/>
          <w:color w:val="auto"/>
        </w:rPr>
      </w:pPr>
      <w:r>
        <w:rPr>
          <w:rFonts w:ascii="Arial" w:cs="Arial" w:eastAsia="Arial" w:hAnsi="Arial"/>
          <w:sz w:val="16"/>
          <w:szCs w:val="16"/>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Abercrombie &amp; Fitch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b w:val="1"/>
          <w:bCs w:val="1"/>
          <w:color w:val="AC7E65"/>
        </w:rPr>
        <w:t>4. FAIR VALUE</w:t>
      </w:r>
    </w:p>
    <w:p>
      <w:pPr>
        <w:spacing w:after="0" w:line="24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Fair value is the price that would be received to sell an asset or paid to transfer a liability in an orderly transaction between market participants at the measurement date. The inputs used to measure fair value are prioritized based on a three-level hierarchy. The three levels of inputs to measure fair value are as follows:</w:t>
      </w:r>
    </w:p>
    <w:p>
      <w:pPr>
        <w:spacing w:after="0" w:line="1" w:lineRule="exact"/>
        <w:rPr>
          <w:sz w:val="20"/>
          <w:szCs w:val="20"/>
          <w:color w:val="auto"/>
        </w:rPr>
      </w:pPr>
    </w:p>
    <w:p>
      <w:pPr>
        <w:ind w:left="660" w:hanging="328"/>
        <w:spacing w:after="0" w:line="255" w:lineRule="auto"/>
        <w:tabs>
          <w:tab w:leader="none" w:pos="649" w:val="left"/>
        </w:tabs>
        <w:numPr>
          <w:ilvl w:val="0"/>
          <w:numId w:val="55"/>
        </w:numPr>
        <w:rPr>
          <w:rFonts w:ascii="Arial" w:cs="Arial" w:eastAsia="Arial" w:hAnsi="Arial"/>
          <w:sz w:val="16"/>
          <w:szCs w:val="16"/>
          <w:color w:val="auto"/>
        </w:rPr>
      </w:pPr>
      <w:r>
        <w:rPr>
          <w:rFonts w:ascii="Arial" w:cs="Arial" w:eastAsia="Arial" w:hAnsi="Arial"/>
          <w:sz w:val="16"/>
          <w:szCs w:val="16"/>
          <w:color w:val="auto"/>
        </w:rPr>
        <w:t>Level 1—inputs are unadjusted quoted prices for identical assets or liabilities that are available in active markets that the Company can access at the measurement date.</w:t>
      </w:r>
    </w:p>
    <w:p>
      <w:pPr>
        <w:ind w:left="640" w:hanging="308"/>
        <w:spacing w:after="0"/>
        <w:tabs>
          <w:tab w:leader="none" w:pos="6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Level 2—inputs are other than quoted market prices included within Level 1 that are observable for assets or liabilities, directly or indirectly.</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Level 3—inputs to the valuation methodology are unobservable.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The lowest level of significant input determines the placement of the entire fair value measurement in the hierarchy.</w:t>
      </w:r>
    </w:p>
    <w:p>
      <w:pPr>
        <w:spacing w:after="0" w:line="232"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The three levels of the hierarchy and the distribution of the Company’s assets and liabilities that are measured at fair value on a recurring basis, were as follows: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5080" w:type="dxa"/>
            <w:vAlign w:val="bottom"/>
            <w:tcBorders>
              <w:bottom w:val="single" w:sz="8" w:color="auto"/>
            </w:tcBorders>
            <w:gridSpan w:val="9"/>
          </w:tcPr>
          <w:p>
            <w:pPr>
              <w:jc w:val="right"/>
              <w:ind w:right="188"/>
              <w:spacing w:after="0"/>
              <w:rPr>
                <w:sz w:val="20"/>
                <w:szCs w:val="20"/>
                <w:color w:val="auto"/>
              </w:rPr>
            </w:pPr>
            <w:r>
              <w:rPr>
                <w:rFonts w:ascii="Arial" w:cs="Arial" w:eastAsia="Arial" w:hAnsi="Arial"/>
                <w:sz w:val="14"/>
                <w:szCs w:val="14"/>
                <w:color w:val="auto"/>
              </w:rPr>
              <w:t>Assets and Liabilities at Fair Value as of February 1, 2025</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7"/>
                <w:szCs w:val="17"/>
                <w:color w:val="auto"/>
              </w:rPr>
            </w:pPr>
          </w:p>
        </w:tc>
        <w:tc>
          <w:tcPr>
            <w:tcW w:w="1360" w:type="dxa"/>
            <w:vAlign w:val="bottom"/>
            <w:gridSpan w:val="2"/>
          </w:tcPr>
          <w:p>
            <w:pPr>
              <w:ind w:left="220"/>
              <w:spacing w:after="0"/>
              <w:rPr>
                <w:sz w:val="20"/>
                <w:szCs w:val="20"/>
                <w:color w:val="auto"/>
              </w:rPr>
            </w:pPr>
            <w:r>
              <w:rPr>
                <w:rFonts w:ascii="Arial" w:cs="Arial" w:eastAsia="Arial" w:hAnsi="Arial"/>
                <w:sz w:val="14"/>
                <w:szCs w:val="14"/>
                <w:color w:val="auto"/>
              </w:rPr>
              <w:t>Level 1</w:t>
            </w:r>
          </w:p>
        </w:tc>
        <w:tc>
          <w:tcPr>
            <w:tcW w:w="320" w:type="dxa"/>
            <w:vAlign w:val="bottom"/>
          </w:tcPr>
          <w:p>
            <w:pPr>
              <w:spacing w:after="0"/>
              <w:rPr>
                <w:sz w:val="17"/>
                <w:szCs w:val="17"/>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color w:val="auto"/>
              </w:rPr>
              <w:t>Level 2</w:t>
            </w:r>
          </w:p>
        </w:tc>
        <w:tc>
          <w:tcPr>
            <w:tcW w:w="340" w:type="dxa"/>
            <w:vAlign w:val="bottom"/>
          </w:tcPr>
          <w:p>
            <w:pPr>
              <w:spacing w:after="0"/>
              <w:rPr>
                <w:sz w:val="17"/>
                <w:szCs w:val="17"/>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color w:val="auto"/>
              </w:rPr>
              <w:t>Level 3</w:t>
            </w:r>
          </w:p>
        </w:tc>
        <w:tc>
          <w:tcPr>
            <w:tcW w:w="380" w:type="dxa"/>
            <w:vAlign w:val="bottom"/>
          </w:tcPr>
          <w:p>
            <w:pPr>
              <w:spacing w:after="0"/>
              <w:rPr>
                <w:sz w:val="17"/>
                <w:szCs w:val="17"/>
                <w:color w:val="auto"/>
              </w:rPr>
            </w:pPr>
          </w:p>
        </w:tc>
        <w:tc>
          <w:tcPr>
            <w:tcW w:w="1200" w:type="dxa"/>
            <w:vAlign w:val="bottom"/>
          </w:tcPr>
          <w:p>
            <w:pPr>
              <w:jc w:val="right"/>
              <w:ind w:right="56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5"/>
        </w:trPr>
        <w:tc>
          <w:tcPr>
            <w:tcW w:w="4620" w:type="dxa"/>
            <w:vAlign w:val="bottom"/>
          </w:tcPr>
          <w:p>
            <w:pPr>
              <w:ind w:left="20"/>
              <w:spacing w:after="0"/>
              <w:rPr>
                <w:sz w:val="20"/>
                <w:szCs w:val="20"/>
                <w:color w:val="auto"/>
              </w:rPr>
            </w:pPr>
            <w:r>
              <w:rPr>
                <w:rFonts w:ascii="Arial" w:cs="Arial" w:eastAsia="Arial" w:hAnsi="Arial"/>
                <w:sz w:val="14"/>
                <w:szCs w:val="14"/>
                <w:color w:val="auto"/>
              </w:rPr>
              <w:t>Assets:</w:t>
            </w:r>
          </w:p>
        </w:tc>
        <w:tc>
          <w:tcPr>
            <w:tcW w:w="3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620" w:type="dxa"/>
            <w:vAlign w:val="bottom"/>
            <w:shd w:val="clear" w:color="auto" w:fill="F5F5F5"/>
          </w:tcPr>
          <w:p>
            <w:pPr>
              <w:ind w:left="220"/>
              <w:spacing w:after="0"/>
              <w:rPr>
                <w:sz w:val="20"/>
                <w:szCs w:val="20"/>
                <w:color w:val="auto"/>
              </w:rPr>
            </w:pPr>
            <w:r>
              <w:rPr>
                <w:rFonts w:ascii="Arial" w:cs="Arial" w:eastAsia="Arial" w:hAnsi="Arial"/>
                <w:sz w:val="14"/>
                <w:szCs w:val="14"/>
                <w:color w:val="auto"/>
              </w:rPr>
              <w:t xml:space="preserve">Cash equivalents </w:t>
            </w:r>
            <w:r>
              <w:rPr>
                <w:rFonts w:ascii="Arial" w:cs="Arial" w:eastAsia="Arial" w:hAnsi="Arial"/>
                <w:sz w:val="18"/>
                <w:szCs w:val="18"/>
                <w:color w:val="auto"/>
                <w:vertAlign w:val="superscript"/>
              </w:rPr>
              <w:t>(1)</w:t>
            </w:r>
          </w:p>
        </w:tc>
        <w:tc>
          <w:tcPr>
            <w:tcW w:w="340" w:type="dxa"/>
            <w:vAlign w:val="bottom"/>
            <w:shd w:val="clear" w:color="auto" w:fill="F5F5F5"/>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shd w:val="clear" w:color="auto" w:fill="F5F5F5"/>
          </w:tcPr>
          <w:p>
            <w:pPr>
              <w:jc w:val="right"/>
              <w:spacing w:after="0"/>
              <w:rPr>
                <w:sz w:val="20"/>
                <w:szCs w:val="20"/>
                <w:color w:val="auto"/>
              </w:rPr>
            </w:pPr>
            <w:r>
              <w:rPr>
                <w:rFonts w:ascii="Arial" w:cs="Arial" w:eastAsia="Arial" w:hAnsi="Arial"/>
                <w:sz w:val="14"/>
                <w:szCs w:val="14"/>
                <w:color w:val="auto"/>
              </w:rPr>
              <w:t>304,072</w:t>
            </w:r>
          </w:p>
        </w:tc>
        <w:tc>
          <w:tcPr>
            <w:tcW w:w="120" w:type="dxa"/>
            <w:vAlign w:val="bottom"/>
            <w:shd w:val="clear" w:color="auto" w:fill="F5F5F5"/>
          </w:tcPr>
          <w:p>
            <w:pPr>
              <w:spacing w:after="0"/>
              <w:rPr>
                <w:sz w:val="17"/>
                <w:szCs w:val="17"/>
                <w:color w:val="auto"/>
              </w:rPr>
            </w:pPr>
          </w:p>
        </w:tc>
        <w:tc>
          <w:tcPr>
            <w:tcW w:w="320" w:type="dxa"/>
            <w:vAlign w:val="bottom"/>
            <w:shd w:val="clear" w:color="auto" w:fill="F5F5F5"/>
          </w:tcPr>
          <w:p>
            <w:pPr>
              <w:jc w:val="right"/>
              <w:ind w:right="1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1,013</w:t>
            </w:r>
          </w:p>
        </w:tc>
        <w:tc>
          <w:tcPr>
            <w:tcW w:w="100" w:type="dxa"/>
            <w:vAlign w:val="bottom"/>
            <w:shd w:val="clear" w:color="auto" w:fill="F5F5F5"/>
          </w:tcPr>
          <w:p>
            <w:pPr>
              <w:spacing w:after="0"/>
              <w:rPr>
                <w:sz w:val="17"/>
                <w:szCs w:val="17"/>
                <w:color w:val="auto"/>
              </w:rPr>
            </w:pPr>
          </w:p>
        </w:tc>
        <w:tc>
          <w:tcPr>
            <w:tcW w:w="340" w:type="dxa"/>
            <w:vAlign w:val="bottom"/>
            <w:shd w:val="clear" w:color="auto" w:fill="F5F5F5"/>
          </w:tcPr>
          <w:p>
            <w:pPr>
              <w:jc w:val="right"/>
              <w:ind w:right="168"/>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F5F5F5"/>
          </w:tcPr>
          <w:p>
            <w:pPr>
              <w:ind w:left="1020"/>
              <w:spacing w:after="0"/>
              <w:rPr>
                <w:sz w:val="20"/>
                <w:szCs w:val="20"/>
                <w:color w:val="auto"/>
              </w:rPr>
            </w:pPr>
            <w:r>
              <w:rPr>
                <w:rFonts w:ascii="Arial" w:cs="Arial" w:eastAsia="Arial" w:hAnsi="Arial"/>
                <w:sz w:val="14"/>
                <w:szCs w:val="14"/>
                <w:color w:val="auto"/>
              </w:rPr>
              <w:t>—</w:t>
            </w:r>
          </w:p>
        </w:tc>
        <w:tc>
          <w:tcPr>
            <w:tcW w:w="380" w:type="dxa"/>
            <w:vAlign w:val="bottom"/>
            <w:shd w:val="clear" w:color="auto" w:fill="F5F5F5"/>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305,085</w:t>
            </w:r>
          </w:p>
        </w:tc>
        <w:tc>
          <w:tcPr>
            <w:tcW w:w="0" w:type="dxa"/>
            <w:vAlign w:val="bottom"/>
          </w:tcPr>
          <w:p>
            <w:pPr>
              <w:spacing w:after="0"/>
              <w:rPr>
                <w:sz w:val="1"/>
                <w:szCs w:val="1"/>
                <w:color w:val="auto"/>
              </w:rPr>
            </w:pPr>
          </w:p>
        </w:tc>
      </w:tr>
      <w:tr>
        <w:trPr>
          <w:trHeight w:val="203"/>
        </w:trPr>
        <w:tc>
          <w:tcPr>
            <w:tcW w:w="4620" w:type="dxa"/>
            <w:vAlign w:val="bottom"/>
          </w:tcPr>
          <w:p>
            <w:pPr>
              <w:ind w:left="220"/>
              <w:spacing w:after="0" w:line="202" w:lineRule="exact"/>
              <w:rPr>
                <w:sz w:val="20"/>
                <w:szCs w:val="20"/>
                <w:color w:val="auto"/>
              </w:rPr>
            </w:pPr>
            <w:r>
              <w:rPr>
                <w:rFonts w:ascii="Arial" w:cs="Arial" w:eastAsia="Arial" w:hAnsi="Arial"/>
                <w:sz w:val="14"/>
                <w:szCs w:val="14"/>
                <w:color w:val="auto"/>
              </w:rPr>
              <w:t xml:space="preserve">Derivative instruments </w:t>
            </w:r>
            <w:r>
              <w:rPr>
                <w:rFonts w:ascii="Arial" w:cs="Arial" w:eastAsia="Arial" w:hAnsi="Arial"/>
                <w:sz w:val="18"/>
                <w:szCs w:val="18"/>
                <w:color w:val="auto"/>
                <w:vertAlign w:val="superscript"/>
              </w:rPr>
              <w:t>(2)</w:t>
            </w:r>
          </w:p>
        </w:tc>
        <w:tc>
          <w:tcPr>
            <w:tcW w:w="34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4,315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4,315</w:t>
            </w:r>
          </w:p>
        </w:tc>
        <w:tc>
          <w:tcPr>
            <w:tcW w:w="0" w:type="dxa"/>
            <w:vAlign w:val="bottom"/>
          </w:tcPr>
          <w:p>
            <w:pPr>
              <w:spacing w:after="0"/>
              <w:rPr>
                <w:sz w:val="1"/>
                <w:szCs w:val="1"/>
                <w:color w:val="auto"/>
              </w:rPr>
            </w:pPr>
          </w:p>
        </w:tc>
      </w:tr>
      <w:tr>
        <w:trPr>
          <w:trHeight w:val="203"/>
        </w:trPr>
        <w:tc>
          <w:tcPr>
            <w:tcW w:w="4620" w:type="dxa"/>
            <w:vAlign w:val="bottom"/>
            <w:shd w:val="clear" w:color="auto" w:fill="F5F5F5"/>
          </w:tcPr>
          <w:p>
            <w:pPr>
              <w:ind w:left="220"/>
              <w:spacing w:after="0" w:line="202" w:lineRule="exact"/>
              <w:rPr>
                <w:sz w:val="20"/>
                <w:szCs w:val="20"/>
                <w:color w:val="auto"/>
              </w:rPr>
            </w:pPr>
            <w:r>
              <w:rPr>
                <w:rFonts w:ascii="Arial" w:cs="Arial" w:eastAsia="Arial" w:hAnsi="Arial"/>
                <w:sz w:val="14"/>
                <w:szCs w:val="14"/>
                <w:color w:val="auto"/>
              </w:rPr>
              <w:t xml:space="preserve">Rabbi Trust assets </w:t>
            </w:r>
            <w:r>
              <w:rPr>
                <w:rFonts w:ascii="Arial" w:cs="Arial" w:eastAsia="Arial" w:hAnsi="Arial"/>
                <w:sz w:val="18"/>
                <w:szCs w:val="18"/>
                <w:color w:val="auto"/>
                <w:vertAlign w:val="superscript"/>
              </w:rPr>
              <w:t>(3)</w:t>
            </w:r>
          </w:p>
        </w:tc>
        <w:tc>
          <w:tcPr>
            <w:tcW w:w="340" w:type="dxa"/>
            <w:vAlign w:val="bottom"/>
            <w:shd w:val="clear" w:color="auto" w:fill="F5F5F5"/>
          </w:tcPr>
          <w:p>
            <w:pPr>
              <w:spacing w:after="0"/>
              <w:rPr>
                <w:sz w:val="17"/>
                <w:szCs w:val="17"/>
                <w:color w:val="auto"/>
              </w:rPr>
            </w:pPr>
          </w:p>
        </w:tc>
        <w:tc>
          <w:tcPr>
            <w:tcW w:w="124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1,164</w:t>
            </w:r>
          </w:p>
        </w:tc>
        <w:tc>
          <w:tcPr>
            <w:tcW w:w="120" w:type="dxa"/>
            <w:vAlign w:val="bottom"/>
            <w:shd w:val="clear" w:color="auto" w:fill="F5F5F5"/>
          </w:tcPr>
          <w:p>
            <w:pPr>
              <w:spacing w:after="0"/>
              <w:rPr>
                <w:sz w:val="17"/>
                <w:szCs w:val="17"/>
                <w:color w:val="auto"/>
              </w:rPr>
            </w:pPr>
          </w:p>
        </w:tc>
        <w:tc>
          <w:tcPr>
            <w:tcW w:w="320" w:type="dxa"/>
            <w:vAlign w:val="bottom"/>
            <w:shd w:val="clear" w:color="auto" w:fill="F5F5F5"/>
          </w:tcPr>
          <w:p>
            <w:pPr>
              <w:spacing w:after="0"/>
              <w:rPr>
                <w:sz w:val="17"/>
                <w:szCs w:val="17"/>
                <w:color w:val="auto"/>
              </w:rPr>
            </w:pPr>
          </w:p>
        </w:tc>
        <w:tc>
          <w:tcPr>
            <w:tcW w:w="1240" w:type="dxa"/>
            <w:vAlign w:val="bottom"/>
            <w:shd w:val="clear" w:color="auto" w:fill="F5F5F5"/>
          </w:tcPr>
          <w:p>
            <w:pPr>
              <w:jc w:val="right"/>
              <w:spacing w:after="0"/>
              <w:rPr>
                <w:sz w:val="20"/>
                <w:szCs w:val="20"/>
                <w:color w:val="auto"/>
              </w:rPr>
            </w:pPr>
            <w:r>
              <w:rPr>
                <w:rFonts w:ascii="Arial" w:cs="Arial" w:eastAsia="Arial" w:hAnsi="Arial"/>
                <w:sz w:val="14"/>
                <w:szCs w:val="14"/>
                <w:color w:val="auto"/>
              </w:rPr>
              <w:t>53,921</w:t>
            </w:r>
          </w:p>
        </w:tc>
        <w:tc>
          <w:tcPr>
            <w:tcW w:w="100" w:type="dxa"/>
            <w:vAlign w:val="bottom"/>
            <w:shd w:val="clear" w:color="auto" w:fill="F5F5F5"/>
          </w:tcPr>
          <w:p>
            <w:pPr>
              <w:spacing w:after="0"/>
              <w:rPr>
                <w:sz w:val="17"/>
                <w:szCs w:val="17"/>
                <w:color w:val="auto"/>
              </w:rPr>
            </w:pPr>
          </w:p>
        </w:tc>
        <w:tc>
          <w:tcPr>
            <w:tcW w:w="340" w:type="dxa"/>
            <w:vAlign w:val="bottom"/>
            <w:shd w:val="clear" w:color="auto" w:fill="F5F5F5"/>
          </w:tcPr>
          <w:p>
            <w:pPr>
              <w:spacing w:after="0"/>
              <w:rPr>
                <w:sz w:val="17"/>
                <w:szCs w:val="17"/>
                <w:color w:val="auto"/>
              </w:rPr>
            </w:pPr>
          </w:p>
        </w:tc>
        <w:tc>
          <w:tcPr>
            <w:tcW w:w="1340" w:type="dxa"/>
            <w:vAlign w:val="bottom"/>
            <w:gridSpan w:val="2"/>
            <w:shd w:val="clear" w:color="auto" w:fill="F5F5F5"/>
          </w:tcPr>
          <w:p>
            <w:pPr>
              <w:ind w:left="1020"/>
              <w:spacing w:after="0"/>
              <w:rPr>
                <w:sz w:val="20"/>
                <w:szCs w:val="20"/>
                <w:color w:val="auto"/>
              </w:rPr>
            </w:pPr>
            <w:r>
              <w:rPr>
                <w:rFonts w:ascii="Arial" w:cs="Arial" w:eastAsia="Arial" w:hAnsi="Arial"/>
                <w:sz w:val="14"/>
                <w:szCs w:val="14"/>
                <w:color w:val="auto"/>
              </w:rPr>
              <w:t>—</w:t>
            </w:r>
          </w:p>
        </w:tc>
        <w:tc>
          <w:tcPr>
            <w:tcW w:w="380" w:type="dxa"/>
            <w:vAlign w:val="bottom"/>
            <w:shd w:val="clear" w:color="auto" w:fill="F5F5F5"/>
          </w:tcPr>
          <w:p>
            <w:pPr>
              <w:spacing w:after="0"/>
              <w:rPr>
                <w:sz w:val="17"/>
                <w:szCs w:val="17"/>
                <w:color w:val="auto"/>
              </w:rPr>
            </w:pPr>
          </w:p>
        </w:tc>
        <w:tc>
          <w:tcPr>
            <w:tcW w:w="12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55,085</w:t>
            </w:r>
          </w:p>
        </w:tc>
        <w:tc>
          <w:tcPr>
            <w:tcW w:w="0" w:type="dxa"/>
            <w:vAlign w:val="bottom"/>
          </w:tcPr>
          <w:p>
            <w:pPr>
              <w:spacing w:after="0"/>
              <w:rPr>
                <w:sz w:val="1"/>
                <w:szCs w:val="1"/>
                <w:color w:val="auto"/>
              </w:rPr>
            </w:pPr>
          </w:p>
        </w:tc>
      </w:tr>
      <w:tr>
        <w:trPr>
          <w:trHeight w:val="203"/>
        </w:trPr>
        <w:tc>
          <w:tcPr>
            <w:tcW w:w="4620" w:type="dxa"/>
            <w:vAlign w:val="bottom"/>
            <w:tcBorders>
              <w:bottom w:val="single" w:sz="8" w:color="F5F5F5"/>
            </w:tcBorders>
          </w:tcPr>
          <w:p>
            <w:pPr>
              <w:ind w:left="220"/>
              <w:spacing w:after="0" w:line="202" w:lineRule="exact"/>
              <w:rPr>
                <w:sz w:val="20"/>
                <w:szCs w:val="20"/>
                <w:color w:val="auto"/>
              </w:rPr>
            </w:pPr>
            <w:r>
              <w:rPr>
                <w:rFonts w:ascii="Arial" w:cs="Arial" w:eastAsia="Arial" w:hAnsi="Arial"/>
                <w:sz w:val="14"/>
                <w:szCs w:val="14"/>
                <w:color w:val="auto"/>
              </w:rPr>
              <w:t xml:space="preserve">Restricted cash equivalents </w:t>
            </w:r>
            <w:r>
              <w:rPr>
                <w:rFonts w:ascii="Arial" w:cs="Arial" w:eastAsia="Arial" w:hAnsi="Arial"/>
                <w:sz w:val="18"/>
                <w:szCs w:val="18"/>
                <w:color w:val="auto"/>
                <w:vertAlign w:val="superscript"/>
              </w:rPr>
              <w:t>(1)</w:t>
            </w: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3,070</w:t>
            </w:r>
          </w:p>
        </w:tc>
        <w:tc>
          <w:tcPr>
            <w:tcW w:w="120" w:type="dxa"/>
            <w:vAlign w:val="bottom"/>
            <w:tcBorders>
              <w:bottom w:val="single" w:sz="8" w:color="F5F5F5"/>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1,496</w:t>
            </w:r>
          </w:p>
        </w:tc>
        <w:tc>
          <w:tcPr>
            <w:tcW w:w="100" w:type="dxa"/>
            <w:vAlign w:val="bottom"/>
            <w:tcBorders>
              <w:bottom w:val="single" w:sz="8" w:color="F5F5F5"/>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10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F5F5F5"/>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4,566</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F5F5F5"/>
            </w:tcBorders>
            <w:shd w:val="clear" w:color="auto" w:fill="F5F5F5"/>
          </w:tcPr>
          <w:p>
            <w:pPr>
              <w:ind w:left="20"/>
              <w:spacing w:after="0"/>
              <w:rPr>
                <w:sz w:val="20"/>
                <w:szCs w:val="20"/>
                <w:color w:val="auto"/>
              </w:rPr>
            </w:pPr>
            <w:r>
              <w:rPr>
                <w:rFonts w:ascii="Arial" w:cs="Arial" w:eastAsia="Arial" w:hAnsi="Arial"/>
                <w:sz w:val="14"/>
                <w:szCs w:val="14"/>
                <w:color w:val="auto"/>
              </w:rPr>
              <w:t>Total assets</w:t>
            </w:r>
          </w:p>
        </w:tc>
        <w:tc>
          <w:tcPr>
            <w:tcW w:w="340" w:type="dxa"/>
            <w:vAlign w:val="bottom"/>
            <w:tcBorders>
              <w:bottom w:val="single" w:sz="8" w:color="auto"/>
            </w:tcBorders>
            <w:shd w:val="clear" w:color="auto" w:fill="F5F5F5"/>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308,306</w:t>
            </w:r>
          </w:p>
        </w:tc>
        <w:tc>
          <w:tcPr>
            <w:tcW w:w="120" w:type="dxa"/>
            <w:vAlign w:val="bottom"/>
            <w:tcBorders>
              <w:bottom w:val="single" w:sz="8" w:color="F5F5F5"/>
            </w:tcBorders>
            <w:shd w:val="clear" w:color="auto" w:fill="F5F5F5"/>
          </w:tcPr>
          <w:p>
            <w:pPr>
              <w:spacing w:after="0"/>
              <w:rPr>
                <w:sz w:val="18"/>
                <w:szCs w:val="18"/>
                <w:color w:val="auto"/>
              </w:rPr>
            </w:pPr>
          </w:p>
        </w:tc>
        <w:tc>
          <w:tcPr>
            <w:tcW w:w="320" w:type="dxa"/>
            <w:vAlign w:val="bottom"/>
            <w:tcBorders>
              <w:bottom w:val="single" w:sz="8" w:color="auto"/>
            </w:tcBorders>
            <w:shd w:val="clear" w:color="auto" w:fill="F5F5F5"/>
          </w:tcPr>
          <w:p>
            <w:pPr>
              <w:jc w:val="right"/>
              <w:ind w:right="1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60,745</w:t>
            </w:r>
          </w:p>
        </w:tc>
        <w:tc>
          <w:tcPr>
            <w:tcW w:w="100" w:type="dxa"/>
            <w:vAlign w:val="bottom"/>
            <w:tcBorders>
              <w:bottom w:val="single" w:sz="8" w:color="F5F5F5"/>
            </w:tcBorders>
            <w:shd w:val="clear" w:color="auto" w:fill="F5F5F5"/>
          </w:tcPr>
          <w:p>
            <w:pPr>
              <w:spacing w:after="0"/>
              <w:rPr>
                <w:sz w:val="18"/>
                <w:szCs w:val="18"/>
                <w:color w:val="auto"/>
              </w:rPr>
            </w:pPr>
          </w:p>
        </w:tc>
        <w:tc>
          <w:tcPr>
            <w:tcW w:w="340" w:type="dxa"/>
            <w:vAlign w:val="bottom"/>
            <w:tcBorders>
              <w:bottom w:val="single" w:sz="8" w:color="auto"/>
            </w:tcBorders>
            <w:shd w:val="clear" w:color="auto" w:fill="F5F5F5"/>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F5F5F5"/>
          </w:tcPr>
          <w:p>
            <w:pPr>
              <w:ind w:left="10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F5F5F5"/>
            </w:tcBorders>
            <w:shd w:val="clear" w:color="auto" w:fill="F5F5F5"/>
          </w:tcPr>
          <w:p>
            <w:pPr>
              <w:spacing w:after="0"/>
              <w:rPr>
                <w:sz w:val="18"/>
                <w:szCs w:val="18"/>
                <w:color w:val="auto"/>
              </w:rPr>
            </w:pPr>
          </w:p>
        </w:tc>
        <w:tc>
          <w:tcPr>
            <w:tcW w:w="380" w:type="dxa"/>
            <w:vAlign w:val="bottom"/>
            <w:tcBorders>
              <w:bottom w:val="single" w:sz="8" w:color="auto"/>
            </w:tcBorders>
            <w:shd w:val="clear" w:color="auto" w:fill="F5F5F5"/>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369,051</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6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5080" w:type="dxa"/>
            <w:vAlign w:val="bottom"/>
            <w:tcBorders>
              <w:bottom w:val="single" w:sz="8" w:color="auto"/>
            </w:tcBorders>
            <w:gridSpan w:val="9"/>
          </w:tcPr>
          <w:p>
            <w:pPr>
              <w:jc w:val="right"/>
              <w:ind w:right="188"/>
              <w:spacing w:after="0"/>
              <w:rPr>
                <w:sz w:val="20"/>
                <w:szCs w:val="20"/>
                <w:color w:val="auto"/>
              </w:rPr>
            </w:pPr>
            <w:r>
              <w:rPr>
                <w:rFonts w:ascii="Arial" w:cs="Arial" w:eastAsia="Arial" w:hAnsi="Arial"/>
                <w:sz w:val="14"/>
                <w:szCs w:val="14"/>
                <w:color w:val="auto"/>
              </w:rPr>
              <w:t>Assets and Liabilities at Fair Value as of February 3, 2024</w:t>
            </w:r>
          </w:p>
        </w:tc>
        <w:tc>
          <w:tcPr>
            <w:tcW w:w="1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6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7"/>
                <w:szCs w:val="17"/>
                <w:color w:val="auto"/>
              </w:rPr>
            </w:pPr>
          </w:p>
        </w:tc>
        <w:tc>
          <w:tcPr>
            <w:tcW w:w="1360" w:type="dxa"/>
            <w:vAlign w:val="bottom"/>
            <w:gridSpan w:val="2"/>
          </w:tcPr>
          <w:p>
            <w:pPr>
              <w:ind w:left="220"/>
              <w:spacing w:after="0"/>
              <w:rPr>
                <w:sz w:val="20"/>
                <w:szCs w:val="20"/>
                <w:color w:val="auto"/>
              </w:rPr>
            </w:pPr>
            <w:r>
              <w:rPr>
                <w:rFonts w:ascii="Arial" w:cs="Arial" w:eastAsia="Arial" w:hAnsi="Arial"/>
                <w:sz w:val="14"/>
                <w:szCs w:val="14"/>
                <w:color w:val="auto"/>
              </w:rPr>
              <w:t>Level 1</w:t>
            </w:r>
          </w:p>
        </w:tc>
        <w:tc>
          <w:tcPr>
            <w:tcW w:w="320" w:type="dxa"/>
            <w:vAlign w:val="bottom"/>
          </w:tcPr>
          <w:p>
            <w:pPr>
              <w:spacing w:after="0"/>
              <w:rPr>
                <w:sz w:val="17"/>
                <w:szCs w:val="17"/>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color w:val="auto"/>
              </w:rPr>
              <w:t>Level 2</w:t>
            </w:r>
          </w:p>
        </w:tc>
        <w:tc>
          <w:tcPr>
            <w:tcW w:w="340" w:type="dxa"/>
            <w:vAlign w:val="bottom"/>
          </w:tcPr>
          <w:p>
            <w:pPr>
              <w:spacing w:after="0"/>
              <w:rPr>
                <w:sz w:val="17"/>
                <w:szCs w:val="17"/>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color w:val="auto"/>
              </w:rPr>
              <w:t>Level 3</w:t>
            </w:r>
          </w:p>
        </w:tc>
        <w:tc>
          <w:tcPr>
            <w:tcW w:w="380" w:type="dxa"/>
            <w:vAlign w:val="bottom"/>
          </w:tcPr>
          <w:p>
            <w:pPr>
              <w:spacing w:after="0"/>
              <w:rPr>
                <w:sz w:val="17"/>
                <w:szCs w:val="17"/>
                <w:color w:val="auto"/>
              </w:rPr>
            </w:pPr>
          </w:p>
        </w:tc>
        <w:tc>
          <w:tcPr>
            <w:tcW w:w="1200" w:type="dxa"/>
            <w:vAlign w:val="bottom"/>
          </w:tcPr>
          <w:p>
            <w:pPr>
              <w:jc w:val="right"/>
              <w:ind w:right="56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5"/>
        </w:trPr>
        <w:tc>
          <w:tcPr>
            <w:tcW w:w="4620" w:type="dxa"/>
            <w:vAlign w:val="bottom"/>
          </w:tcPr>
          <w:p>
            <w:pPr>
              <w:ind w:left="20"/>
              <w:spacing w:after="0"/>
              <w:rPr>
                <w:sz w:val="20"/>
                <w:szCs w:val="20"/>
                <w:color w:val="auto"/>
              </w:rPr>
            </w:pPr>
            <w:r>
              <w:rPr>
                <w:rFonts w:ascii="Arial" w:cs="Arial" w:eastAsia="Arial" w:hAnsi="Arial"/>
                <w:sz w:val="14"/>
                <w:szCs w:val="14"/>
                <w:color w:val="auto"/>
              </w:rPr>
              <w:t>Assets:</w:t>
            </w:r>
          </w:p>
        </w:tc>
        <w:tc>
          <w:tcPr>
            <w:tcW w:w="3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620" w:type="dxa"/>
            <w:vAlign w:val="bottom"/>
            <w:shd w:val="clear" w:color="auto" w:fill="F5F5F5"/>
          </w:tcPr>
          <w:p>
            <w:pPr>
              <w:ind w:left="220"/>
              <w:spacing w:after="0"/>
              <w:rPr>
                <w:sz w:val="20"/>
                <w:szCs w:val="20"/>
                <w:color w:val="auto"/>
              </w:rPr>
            </w:pPr>
            <w:r>
              <w:rPr>
                <w:rFonts w:ascii="Arial" w:cs="Arial" w:eastAsia="Arial" w:hAnsi="Arial"/>
                <w:sz w:val="14"/>
                <w:szCs w:val="14"/>
                <w:color w:val="auto"/>
              </w:rPr>
              <w:t xml:space="preserve">Cash equivalents </w:t>
            </w:r>
            <w:r>
              <w:rPr>
                <w:rFonts w:ascii="Arial" w:cs="Arial" w:eastAsia="Arial" w:hAnsi="Arial"/>
                <w:sz w:val="9"/>
                <w:szCs w:val="9"/>
                <w:color w:val="auto"/>
              </w:rPr>
              <w:t>(1)</w:t>
            </w:r>
          </w:p>
        </w:tc>
        <w:tc>
          <w:tcPr>
            <w:tcW w:w="340" w:type="dxa"/>
            <w:vAlign w:val="bottom"/>
            <w:shd w:val="clear" w:color="auto" w:fill="F5F5F5"/>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shd w:val="clear" w:color="auto" w:fill="F5F5F5"/>
          </w:tcPr>
          <w:p>
            <w:pPr>
              <w:jc w:val="right"/>
              <w:spacing w:after="0"/>
              <w:rPr>
                <w:sz w:val="20"/>
                <w:szCs w:val="20"/>
                <w:color w:val="auto"/>
              </w:rPr>
            </w:pPr>
            <w:r>
              <w:rPr>
                <w:rFonts w:ascii="Arial" w:cs="Arial" w:eastAsia="Arial" w:hAnsi="Arial"/>
                <w:sz w:val="14"/>
                <w:szCs w:val="14"/>
                <w:color w:val="auto"/>
              </w:rPr>
              <w:t>349,174</w:t>
            </w:r>
          </w:p>
        </w:tc>
        <w:tc>
          <w:tcPr>
            <w:tcW w:w="120" w:type="dxa"/>
            <w:vAlign w:val="bottom"/>
            <w:shd w:val="clear" w:color="auto" w:fill="F5F5F5"/>
          </w:tcPr>
          <w:p>
            <w:pPr>
              <w:spacing w:after="0"/>
              <w:rPr>
                <w:sz w:val="17"/>
                <w:szCs w:val="17"/>
                <w:color w:val="auto"/>
              </w:rPr>
            </w:pPr>
          </w:p>
        </w:tc>
        <w:tc>
          <w:tcPr>
            <w:tcW w:w="320" w:type="dxa"/>
            <w:vAlign w:val="bottom"/>
            <w:shd w:val="clear" w:color="auto" w:fill="F5F5F5"/>
          </w:tcPr>
          <w:p>
            <w:pPr>
              <w:jc w:val="right"/>
              <w:ind w:right="1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F5F5F5"/>
          </w:tcPr>
          <w:p>
            <w:pPr>
              <w:jc w:val="right"/>
              <w:spacing w:after="0"/>
              <w:rPr>
                <w:sz w:val="20"/>
                <w:szCs w:val="20"/>
                <w:color w:val="auto"/>
              </w:rPr>
            </w:pPr>
            <w:r>
              <w:rPr>
                <w:rFonts w:ascii="Arial" w:cs="Arial" w:eastAsia="Arial" w:hAnsi="Arial"/>
                <w:sz w:val="14"/>
                <w:szCs w:val="14"/>
                <w:color w:val="auto"/>
              </w:rPr>
              <w:t>26,975</w:t>
            </w:r>
          </w:p>
        </w:tc>
        <w:tc>
          <w:tcPr>
            <w:tcW w:w="100" w:type="dxa"/>
            <w:vAlign w:val="bottom"/>
            <w:shd w:val="clear" w:color="auto" w:fill="F5F5F5"/>
          </w:tcPr>
          <w:p>
            <w:pPr>
              <w:spacing w:after="0"/>
              <w:rPr>
                <w:sz w:val="17"/>
                <w:szCs w:val="17"/>
                <w:color w:val="auto"/>
              </w:rPr>
            </w:pPr>
          </w:p>
        </w:tc>
        <w:tc>
          <w:tcPr>
            <w:tcW w:w="340" w:type="dxa"/>
            <w:vAlign w:val="bottom"/>
            <w:shd w:val="clear" w:color="auto" w:fill="F5F5F5"/>
          </w:tcPr>
          <w:p>
            <w:pPr>
              <w:jc w:val="right"/>
              <w:ind w:right="168"/>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F5F5F5"/>
          </w:tcPr>
          <w:p>
            <w:pPr>
              <w:ind w:left="1020"/>
              <w:spacing w:after="0"/>
              <w:rPr>
                <w:sz w:val="20"/>
                <w:szCs w:val="20"/>
                <w:color w:val="auto"/>
              </w:rPr>
            </w:pPr>
            <w:r>
              <w:rPr>
                <w:rFonts w:ascii="Arial" w:cs="Arial" w:eastAsia="Arial" w:hAnsi="Arial"/>
                <w:sz w:val="14"/>
                <w:szCs w:val="14"/>
                <w:color w:val="auto"/>
              </w:rPr>
              <w:t>—</w:t>
            </w:r>
          </w:p>
        </w:tc>
        <w:tc>
          <w:tcPr>
            <w:tcW w:w="380" w:type="dxa"/>
            <w:vAlign w:val="bottom"/>
            <w:shd w:val="clear" w:color="auto" w:fill="F5F5F5"/>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376,149</w:t>
            </w:r>
          </w:p>
        </w:tc>
        <w:tc>
          <w:tcPr>
            <w:tcW w:w="0" w:type="dxa"/>
            <w:vAlign w:val="bottom"/>
          </w:tcPr>
          <w:p>
            <w:pPr>
              <w:spacing w:after="0"/>
              <w:rPr>
                <w:sz w:val="1"/>
                <w:szCs w:val="1"/>
                <w:color w:val="auto"/>
              </w:rPr>
            </w:pPr>
          </w:p>
        </w:tc>
      </w:tr>
      <w:tr>
        <w:trPr>
          <w:trHeight w:val="199"/>
        </w:trPr>
        <w:tc>
          <w:tcPr>
            <w:tcW w:w="4620" w:type="dxa"/>
            <w:vAlign w:val="bottom"/>
          </w:tcPr>
          <w:p>
            <w:pPr>
              <w:ind w:left="220"/>
              <w:spacing w:after="0"/>
              <w:rPr>
                <w:sz w:val="20"/>
                <w:szCs w:val="20"/>
                <w:color w:val="auto"/>
              </w:rPr>
            </w:pPr>
            <w:r>
              <w:rPr>
                <w:rFonts w:ascii="Arial" w:cs="Arial" w:eastAsia="Arial" w:hAnsi="Arial"/>
                <w:sz w:val="14"/>
                <w:szCs w:val="14"/>
                <w:color w:val="auto"/>
              </w:rPr>
              <w:t xml:space="preserve">Derivative instruments </w:t>
            </w:r>
            <w:r>
              <w:rPr>
                <w:rFonts w:ascii="Arial" w:cs="Arial" w:eastAsia="Arial" w:hAnsi="Arial"/>
                <w:sz w:val="9"/>
                <w:szCs w:val="9"/>
                <w:color w:val="auto"/>
              </w:rPr>
              <w:t>(2)</w:t>
            </w:r>
          </w:p>
        </w:tc>
        <w:tc>
          <w:tcPr>
            <w:tcW w:w="34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1,092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1,092</w:t>
            </w:r>
          </w:p>
        </w:tc>
        <w:tc>
          <w:tcPr>
            <w:tcW w:w="0" w:type="dxa"/>
            <w:vAlign w:val="bottom"/>
          </w:tcPr>
          <w:p>
            <w:pPr>
              <w:spacing w:after="0"/>
              <w:rPr>
                <w:sz w:val="1"/>
                <w:szCs w:val="1"/>
                <w:color w:val="auto"/>
              </w:rPr>
            </w:pPr>
          </w:p>
        </w:tc>
      </w:tr>
      <w:tr>
        <w:trPr>
          <w:trHeight w:val="206"/>
        </w:trPr>
        <w:tc>
          <w:tcPr>
            <w:tcW w:w="4620" w:type="dxa"/>
            <w:vAlign w:val="bottom"/>
            <w:shd w:val="clear" w:color="auto" w:fill="F5F5F5"/>
          </w:tcPr>
          <w:p>
            <w:pPr>
              <w:ind w:left="220"/>
              <w:spacing w:after="0"/>
              <w:rPr>
                <w:sz w:val="20"/>
                <w:szCs w:val="20"/>
                <w:color w:val="auto"/>
              </w:rPr>
            </w:pPr>
            <w:r>
              <w:rPr>
                <w:rFonts w:ascii="Arial" w:cs="Arial" w:eastAsia="Arial" w:hAnsi="Arial"/>
                <w:sz w:val="14"/>
                <w:szCs w:val="14"/>
                <w:color w:val="auto"/>
              </w:rPr>
              <w:t xml:space="preserve">Rabbi Trust assets </w:t>
            </w:r>
            <w:r>
              <w:rPr>
                <w:rFonts w:ascii="Arial" w:cs="Arial" w:eastAsia="Arial" w:hAnsi="Arial"/>
                <w:sz w:val="9"/>
                <w:szCs w:val="9"/>
                <w:color w:val="auto"/>
              </w:rPr>
              <w:t>(3)</w:t>
            </w:r>
          </w:p>
        </w:tc>
        <w:tc>
          <w:tcPr>
            <w:tcW w:w="340" w:type="dxa"/>
            <w:vAlign w:val="bottom"/>
            <w:shd w:val="clear" w:color="auto" w:fill="F5F5F5"/>
          </w:tcPr>
          <w:p>
            <w:pPr>
              <w:spacing w:after="0"/>
              <w:rPr>
                <w:sz w:val="17"/>
                <w:szCs w:val="17"/>
                <w:color w:val="auto"/>
              </w:rPr>
            </w:pPr>
          </w:p>
        </w:tc>
        <w:tc>
          <w:tcPr>
            <w:tcW w:w="124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1,164</w:t>
            </w:r>
          </w:p>
        </w:tc>
        <w:tc>
          <w:tcPr>
            <w:tcW w:w="120" w:type="dxa"/>
            <w:vAlign w:val="bottom"/>
            <w:shd w:val="clear" w:color="auto" w:fill="F5F5F5"/>
          </w:tcPr>
          <w:p>
            <w:pPr>
              <w:spacing w:after="0"/>
              <w:rPr>
                <w:sz w:val="17"/>
                <w:szCs w:val="17"/>
                <w:color w:val="auto"/>
              </w:rPr>
            </w:pPr>
          </w:p>
        </w:tc>
        <w:tc>
          <w:tcPr>
            <w:tcW w:w="320" w:type="dxa"/>
            <w:vAlign w:val="bottom"/>
            <w:shd w:val="clear" w:color="auto" w:fill="F5F5F5"/>
          </w:tcPr>
          <w:p>
            <w:pPr>
              <w:spacing w:after="0"/>
              <w:rPr>
                <w:sz w:val="17"/>
                <w:szCs w:val="17"/>
                <w:color w:val="auto"/>
              </w:rPr>
            </w:pPr>
          </w:p>
        </w:tc>
        <w:tc>
          <w:tcPr>
            <w:tcW w:w="1240" w:type="dxa"/>
            <w:vAlign w:val="bottom"/>
            <w:shd w:val="clear" w:color="auto" w:fill="F5F5F5"/>
          </w:tcPr>
          <w:p>
            <w:pPr>
              <w:jc w:val="right"/>
              <w:spacing w:after="0"/>
              <w:rPr>
                <w:sz w:val="20"/>
                <w:szCs w:val="20"/>
                <w:color w:val="auto"/>
              </w:rPr>
            </w:pPr>
            <w:r>
              <w:rPr>
                <w:rFonts w:ascii="Arial" w:cs="Arial" w:eastAsia="Arial" w:hAnsi="Arial"/>
                <w:sz w:val="14"/>
                <w:szCs w:val="14"/>
                <w:color w:val="auto"/>
              </w:rPr>
              <w:t>52,521</w:t>
            </w:r>
          </w:p>
        </w:tc>
        <w:tc>
          <w:tcPr>
            <w:tcW w:w="100" w:type="dxa"/>
            <w:vAlign w:val="bottom"/>
            <w:shd w:val="clear" w:color="auto" w:fill="F5F5F5"/>
          </w:tcPr>
          <w:p>
            <w:pPr>
              <w:spacing w:after="0"/>
              <w:rPr>
                <w:sz w:val="17"/>
                <w:szCs w:val="17"/>
                <w:color w:val="auto"/>
              </w:rPr>
            </w:pPr>
          </w:p>
        </w:tc>
        <w:tc>
          <w:tcPr>
            <w:tcW w:w="340" w:type="dxa"/>
            <w:vAlign w:val="bottom"/>
            <w:shd w:val="clear" w:color="auto" w:fill="F5F5F5"/>
          </w:tcPr>
          <w:p>
            <w:pPr>
              <w:spacing w:after="0"/>
              <w:rPr>
                <w:sz w:val="17"/>
                <w:szCs w:val="17"/>
                <w:color w:val="auto"/>
              </w:rPr>
            </w:pPr>
          </w:p>
        </w:tc>
        <w:tc>
          <w:tcPr>
            <w:tcW w:w="1340" w:type="dxa"/>
            <w:vAlign w:val="bottom"/>
            <w:gridSpan w:val="2"/>
            <w:shd w:val="clear" w:color="auto" w:fill="F5F5F5"/>
          </w:tcPr>
          <w:p>
            <w:pPr>
              <w:ind w:left="1020"/>
              <w:spacing w:after="0"/>
              <w:rPr>
                <w:sz w:val="20"/>
                <w:szCs w:val="20"/>
                <w:color w:val="auto"/>
              </w:rPr>
            </w:pPr>
            <w:r>
              <w:rPr>
                <w:rFonts w:ascii="Arial" w:cs="Arial" w:eastAsia="Arial" w:hAnsi="Arial"/>
                <w:sz w:val="14"/>
                <w:szCs w:val="14"/>
                <w:color w:val="auto"/>
              </w:rPr>
              <w:t>—</w:t>
            </w:r>
          </w:p>
        </w:tc>
        <w:tc>
          <w:tcPr>
            <w:tcW w:w="380" w:type="dxa"/>
            <w:vAlign w:val="bottom"/>
            <w:shd w:val="clear" w:color="auto" w:fill="F5F5F5"/>
          </w:tcPr>
          <w:p>
            <w:pPr>
              <w:spacing w:after="0"/>
              <w:rPr>
                <w:sz w:val="17"/>
                <w:szCs w:val="17"/>
                <w:color w:val="auto"/>
              </w:rPr>
            </w:pPr>
          </w:p>
        </w:tc>
        <w:tc>
          <w:tcPr>
            <w:tcW w:w="12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53,685</w:t>
            </w:r>
          </w:p>
        </w:tc>
        <w:tc>
          <w:tcPr>
            <w:tcW w:w="0" w:type="dxa"/>
            <w:vAlign w:val="bottom"/>
          </w:tcPr>
          <w:p>
            <w:pPr>
              <w:spacing w:after="0"/>
              <w:rPr>
                <w:sz w:val="1"/>
                <w:szCs w:val="1"/>
                <w:color w:val="auto"/>
              </w:rPr>
            </w:pPr>
          </w:p>
        </w:tc>
      </w:tr>
      <w:tr>
        <w:trPr>
          <w:trHeight w:val="199"/>
        </w:trPr>
        <w:tc>
          <w:tcPr>
            <w:tcW w:w="4620" w:type="dxa"/>
            <w:vAlign w:val="bottom"/>
            <w:tcBorders>
              <w:bottom w:val="single" w:sz="8" w:color="F5F5F5"/>
            </w:tcBorders>
          </w:tcPr>
          <w:p>
            <w:pPr>
              <w:ind w:left="220"/>
              <w:spacing w:after="0"/>
              <w:rPr>
                <w:sz w:val="20"/>
                <w:szCs w:val="20"/>
                <w:color w:val="auto"/>
              </w:rPr>
            </w:pPr>
            <w:r>
              <w:rPr>
                <w:rFonts w:ascii="Arial" w:cs="Arial" w:eastAsia="Arial" w:hAnsi="Arial"/>
                <w:sz w:val="14"/>
                <w:szCs w:val="14"/>
                <w:color w:val="auto"/>
              </w:rPr>
              <w:t xml:space="preserve">Restricted cash equivalents </w:t>
            </w:r>
            <w:r>
              <w:rPr>
                <w:rFonts w:ascii="Arial" w:cs="Arial" w:eastAsia="Arial" w:hAnsi="Arial"/>
                <w:sz w:val="9"/>
                <w:szCs w:val="9"/>
                <w:color w:val="auto"/>
              </w:rPr>
              <w:t>(1)</w:t>
            </w: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4,282</w:t>
            </w:r>
          </w:p>
        </w:tc>
        <w:tc>
          <w:tcPr>
            <w:tcW w:w="120" w:type="dxa"/>
            <w:vAlign w:val="bottom"/>
            <w:tcBorders>
              <w:bottom w:val="single" w:sz="8" w:color="F5F5F5"/>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1,420</w:t>
            </w:r>
          </w:p>
        </w:tc>
        <w:tc>
          <w:tcPr>
            <w:tcW w:w="100" w:type="dxa"/>
            <w:vAlign w:val="bottom"/>
            <w:tcBorders>
              <w:bottom w:val="single" w:sz="8" w:color="F5F5F5"/>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10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F5F5F5"/>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5,702</w:t>
            </w:r>
          </w:p>
        </w:tc>
        <w:tc>
          <w:tcPr>
            <w:tcW w:w="0" w:type="dxa"/>
            <w:vAlign w:val="bottom"/>
          </w:tcPr>
          <w:p>
            <w:pPr>
              <w:spacing w:after="0"/>
              <w:rPr>
                <w:sz w:val="1"/>
                <w:szCs w:val="1"/>
                <w:color w:val="auto"/>
              </w:rPr>
            </w:pPr>
          </w:p>
        </w:tc>
      </w:tr>
      <w:tr>
        <w:trPr>
          <w:trHeight w:val="220"/>
        </w:trPr>
        <w:tc>
          <w:tcPr>
            <w:tcW w:w="4620" w:type="dxa"/>
            <w:vAlign w:val="bottom"/>
            <w:shd w:val="clear" w:color="auto" w:fill="F5F5F5"/>
          </w:tcPr>
          <w:p>
            <w:pPr>
              <w:ind w:left="20"/>
              <w:spacing w:after="0"/>
              <w:rPr>
                <w:sz w:val="20"/>
                <w:szCs w:val="20"/>
                <w:color w:val="auto"/>
              </w:rPr>
            </w:pPr>
            <w:r>
              <w:rPr>
                <w:rFonts w:ascii="Arial" w:cs="Arial" w:eastAsia="Arial" w:hAnsi="Arial"/>
                <w:sz w:val="14"/>
                <w:szCs w:val="14"/>
                <w:color w:val="auto"/>
              </w:rPr>
              <w:t>Total assets</w:t>
            </w:r>
          </w:p>
        </w:tc>
        <w:tc>
          <w:tcPr>
            <w:tcW w:w="340" w:type="dxa"/>
            <w:vAlign w:val="bottom"/>
            <w:shd w:val="clear" w:color="auto" w:fill="F5F5F5"/>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shd w:val="clear" w:color="auto" w:fill="F5F5F5"/>
          </w:tcPr>
          <w:p>
            <w:pPr>
              <w:jc w:val="right"/>
              <w:spacing w:after="0"/>
              <w:rPr>
                <w:sz w:val="20"/>
                <w:szCs w:val="20"/>
                <w:color w:val="auto"/>
              </w:rPr>
            </w:pPr>
            <w:r>
              <w:rPr>
                <w:rFonts w:ascii="Arial" w:cs="Arial" w:eastAsia="Arial" w:hAnsi="Arial"/>
                <w:sz w:val="14"/>
                <w:szCs w:val="14"/>
                <w:color w:val="auto"/>
              </w:rPr>
              <w:t>354,620</w:t>
            </w:r>
          </w:p>
        </w:tc>
        <w:tc>
          <w:tcPr>
            <w:tcW w:w="120" w:type="dxa"/>
            <w:vAlign w:val="bottom"/>
            <w:shd w:val="clear" w:color="auto" w:fill="F5F5F5"/>
          </w:tcPr>
          <w:p>
            <w:pPr>
              <w:spacing w:after="0"/>
              <w:rPr>
                <w:sz w:val="19"/>
                <w:szCs w:val="19"/>
                <w:color w:val="auto"/>
              </w:rPr>
            </w:pPr>
          </w:p>
        </w:tc>
        <w:tc>
          <w:tcPr>
            <w:tcW w:w="320" w:type="dxa"/>
            <w:vAlign w:val="bottom"/>
            <w:shd w:val="clear" w:color="auto" w:fill="F5F5F5"/>
          </w:tcPr>
          <w:p>
            <w:pPr>
              <w:jc w:val="right"/>
              <w:ind w:right="1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F5F5F5"/>
          </w:tcPr>
          <w:p>
            <w:pPr>
              <w:jc w:val="right"/>
              <w:spacing w:after="0"/>
              <w:rPr>
                <w:sz w:val="20"/>
                <w:szCs w:val="20"/>
                <w:color w:val="auto"/>
              </w:rPr>
            </w:pPr>
            <w:r>
              <w:rPr>
                <w:rFonts w:ascii="Arial" w:cs="Arial" w:eastAsia="Arial" w:hAnsi="Arial"/>
                <w:sz w:val="14"/>
                <w:szCs w:val="14"/>
                <w:color w:val="auto"/>
              </w:rPr>
              <w:t>82,008</w:t>
            </w:r>
          </w:p>
        </w:tc>
        <w:tc>
          <w:tcPr>
            <w:tcW w:w="100" w:type="dxa"/>
            <w:vAlign w:val="bottom"/>
            <w:shd w:val="clear" w:color="auto" w:fill="F5F5F5"/>
          </w:tcPr>
          <w:p>
            <w:pPr>
              <w:spacing w:after="0"/>
              <w:rPr>
                <w:sz w:val="19"/>
                <w:szCs w:val="19"/>
                <w:color w:val="auto"/>
              </w:rPr>
            </w:pPr>
          </w:p>
        </w:tc>
        <w:tc>
          <w:tcPr>
            <w:tcW w:w="340" w:type="dxa"/>
            <w:vAlign w:val="bottom"/>
            <w:shd w:val="clear" w:color="auto" w:fill="F5F5F5"/>
          </w:tcPr>
          <w:p>
            <w:pPr>
              <w:jc w:val="right"/>
              <w:ind w:right="168"/>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F5F5F5"/>
          </w:tcPr>
          <w:p>
            <w:pPr>
              <w:ind w:left="1020"/>
              <w:spacing w:after="0"/>
              <w:rPr>
                <w:sz w:val="20"/>
                <w:szCs w:val="20"/>
                <w:color w:val="auto"/>
              </w:rPr>
            </w:pPr>
            <w:r>
              <w:rPr>
                <w:rFonts w:ascii="Arial" w:cs="Arial" w:eastAsia="Arial" w:hAnsi="Arial"/>
                <w:sz w:val="14"/>
                <w:szCs w:val="14"/>
                <w:color w:val="auto"/>
              </w:rPr>
              <w:t>—</w:t>
            </w:r>
          </w:p>
        </w:tc>
        <w:tc>
          <w:tcPr>
            <w:tcW w:w="380" w:type="dxa"/>
            <w:vAlign w:val="bottom"/>
            <w:shd w:val="clear" w:color="auto" w:fill="F5F5F5"/>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436,628</w:t>
            </w:r>
          </w:p>
        </w:tc>
        <w:tc>
          <w:tcPr>
            <w:tcW w:w="0" w:type="dxa"/>
            <w:vAlign w:val="bottom"/>
          </w:tcPr>
          <w:p>
            <w:pPr>
              <w:spacing w:after="0"/>
              <w:rPr>
                <w:sz w:val="1"/>
                <w:szCs w:val="1"/>
                <w:color w:val="auto"/>
              </w:rPr>
            </w:pPr>
          </w:p>
        </w:tc>
      </w:tr>
      <w:tr>
        <w:trPr>
          <w:trHeight w:val="20"/>
        </w:trPr>
        <w:tc>
          <w:tcPr>
            <w:tcW w:w="4620" w:type="dxa"/>
            <w:vAlign w:val="bottom"/>
            <w:tcBorders>
              <w:top w:val="single" w:sz="8" w:color="F5F5F5"/>
              <w:bottom w:val="single" w:sz="8" w:color="F5F5F5"/>
            </w:tcBorders>
            <w:vMerge w:val="restart"/>
          </w:tcPr>
          <w:p>
            <w:pPr>
              <w:ind w:left="20"/>
              <w:spacing w:after="0"/>
              <w:rPr>
                <w:sz w:val="20"/>
                <w:szCs w:val="20"/>
                <w:color w:val="auto"/>
              </w:rPr>
            </w:pPr>
            <w:r>
              <w:rPr>
                <w:rFonts w:ascii="Arial" w:cs="Arial" w:eastAsia="Arial" w:hAnsi="Arial"/>
                <w:sz w:val="14"/>
                <w:szCs w:val="14"/>
                <w:color w:val="auto"/>
              </w:rPr>
              <w:t>Liabilities: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5F5F5"/>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5F5F5"/>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5F5F5"/>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46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F5F5F5"/>
          </w:tcPr>
          <w:p>
            <w:pPr>
              <w:ind w:left="220"/>
              <w:spacing w:after="0"/>
              <w:rPr>
                <w:sz w:val="20"/>
                <w:szCs w:val="20"/>
                <w:color w:val="auto"/>
              </w:rPr>
            </w:pPr>
            <w:r>
              <w:rPr>
                <w:rFonts w:ascii="Arial" w:cs="Arial" w:eastAsia="Arial" w:hAnsi="Arial"/>
                <w:sz w:val="14"/>
                <w:szCs w:val="14"/>
                <w:color w:val="auto"/>
              </w:rPr>
              <w:t xml:space="preserve">Derivative instruments </w:t>
            </w:r>
            <w:r>
              <w:rPr>
                <w:rFonts w:ascii="Arial" w:cs="Arial" w:eastAsia="Arial" w:hAnsi="Arial"/>
                <w:sz w:val="9"/>
                <w:szCs w:val="9"/>
                <w:color w:val="auto"/>
              </w:rPr>
              <w:t>(2)</w:t>
            </w:r>
          </w:p>
        </w:tc>
        <w:tc>
          <w:tcPr>
            <w:tcW w:w="340" w:type="dxa"/>
            <w:vAlign w:val="bottom"/>
            <w:tcBorders>
              <w:bottom w:val="single" w:sz="8" w:color="auto"/>
            </w:tcBorders>
            <w:shd w:val="clear" w:color="auto" w:fill="F5F5F5"/>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F5F5F5"/>
          </w:tcPr>
          <w:p>
            <w:pPr>
              <w:spacing w:after="0"/>
              <w:rPr>
                <w:sz w:val="17"/>
                <w:szCs w:val="17"/>
                <w:color w:val="auto"/>
              </w:rPr>
            </w:pPr>
          </w:p>
        </w:tc>
        <w:tc>
          <w:tcPr>
            <w:tcW w:w="320" w:type="dxa"/>
            <w:vAlign w:val="bottom"/>
            <w:tcBorders>
              <w:bottom w:val="single" w:sz="8" w:color="auto"/>
            </w:tcBorders>
            <w:shd w:val="clear" w:color="auto" w:fill="F5F5F5"/>
          </w:tcPr>
          <w:p>
            <w:pPr>
              <w:jc w:val="right"/>
              <w:ind w:right="1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539</w:t>
            </w:r>
          </w:p>
        </w:tc>
        <w:tc>
          <w:tcPr>
            <w:tcW w:w="100" w:type="dxa"/>
            <w:vAlign w:val="bottom"/>
            <w:shd w:val="clear" w:color="auto" w:fill="F5F5F5"/>
          </w:tcPr>
          <w:p>
            <w:pPr>
              <w:spacing w:after="0"/>
              <w:rPr>
                <w:sz w:val="17"/>
                <w:szCs w:val="17"/>
                <w:color w:val="auto"/>
              </w:rPr>
            </w:pPr>
          </w:p>
        </w:tc>
        <w:tc>
          <w:tcPr>
            <w:tcW w:w="340" w:type="dxa"/>
            <w:vAlign w:val="bottom"/>
            <w:tcBorders>
              <w:bottom w:val="single" w:sz="8" w:color="auto"/>
            </w:tcBorders>
            <w:shd w:val="clear" w:color="auto" w:fill="F5F5F5"/>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F5F5F5"/>
          </w:tcPr>
          <w:p>
            <w:pPr>
              <w:ind w:left="1020"/>
              <w:spacing w:after="0"/>
              <w:rPr>
                <w:sz w:val="20"/>
                <w:szCs w:val="20"/>
                <w:color w:val="auto"/>
              </w:rPr>
            </w:pPr>
            <w:r>
              <w:rPr>
                <w:rFonts w:ascii="Arial" w:cs="Arial" w:eastAsia="Arial" w:hAnsi="Arial"/>
                <w:sz w:val="14"/>
                <w:szCs w:val="14"/>
                <w:color w:val="auto"/>
              </w:rPr>
              <w:t>—</w:t>
            </w:r>
          </w:p>
        </w:tc>
        <w:tc>
          <w:tcPr>
            <w:tcW w:w="100" w:type="dxa"/>
            <w:vAlign w:val="bottom"/>
            <w:shd w:val="clear" w:color="auto" w:fill="F5F5F5"/>
          </w:tcPr>
          <w:p>
            <w:pPr>
              <w:spacing w:after="0"/>
              <w:rPr>
                <w:sz w:val="17"/>
                <w:szCs w:val="17"/>
                <w:color w:val="auto"/>
              </w:rPr>
            </w:pPr>
          </w:p>
        </w:tc>
        <w:tc>
          <w:tcPr>
            <w:tcW w:w="380" w:type="dxa"/>
            <w:vAlign w:val="bottom"/>
            <w:tcBorders>
              <w:bottom w:val="single" w:sz="8" w:color="auto"/>
            </w:tcBorders>
            <w:shd w:val="clear" w:color="auto" w:fill="F5F5F5"/>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539</w:t>
            </w:r>
          </w:p>
        </w:tc>
        <w:tc>
          <w:tcPr>
            <w:tcW w:w="0" w:type="dxa"/>
            <w:vAlign w:val="bottom"/>
          </w:tcPr>
          <w:p>
            <w:pPr>
              <w:spacing w:after="0"/>
              <w:rPr>
                <w:sz w:val="1"/>
                <w:szCs w:val="1"/>
                <w:color w:val="auto"/>
              </w:rPr>
            </w:pPr>
          </w:p>
        </w:tc>
      </w:tr>
      <w:tr>
        <w:trPr>
          <w:trHeight w:val="200"/>
        </w:trPr>
        <w:tc>
          <w:tcPr>
            <w:tcW w:w="4620" w:type="dxa"/>
            <w:vAlign w:val="bottom"/>
          </w:tcPr>
          <w:p>
            <w:pPr>
              <w:ind w:left="20"/>
              <w:spacing w:after="0"/>
              <w:rPr>
                <w:sz w:val="20"/>
                <w:szCs w:val="20"/>
                <w:color w:val="auto"/>
              </w:rPr>
            </w:pPr>
            <w:r>
              <w:rPr>
                <w:rFonts w:ascii="Arial" w:cs="Arial" w:eastAsia="Arial" w:hAnsi="Arial"/>
                <w:sz w:val="14"/>
                <w:szCs w:val="14"/>
                <w:color w:val="auto"/>
              </w:rPr>
              <w:t>Total liabilities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539</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4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539</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20" w:hanging="212"/>
        <w:spacing w:after="0"/>
        <w:tabs>
          <w:tab w:leader="none" w:pos="220" w:val="left"/>
        </w:tabs>
        <w:numPr>
          <w:ilvl w:val="0"/>
          <w:numId w:val="56"/>
        </w:numPr>
        <w:rPr>
          <w:rFonts w:ascii="Arial" w:cs="Arial" w:eastAsia="Arial" w:hAnsi="Arial"/>
          <w:sz w:val="18"/>
          <w:szCs w:val="18"/>
          <w:color w:val="auto"/>
          <w:vertAlign w:val="superscript"/>
        </w:rPr>
      </w:pPr>
      <w:r>
        <w:rPr>
          <w:rFonts w:ascii="Arial" w:cs="Arial" w:eastAsia="Arial" w:hAnsi="Arial"/>
          <w:sz w:val="13"/>
          <w:szCs w:val="13"/>
          <w:color w:val="auto"/>
        </w:rPr>
        <w:t>Level 1 assets consisted of investments in money market funds and U.S. treasury bills. Level 2 assets consisted of time deposits with original maturities of less than three months.</w:t>
      </w:r>
    </w:p>
    <w:p>
      <w:pPr>
        <w:ind w:left="220" w:hanging="212"/>
        <w:spacing w:after="0" w:line="187" w:lineRule="auto"/>
        <w:tabs>
          <w:tab w:leader="none" w:pos="220" w:val="left"/>
        </w:tabs>
        <w:numPr>
          <w:ilvl w:val="0"/>
          <w:numId w:val="56"/>
        </w:numPr>
        <w:rPr>
          <w:rFonts w:ascii="Arial" w:cs="Arial" w:eastAsia="Arial" w:hAnsi="Arial"/>
          <w:sz w:val="18"/>
          <w:szCs w:val="18"/>
          <w:color w:val="auto"/>
          <w:vertAlign w:val="superscript"/>
        </w:rPr>
      </w:pPr>
      <w:r>
        <w:rPr>
          <w:rFonts w:ascii="Arial" w:cs="Arial" w:eastAsia="Arial" w:hAnsi="Arial"/>
          <w:sz w:val="13"/>
          <w:szCs w:val="13"/>
          <w:color w:val="auto"/>
        </w:rPr>
        <w:t>Level 2 assets and liabilities consisted primarily of foreign currency exchange forward contracts.</w:t>
      </w:r>
    </w:p>
    <w:p>
      <w:pPr>
        <w:ind w:left="220" w:hanging="212"/>
        <w:spacing w:after="0" w:line="190" w:lineRule="auto"/>
        <w:tabs>
          <w:tab w:leader="none" w:pos="220" w:val="left"/>
        </w:tabs>
        <w:numPr>
          <w:ilvl w:val="0"/>
          <w:numId w:val="56"/>
        </w:numPr>
        <w:rPr>
          <w:rFonts w:ascii="Arial" w:cs="Arial" w:eastAsia="Arial" w:hAnsi="Arial"/>
          <w:sz w:val="18"/>
          <w:szCs w:val="18"/>
          <w:color w:val="auto"/>
          <w:vertAlign w:val="superscript"/>
        </w:rPr>
      </w:pPr>
      <w:r>
        <w:rPr>
          <w:rFonts w:ascii="Arial" w:cs="Arial" w:eastAsia="Arial" w:hAnsi="Arial"/>
          <w:sz w:val="13"/>
          <w:szCs w:val="13"/>
          <w:color w:val="auto"/>
        </w:rPr>
        <w:t>Level 1 assets consisted of investments in money market funds. Level 2 assets consisted of trust-owned life insurance policies.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Company’s Level 2 assets and liabilities consisted of:</w:t>
      </w:r>
    </w:p>
    <w:p>
      <w:pPr>
        <w:spacing w:after="0" w:line="59" w:lineRule="exact"/>
        <w:rPr>
          <w:sz w:val="20"/>
          <w:szCs w:val="20"/>
          <w:color w:val="auto"/>
        </w:rPr>
      </w:pPr>
    </w:p>
    <w:p>
      <w:pPr>
        <w:ind w:left="640" w:hanging="308"/>
        <w:spacing w:after="0"/>
        <w:tabs>
          <w:tab w:leader="none" w:pos="6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Trust-owned life insurance policies, which were valued using the cash surrender value of the life insurance policies;</w:t>
      </w:r>
    </w:p>
    <w:p>
      <w:pPr>
        <w:spacing w:after="0" w:line="30" w:lineRule="exact"/>
        <w:rPr>
          <w:rFonts w:ascii="Arial" w:cs="Arial" w:eastAsia="Arial" w:hAnsi="Arial"/>
          <w:sz w:val="16"/>
          <w:szCs w:val="16"/>
          <w:color w:val="auto"/>
        </w:rPr>
      </w:pPr>
    </w:p>
    <w:p>
      <w:pPr>
        <w:ind w:left="660" w:hanging="328"/>
        <w:spacing w:after="0" w:line="255" w:lineRule="auto"/>
        <w:tabs>
          <w:tab w:leader="none" w:pos="649" w:val="left"/>
        </w:tabs>
        <w:numPr>
          <w:ilvl w:val="0"/>
          <w:numId w:val="57"/>
        </w:numPr>
        <w:rPr>
          <w:rFonts w:ascii="Arial" w:cs="Arial" w:eastAsia="Arial" w:hAnsi="Arial"/>
          <w:sz w:val="16"/>
          <w:szCs w:val="16"/>
          <w:color w:val="auto"/>
        </w:rPr>
      </w:pPr>
      <w:r>
        <w:rPr>
          <w:rFonts w:ascii="Arial" w:cs="Arial" w:eastAsia="Arial" w:hAnsi="Arial"/>
          <w:sz w:val="16"/>
          <w:szCs w:val="16"/>
          <w:color w:val="auto"/>
        </w:rPr>
        <w:t>Time deposits with original maturities of three months or less, which were valued at cost, approximating fair value, due to the short-term nature of these investments and;</w:t>
      </w:r>
    </w:p>
    <w:p>
      <w:pPr>
        <w:ind w:left="660" w:hanging="328"/>
        <w:spacing w:after="0" w:line="270" w:lineRule="auto"/>
        <w:tabs>
          <w:tab w:leader="none" w:pos="649" w:val="left"/>
        </w:tabs>
        <w:numPr>
          <w:ilvl w:val="0"/>
          <w:numId w:val="57"/>
        </w:numPr>
        <w:rPr>
          <w:rFonts w:ascii="Arial" w:cs="Arial" w:eastAsia="Arial" w:hAnsi="Arial"/>
          <w:sz w:val="16"/>
          <w:szCs w:val="16"/>
          <w:color w:val="auto"/>
        </w:rPr>
      </w:pPr>
      <w:r>
        <w:rPr>
          <w:rFonts w:ascii="Arial" w:cs="Arial" w:eastAsia="Arial" w:hAnsi="Arial"/>
          <w:sz w:val="16"/>
          <w:szCs w:val="16"/>
          <w:color w:val="auto"/>
        </w:rPr>
        <w:t>Derivative instruments, primarily foreign currency exchange forward contracts, which were valued using quoted market prices of the same or similar instruments, adjusted for counterparty risk.</w:t>
      </w:r>
    </w:p>
    <w:p>
      <w:pPr>
        <w:spacing w:after="0" w:line="18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Company also holds certain investments that are not measured at fair value on a recurring basis on the Consolidated Balance Sheets, including held-to-maturity securities. Held-to-maturity securities consist primarily of time deposits with maturities less than one year, which are valued at amortized cost, approximating fair value.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Fair Value of Long-term Borrowings</w:t>
      </w:r>
    </w:p>
    <w:p>
      <w:pPr>
        <w:spacing w:after="0" w:line="23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Company’s borrowings were carried at historical cost in the accompanying Condensed Consolidated Balance Sheet as of February 3, 2024. On July 15, 2024 (the “Redemption Date”), Abercrombie &amp; Fitch Management Co. (“A&amp;F Management”) redeemed all of its outstanding senior secured notes at par value, which had a fixed 8.75% interest rate and were scheduled to mature on July 15, 2025 (the “Senior Secured Notes”). As of the Redemption Date, the Senior Secured Notes were no longer deemed outstanding.</w:t>
      </w:r>
    </w:p>
    <w:p>
      <w:pPr>
        <w:spacing w:after="0" w:line="200" w:lineRule="exact"/>
        <w:rPr>
          <w:sz w:val="20"/>
          <w:szCs w:val="20"/>
          <w:color w:val="auto"/>
        </w:rPr>
      </w:pPr>
    </w:p>
    <w:p>
      <w:pPr>
        <w:spacing w:after="0" w:line="293"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62</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sz w:val="20"/>
          <w:szCs w:val="20"/>
          <w:color w:val="auto"/>
        </w:rPr>
      </w:pPr>
      <w:r>
        <w:rPr>
          <w:rFonts w:ascii="Arial" w:cs="Arial" w:eastAsia="Arial" w:hAnsi="Arial"/>
          <w:sz w:val="16"/>
          <w:szCs w:val="16"/>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Abercrombie &amp; Fitch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b w:val="1"/>
          <w:bCs w:val="1"/>
          <w:color w:val="AC7E65"/>
        </w:rPr>
        <w:t>5. INVESTMENTS</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Investments consisted of:</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color w:val="auto"/>
              </w:rPr>
              <w:t>February 1, 2025</w:t>
            </w: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February 3, 2024</w:t>
            </w:r>
          </w:p>
        </w:tc>
      </w:tr>
      <w:tr>
        <w:trPr>
          <w:trHeight w:val="187"/>
        </w:trPr>
        <w:tc>
          <w:tcPr>
            <w:tcW w:w="7980" w:type="dxa"/>
            <w:vAlign w:val="bottom"/>
            <w:tcBorders>
              <w:top w:val="single" w:sz="8" w:color="F5F5F5"/>
            </w:tcBorders>
            <w:shd w:val="clear" w:color="auto" w:fill="F5F5F5"/>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top w:val="single" w:sz="8" w:color="auto"/>
            </w:tcBorders>
            <w:shd w:val="clear" w:color="auto" w:fill="F5F5F5"/>
          </w:tcPr>
          <w:p>
            <w:pPr>
              <w:spacing w:after="0"/>
              <w:rPr>
                <w:sz w:val="16"/>
                <w:szCs w:val="16"/>
                <w:color w:val="auto"/>
              </w:rPr>
            </w:pPr>
          </w:p>
        </w:tc>
        <w:tc>
          <w:tcPr>
            <w:tcW w:w="1300" w:type="dxa"/>
            <w:vAlign w:val="bottom"/>
            <w:tcBorders>
              <w:top w:val="single" w:sz="8" w:color="auto"/>
            </w:tcBorders>
            <w:shd w:val="clear" w:color="auto" w:fill="F5F5F5"/>
          </w:tcPr>
          <w:p>
            <w:pPr>
              <w:spacing w:after="0"/>
              <w:rPr>
                <w:sz w:val="16"/>
                <w:szCs w:val="16"/>
                <w:color w:val="auto"/>
              </w:rPr>
            </w:pPr>
          </w:p>
        </w:tc>
        <w:tc>
          <w:tcPr>
            <w:tcW w:w="100" w:type="dxa"/>
            <w:vAlign w:val="bottom"/>
            <w:tcBorders>
              <w:top w:val="single" w:sz="8" w:color="F5F5F5"/>
            </w:tcBorders>
            <w:shd w:val="clear" w:color="auto" w:fill="F5F5F5"/>
          </w:tcPr>
          <w:p>
            <w:pPr>
              <w:spacing w:after="0"/>
              <w:rPr>
                <w:sz w:val="16"/>
                <w:szCs w:val="16"/>
                <w:color w:val="auto"/>
              </w:rPr>
            </w:pPr>
          </w:p>
        </w:tc>
        <w:tc>
          <w:tcPr>
            <w:tcW w:w="280" w:type="dxa"/>
            <w:vAlign w:val="bottom"/>
            <w:tcBorders>
              <w:top w:val="single" w:sz="8" w:color="auto"/>
            </w:tcBorders>
            <w:shd w:val="clear" w:color="auto" w:fill="F5F5F5"/>
          </w:tcPr>
          <w:p>
            <w:pPr>
              <w:spacing w:after="0"/>
              <w:rPr>
                <w:sz w:val="16"/>
                <w:szCs w:val="16"/>
                <w:color w:val="auto"/>
              </w:rPr>
            </w:pPr>
          </w:p>
        </w:tc>
        <w:tc>
          <w:tcPr>
            <w:tcW w:w="1300" w:type="dxa"/>
            <w:vAlign w:val="bottom"/>
            <w:tcBorders>
              <w:top w:val="single" w:sz="8" w:color="auto"/>
            </w:tcBorders>
            <w:shd w:val="clear" w:color="auto" w:fill="F5F5F5"/>
          </w:tcPr>
          <w:p>
            <w:pPr>
              <w:spacing w:after="0"/>
              <w:rPr>
                <w:sz w:val="16"/>
                <w:szCs w:val="16"/>
                <w:color w:val="auto"/>
              </w:rPr>
            </w:pPr>
          </w:p>
        </w:tc>
      </w:tr>
      <w:tr>
        <w:trPr>
          <w:trHeight w:val="198"/>
        </w:trPr>
        <w:tc>
          <w:tcPr>
            <w:tcW w:w="7980" w:type="dxa"/>
            <w:vAlign w:val="bottom"/>
          </w:tcPr>
          <w:p>
            <w:pPr>
              <w:ind w:left="20"/>
              <w:spacing w:after="0"/>
              <w:rPr>
                <w:sz w:val="20"/>
                <w:szCs w:val="20"/>
                <w:color w:val="auto"/>
              </w:rPr>
            </w:pPr>
            <w:r>
              <w:rPr>
                <w:rFonts w:ascii="Arial" w:cs="Arial" w:eastAsia="Arial" w:hAnsi="Arial"/>
                <w:sz w:val="14"/>
                <w:szCs w:val="14"/>
                <w:color w:val="auto"/>
              </w:rPr>
              <w:t>Investments</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7"/>
        </w:trPr>
        <w:tc>
          <w:tcPr>
            <w:tcW w:w="7980" w:type="dxa"/>
            <w:vAlign w:val="bottom"/>
            <w:shd w:val="clear" w:color="auto" w:fill="F5F5F5"/>
          </w:tcPr>
          <w:p>
            <w:pPr>
              <w:ind w:left="140"/>
              <w:spacing w:after="0"/>
              <w:rPr>
                <w:sz w:val="20"/>
                <w:szCs w:val="20"/>
                <w:color w:val="auto"/>
              </w:rPr>
            </w:pPr>
            <w:r>
              <w:rPr>
                <w:rFonts w:ascii="Arial" w:cs="Arial" w:eastAsia="Arial" w:hAnsi="Arial"/>
                <w:sz w:val="14"/>
                <w:szCs w:val="14"/>
                <w:color w:val="auto"/>
              </w:rPr>
              <w:t>Marketable securities</w:t>
            </w:r>
          </w:p>
        </w:tc>
        <w:tc>
          <w:tcPr>
            <w:tcW w:w="280" w:type="dxa"/>
            <w:vAlign w:val="bottom"/>
            <w:shd w:val="clear" w:color="auto" w:fill="F5F5F5"/>
          </w:tcPr>
          <w:p>
            <w:pPr>
              <w:spacing w:after="0"/>
              <w:rPr>
                <w:sz w:val="17"/>
                <w:szCs w:val="17"/>
                <w:color w:val="auto"/>
              </w:rPr>
            </w:pPr>
          </w:p>
        </w:tc>
        <w:tc>
          <w:tcPr>
            <w:tcW w:w="1300" w:type="dxa"/>
            <w:vAlign w:val="bottom"/>
            <w:shd w:val="clear" w:color="auto" w:fill="F5F5F5"/>
          </w:tcPr>
          <w:p>
            <w:pPr>
              <w:spacing w:after="0"/>
              <w:rPr>
                <w:sz w:val="17"/>
                <w:szCs w:val="17"/>
                <w:color w:val="auto"/>
              </w:rPr>
            </w:pPr>
          </w:p>
        </w:tc>
        <w:tc>
          <w:tcPr>
            <w:tcW w:w="100" w:type="dxa"/>
            <w:vAlign w:val="bottom"/>
            <w:shd w:val="clear" w:color="auto" w:fill="F5F5F5"/>
          </w:tcPr>
          <w:p>
            <w:pPr>
              <w:spacing w:after="0"/>
              <w:rPr>
                <w:sz w:val="17"/>
                <w:szCs w:val="17"/>
                <w:color w:val="auto"/>
              </w:rPr>
            </w:pPr>
          </w:p>
        </w:tc>
        <w:tc>
          <w:tcPr>
            <w:tcW w:w="280" w:type="dxa"/>
            <w:vAlign w:val="bottom"/>
            <w:shd w:val="clear" w:color="auto" w:fill="F5F5F5"/>
          </w:tcPr>
          <w:p>
            <w:pPr>
              <w:spacing w:after="0"/>
              <w:rPr>
                <w:sz w:val="17"/>
                <w:szCs w:val="17"/>
                <w:color w:val="auto"/>
              </w:rPr>
            </w:pPr>
          </w:p>
        </w:tc>
        <w:tc>
          <w:tcPr>
            <w:tcW w:w="1300" w:type="dxa"/>
            <w:vAlign w:val="bottom"/>
            <w:shd w:val="clear" w:color="auto" w:fill="F5F5F5"/>
          </w:tcPr>
          <w:p>
            <w:pPr>
              <w:spacing w:after="0"/>
              <w:rPr>
                <w:sz w:val="17"/>
                <w:szCs w:val="17"/>
                <w:color w:val="auto"/>
              </w:rPr>
            </w:pPr>
          </w:p>
        </w:tc>
      </w:tr>
      <w:tr>
        <w:trPr>
          <w:trHeight w:val="198"/>
        </w:trPr>
        <w:tc>
          <w:tcPr>
            <w:tcW w:w="7980" w:type="dxa"/>
            <w:vAlign w:val="bottom"/>
            <w:tcBorders>
              <w:bottom w:val="single" w:sz="8" w:color="F5F5F5"/>
            </w:tcBorders>
          </w:tcPr>
          <w:p>
            <w:pPr>
              <w:ind w:left="360"/>
              <w:spacing w:after="0"/>
              <w:rPr>
                <w:sz w:val="20"/>
                <w:szCs w:val="20"/>
                <w:color w:val="auto"/>
              </w:rPr>
            </w:pPr>
            <w:r>
              <w:rPr>
                <w:rFonts w:ascii="Arial" w:cs="Arial" w:eastAsia="Arial" w:hAnsi="Arial"/>
                <w:sz w:val="14"/>
                <w:szCs w:val="14"/>
                <w:color w:val="auto"/>
              </w:rPr>
              <w:t>Time deposits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116,221</w:t>
            </w:r>
          </w:p>
        </w:tc>
        <w:tc>
          <w:tcPr>
            <w:tcW w:w="100" w:type="dxa"/>
            <w:vAlign w:val="bottom"/>
            <w:tcBorders>
              <w:bottom w:val="single" w:sz="8" w:color="F5F5F5"/>
            </w:tcBorders>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7980" w:type="dxa"/>
            <w:vAlign w:val="bottom"/>
            <w:shd w:val="clear" w:color="auto" w:fill="F5F5F5"/>
          </w:tcPr>
          <w:p>
            <w:pPr>
              <w:ind w:left="140"/>
              <w:spacing w:after="0"/>
              <w:rPr>
                <w:sz w:val="20"/>
                <w:szCs w:val="20"/>
                <w:color w:val="auto"/>
              </w:rPr>
            </w:pPr>
            <w:r>
              <w:rPr>
                <w:rFonts w:ascii="Arial" w:cs="Arial" w:eastAsia="Arial" w:hAnsi="Arial"/>
                <w:sz w:val="14"/>
                <w:szCs w:val="14"/>
                <w:color w:val="auto"/>
              </w:rPr>
              <w:t>Total Marketable securities</w:t>
            </w:r>
          </w:p>
        </w:tc>
        <w:tc>
          <w:tcPr>
            <w:tcW w:w="280" w:type="dxa"/>
            <w:vAlign w:val="bottom"/>
            <w:shd w:val="clear" w:color="auto" w:fill="F5F5F5"/>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116,221</w:t>
            </w:r>
          </w:p>
        </w:tc>
        <w:tc>
          <w:tcPr>
            <w:tcW w:w="100" w:type="dxa"/>
            <w:vAlign w:val="bottom"/>
            <w:shd w:val="clear" w:color="auto" w:fill="F5F5F5"/>
          </w:tcPr>
          <w:p>
            <w:pPr>
              <w:spacing w:after="0"/>
              <w:rPr>
                <w:sz w:val="17"/>
                <w:szCs w:val="17"/>
                <w:color w:val="auto"/>
              </w:rPr>
            </w:pPr>
          </w:p>
        </w:tc>
        <w:tc>
          <w:tcPr>
            <w:tcW w:w="280" w:type="dxa"/>
            <w:vAlign w:val="bottom"/>
            <w:shd w:val="clear" w:color="auto" w:fill="F5F5F5"/>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w:t>
            </w:r>
          </w:p>
        </w:tc>
      </w:tr>
      <w:tr>
        <w:trPr>
          <w:trHeight w:val="148"/>
        </w:trPr>
        <w:tc>
          <w:tcPr>
            <w:tcW w:w="7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203"/>
        </w:trPr>
        <w:tc>
          <w:tcPr>
            <w:tcW w:w="7980" w:type="dxa"/>
            <w:vAlign w:val="bottom"/>
            <w:shd w:val="clear" w:color="auto" w:fill="F5F5F5"/>
          </w:tcPr>
          <w:p>
            <w:pPr>
              <w:ind w:left="140"/>
              <w:spacing w:after="0"/>
              <w:rPr>
                <w:sz w:val="20"/>
                <w:szCs w:val="20"/>
                <w:color w:val="auto"/>
              </w:rPr>
            </w:pPr>
            <w:r>
              <w:rPr>
                <w:rFonts w:ascii="Arial" w:cs="Arial" w:eastAsia="Arial" w:hAnsi="Arial"/>
                <w:sz w:val="14"/>
                <w:szCs w:val="14"/>
                <w:color w:val="auto"/>
              </w:rPr>
              <w:t xml:space="preserve">Rabbi Trust assets </w:t>
            </w:r>
            <w:r>
              <w:rPr>
                <w:rFonts w:ascii="Arial" w:cs="Arial" w:eastAsia="Arial" w:hAnsi="Arial"/>
                <w:sz w:val="9"/>
                <w:szCs w:val="9"/>
                <w:color w:val="auto"/>
              </w:rPr>
              <w:t>(1)</w:t>
            </w:r>
          </w:p>
        </w:tc>
        <w:tc>
          <w:tcPr>
            <w:tcW w:w="280" w:type="dxa"/>
            <w:vAlign w:val="bottom"/>
            <w:shd w:val="clear" w:color="auto" w:fill="F5F5F5"/>
          </w:tcPr>
          <w:p>
            <w:pPr>
              <w:spacing w:after="0"/>
              <w:rPr>
                <w:sz w:val="17"/>
                <w:szCs w:val="17"/>
                <w:color w:val="auto"/>
              </w:rPr>
            </w:pPr>
          </w:p>
        </w:tc>
        <w:tc>
          <w:tcPr>
            <w:tcW w:w="1300" w:type="dxa"/>
            <w:vAlign w:val="bottom"/>
            <w:shd w:val="clear" w:color="auto" w:fill="F5F5F5"/>
          </w:tcPr>
          <w:p>
            <w:pPr>
              <w:spacing w:after="0"/>
              <w:rPr>
                <w:sz w:val="17"/>
                <w:szCs w:val="17"/>
                <w:color w:val="auto"/>
              </w:rPr>
            </w:pPr>
          </w:p>
        </w:tc>
        <w:tc>
          <w:tcPr>
            <w:tcW w:w="100" w:type="dxa"/>
            <w:vAlign w:val="bottom"/>
            <w:shd w:val="clear" w:color="auto" w:fill="F5F5F5"/>
          </w:tcPr>
          <w:p>
            <w:pPr>
              <w:spacing w:after="0"/>
              <w:rPr>
                <w:sz w:val="17"/>
                <w:szCs w:val="17"/>
                <w:color w:val="auto"/>
              </w:rPr>
            </w:pPr>
          </w:p>
        </w:tc>
        <w:tc>
          <w:tcPr>
            <w:tcW w:w="280" w:type="dxa"/>
            <w:vAlign w:val="bottom"/>
            <w:shd w:val="clear" w:color="auto" w:fill="F5F5F5"/>
          </w:tcPr>
          <w:p>
            <w:pPr>
              <w:spacing w:after="0"/>
              <w:rPr>
                <w:sz w:val="17"/>
                <w:szCs w:val="17"/>
                <w:color w:val="auto"/>
              </w:rPr>
            </w:pPr>
          </w:p>
        </w:tc>
        <w:tc>
          <w:tcPr>
            <w:tcW w:w="1300" w:type="dxa"/>
            <w:vAlign w:val="bottom"/>
            <w:shd w:val="clear" w:color="auto" w:fill="F5F5F5"/>
          </w:tcPr>
          <w:p>
            <w:pPr>
              <w:spacing w:after="0"/>
              <w:rPr>
                <w:sz w:val="17"/>
                <w:szCs w:val="17"/>
                <w:color w:val="auto"/>
              </w:rPr>
            </w:pPr>
          </w:p>
        </w:tc>
      </w:tr>
      <w:tr>
        <w:trPr>
          <w:trHeight w:val="198"/>
        </w:trPr>
        <w:tc>
          <w:tcPr>
            <w:tcW w:w="7980" w:type="dxa"/>
            <w:vAlign w:val="bottom"/>
          </w:tcPr>
          <w:p>
            <w:pPr>
              <w:ind w:left="240"/>
              <w:spacing w:after="0"/>
              <w:rPr>
                <w:sz w:val="20"/>
                <w:szCs w:val="20"/>
                <w:color w:val="auto"/>
              </w:rPr>
            </w:pPr>
            <w:r>
              <w:rPr>
                <w:rFonts w:ascii="Arial" w:cs="Arial" w:eastAsia="Arial" w:hAnsi="Arial"/>
                <w:sz w:val="14"/>
                <w:szCs w:val="14"/>
                <w:color w:val="auto"/>
              </w:rPr>
              <w:t>Trust-owned life insurance policies (at cash surrender value)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53,921</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52,521</w:t>
            </w:r>
          </w:p>
        </w:tc>
      </w:tr>
      <w:tr>
        <w:trPr>
          <w:trHeight w:val="207"/>
        </w:trPr>
        <w:tc>
          <w:tcPr>
            <w:tcW w:w="7980" w:type="dxa"/>
            <w:vAlign w:val="bottom"/>
            <w:shd w:val="clear" w:color="auto" w:fill="F5F5F5"/>
          </w:tcPr>
          <w:p>
            <w:pPr>
              <w:ind w:left="240"/>
              <w:spacing w:after="0"/>
              <w:rPr>
                <w:sz w:val="20"/>
                <w:szCs w:val="20"/>
                <w:color w:val="auto"/>
              </w:rPr>
            </w:pPr>
            <w:r>
              <w:rPr>
                <w:rFonts w:ascii="Arial" w:cs="Arial" w:eastAsia="Arial" w:hAnsi="Arial"/>
                <w:sz w:val="14"/>
                <w:szCs w:val="14"/>
                <w:color w:val="auto"/>
              </w:rPr>
              <w:t>Money market funds</w:t>
            </w:r>
          </w:p>
        </w:tc>
        <w:tc>
          <w:tcPr>
            <w:tcW w:w="280" w:type="dxa"/>
            <w:vAlign w:val="bottom"/>
            <w:tcBorders>
              <w:bottom w:val="single" w:sz="8" w:color="auto"/>
            </w:tcBorders>
            <w:shd w:val="clear" w:color="auto" w:fill="F5F5F5"/>
          </w:tcPr>
          <w:p>
            <w:pPr>
              <w:spacing w:after="0"/>
              <w:rPr>
                <w:sz w:val="17"/>
                <w:szCs w:val="17"/>
                <w:color w:val="auto"/>
              </w:rPr>
            </w:pPr>
          </w:p>
        </w:tc>
        <w:tc>
          <w:tcPr>
            <w:tcW w:w="1300" w:type="dxa"/>
            <w:vAlign w:val="bottom"/>
            <w:tcBorders>
              <w:bottom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1,164</w:t>
            </w:r>
          </w:p>
        </w:tc>
        <w:tc>
          <w:tcPr>
            <w:tcW w:w="100" w:type="dxa"/>
            <w:vAlign w:val="bottom"/>
            <w:shd w:val="clear" w:color="auto" w:fill="F5F5F5"/>
          </w:tcPr>
          <w:p>
            <w:pPr>
              <w:spacing w:after="0"/>
              <w:rPr>
                <w:sz w:val="17"/>
                <w:szCs w:val="17"/>
                <w:color w:val="auto"/>
              </w:rPr>
            </w:pPr>
          </w:p>
        </w:tc>
        <w:tc>
          <w:tcPr>
            <w:tcW w:w="280" w:type="dxa"/>
            <w:vAlign w:val="bottom"/>
            <w:tcBorders>
              <w:bottom w:val="single" w:sz="8" w:color="auto"/>
            </w:tcBorders>
            <w:shd w:val="clear" w:color="auto" w:fill="F5F5F5"/>
          </w:tcPr>
          <w:p>
            <w:pPr>
              <w:spacing w:after="0"/>
              <w:rPr>
                <w:sz w:val="17"/>
                <w:szCs w:val="17"/>
                <w:color w:val="auto"/>
              </w:rPr>
            </w:pPr>
          </w:p>
        </w:tc>
        <w:tc>
          <w:tcPr>
            <w:tcW w:w="130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1,164</w:t>
            </w:r>
          </w:p>
        </w:tc>
      </w:tr>
      <w:tr>
        <w:trPr>
          <w:trHeight w:val="188"/>
        </w:trPr>
        <w:tc>
          <w:tcPr>
            <w:tcW w:w="7980" w:type="dxa"/>
            <w:vAlign w:val="bottom"/>
          </w:tcPr>
          <w:p>
            <w:pPr>
              <w:ind w:left="140"/>
              <w:spacing w:after="0"/>
              <w:rPr>
                <w:sz w:val="20"/>
                <w:szCs w:val="20"/>
                <w:color w:val="auto"/>
              </w:rPr>
            </w:pPr>
            <w:r>
              <w:rPr>
                <w:rFonts w:ascii="Arial" w:cs="Arial" w:eastAsia="Arial" w:hAnsi="Arial"/>
                <w:sz w:val="14"/>
                <w:szCs w:val="14"/>
                <w:color w:val="auto"/>
              </w:rPr>
              <w:t>Total Rabbi Trust assets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55,085</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53,685</w:t>
            </w:r>
          </w:p>
        </w:tc>
      </w:tr>
    </w:tbl>
    <w:p>
      <w:pPr>
        <w:spacing w:after="0" w:line="59" w:lineRule="exact"/>
        <w:rPr>
          <w:sz w:val="20"/>
          <w:szCs w:val="20"/>
          <w:color w:val="auto"/>
        </w:rPr>
      </w:pPr>
    </w:p>
    <w:p>
      <w:pPr>
        <w:ind w:left="340" w:hanging="332"/>
        <w:spacing w:after="0"/>
        <w:tabs>
          <w:tab w:leader="none" w:pos="340" w:val="left"/>
        </w:tabs>
        <w:numPr>
          <w:ilvl w:val="0"/>
          <w:numId w:val="58"/>
        </w:numPr>
        <w:rPr>
          <w:rFonts w:ascii="Arial" w:cs="Arial" w:eastAsia="Arial" w:hAnsi="Arial"/>
          <w:sz w:val="18"/>
          <w:szCs w:val="18"/>
          <w:color w:val="auto"/>
          <w:vertAlign w:val="superscript"/>
        </w:rPr>
      </w:pPr>
      <w:r>
        <w:rPr>
          <w:rFonts w:ascii="Arial" w:cs="Arial" w:eastAsia="Arial" w:hAnsi="Arial"/>
          <w:sz w:val="13"/>
          <w:szCs w:val="13"/>
          <w:color w:val="auto"/>
        </w:rPr>
        <w:t>Rabbi Trust assets are included in Other assets on the Consolidated Balance Sheets and are restricted as to their use.</w:t>
      </w:r>
    </w:p>
    <w:p>
      <w:pPr>
        <w:spacing w:after="0" w:line="22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Realized gains resulting from the change in cash surrender value and benefits paid pursuant to the trust-owned life insurance policies of the Rabbi Trust assets for Fiscal 2024, Fiscal 2023 and Fiscal 2022 were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2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460" w:type="dxa"/>
            <w:vAlign w:val="bottom"/>
          </w:tcPr>
          <w:p>
            <w:pPr>
              <w:spacing w:after="0"/>
              <w:rPr>
                <w:sz w:val="16"/>
                <w:szCs w:val="16"/>
                <w:color w:val="auto"/>
              </w:rPr>
            </w:pPr>
          </w:p>
        </w:tc>
        <w:tc>
          <w:tcPr>
            <w:tcW w:w="1220" w:type="dxa"/>
            <w:vAlign w:val="bottom"/>
            <w:gridSpan w:val="2"/>
          </w:tcPr>
          <w:p>
            <w:pPr>
              <w:ind w:left="360"/>
              <w:spacing w:after="0"/>
              <w:rPr>
                <w:sz w:val="20"/>
                <w:szCs w:val="20"/>
                <w:color w:val="auto"/>
              </w:rPr>
            </w:pPr>
            <w:r>
              <w:rPr>
                <w:rFonts w:ascii="Arial" w:cs="Arial" w:eastAsia="Arial" w:hAnsi="Arial"/>
                <w:sz w:val="14"/>
                <w:szCs w:val="14"/>
                <w:color w:val="auto"/>
              </w:rPr>
              <w:t>Fiscal 2024</w:t>
            </w:r>
          </w:p>
        </w:tc>
        <w:tc>
          <w:tcPr>
            <w:tcW w:w="460" w:type="dxa"/>
            <w:vAlign w:val="bottom"/>
          </w:tcPr>
          <w:p>
            <w:pPr>
              <w:spacing w:after="0"/>
              <w:rPr>
                <w:sz w:val="16"/>
                <w:szCs w:val="16"/>
                <w:color w:val="auto"/>
              </w:rPr>
            </w:pPr>
          </w:p>
        </w:tc>
        <w:tc>
          <w:tcPr>
            <w:tcW w:w="1240" w:type="dxa"/>
            <w:vAlign w:val="bottom"/>
            <w:gridSpan w:val="2"/>
          </w:tcPr>
          <w:p>
            <w:pPr>
              <w:ind w:left="380"/>
              <w:spacing w:after="0"/>
              <w:rPr>
                <w:sz w:val="20"/>
                <w:szCs w:val="20"/>
                <w:color w:val="auto"/>
              </w:rPr>
            </w:pPr>
            <w:r>
              <w:rPr>
                <w:rFonts w:ascii="Arial" w:cs="Arial" w:eastAsia="Arial" w:hAnsi="Arial"/>
                <w:sz w:val="14"/>
                <w:szCs w:val="14"/>
                <w:color w:val="auto"/>
              </w:rPr>
              <w:t>Fiscal 2023</w:t>
            </w:r>
          </w:p>
        </w:tc>
        <w:tc>
          <w:tcPr>
            <w:tcW w:w="4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Fiscal 2022</w:t>
            </w:r>
          </w:p>
        </w:tc>
      </w:tr>
      <w:tr>
        <w:trPr>
          <w:trHeight w:val="200"/>
        </w:trPr>
        <w:tc>
          <w:tcPr>
            <w:tcW w:w="6260" w:type="dxa"/>
            <w:vAlign w:val="bottom"/>
            <w:tcBorders>
              <w:top w:val="single" w:sz="8" w:color="F5F5F5"/>
            </w:tcBorders>
            <w:shd w:val="clear" w:color="auto" w:fill="F5F5F5"/>
          </w:tcPr>
          <w:p>
            <w:pPr>
              <w:ind w:left="20"/>
              <w:spacing w:after="0"/>
              <w:rPr>
                <w:sz w:val="20"/>
                <w:szCs w:val="20"/>
                <w:color w:val="auto"/>
              </w:rPr>
            </w:pPr>
            <w:r>
              <w:rPr>
                <w:rFonts w:ascii="Arial" w:cs="Arial" w:eastAsia="Arial" w:hAnsi="Arial"/>
                <w:sz w:val="14"/>
                <w:szCs w:val="14"/>
                <w:color w:val="auto"/>
              </w:rPr>
              <w:t>Realized gains related to Rabbi Trust assets</w:t>
            </w:r>
          </w:p>
        </w:tc>
        <w:tc>
          <w:tcPr>
            <w:tcW w:w="460" w:type="dxa"/>
            <w:vAlign w:val="bottom"/>
            <w:tcBorders>
              <w:top w:val="single" w:sz="8" w:color="auto"/>
            </w:tcBorders>
            <w:shd w:val="clear" w:color="auto" w:fill="F5F5F5"/>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1,400</w:t>
            </w:r>
          </w:p>
        </w:tc>
        <w:tc>
          <w:tcPr>
            <w:tcW w:w="100" w:type="dxa"/>
            <w:vAlign w:val="bottom"/>
            <w:tcBorders>
              <w:top w:val="single" w:sz="8" w:color="F5F5F5"/>
            </w:tcBorders>
            <w:shd w:val="clear" w:color="auto" w:fill="F5F5F5"/>
          </w:tcPr>
          <w:p>
            <w:pPr>
              <w:spacing w:after="0"/>
              <w:rPr>
                <w:sz w:val="17"/>
                <w:szCs w:val="17"/>
                <w:color w:val="auto"/>
              </w:rPr>
            </w:pPr>
          </w:p>
        </w:tc>
        <w:tc>
          <w:tcPr>
            <w:tcW w:w="460" w:type="dxa"/>
            <w:vAlign w:val="bottom"/>
            <w:tcBorders>
              <w:top w:val="single" w:sz="8" w:color="auto"/>
            </w:tcBorders>
            <w:shd w:val="clear" w:color="auto" w:fill="F5F5F5"/>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1,978</w:t>
            </w:r>
          </w:p>
        </w:tc>
        <w:tc>
          <w:tcPr>
            <w:tcW w:w="120" w:type="dxa"/>
            <w:vAlign w:val="bottom"/>
            <w:tcBorders>
              <w:top w:val="single" w:sz="8" w:color="F5F5F5"/>
            </w:tcBorders>
            <w:shd w:val="clear" w:color="auto" w:fill="F5F5F5"/>
          </w:tcPr>
          <w:p>
            <w:pPr>
              <w:spacing w:after="0"/>
              <w:rPr>
                <w:sz w:val="17"/>
                <w:szCs w:val="17"/>
                <w:color w:val="auto"/>
              </w:rPr>
            </w:pPr>
          </w:p>
        </w:tc>
        <w:tc>
          <w:tcPr>
            <w:tcW w:w="460" w:type="dxa"/>
            <w:vAlign w:val="bottom"/>
            <w:tcBorders>
              <w:top w:val="single" w:sz="8" w:color="auto"/>
            </w:tcBorders>
            <w:shd w:val="clear" w:color="auto" w:fill="F5F5F5"/>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1,409</w:t>
            </w:r>
          </w:p>
        </w:tc>
      </w:tr>
    </w:tbl>
    <w:p>
      <w:pPr>
        <w:spacing w:after="0" w:line="32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 xml:space="preserve">Refer to Note 2, </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0000FF"/>
        </w:rPr>
        <w:t>SUMMARY OF SIGNIFICANT ACCOUNTING POLICIES</w:t>
      </w:r>
      <w:r>
        <w:rPr>
          <w:rFonts w:ascii="Arial" w:cs="Arial" w:eastAsia="Arial" w:hAnsi="Arial"/>
          <w:sz w:val="16"/>
          <w:szCs w:val="16"/>
          <w:color w:val="auto"/>
        </w:rPr>
        <w:t>,” for further discussion related to the Company’s Marketable securities and Rabbi Trust assets.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C7E65"/>
        </w:rPr>
        <w:t>6. INVENTORIES</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Inventories consisted of:</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9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6"/>
                <w:szCs w:val="16"/>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color w:val="auto"/>
              </w:rPr>
              <w:t>February 1, 2025</w:t>
            </w: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February 3, 2024</w:t>
            </w:r>
          </w:p>
        </w:tc>
      </w:tr>
      <w:tr>
        <w:trPr>
          <w:trHeight w:val="200"/>
        </w:trPr>
        <w:tc>
          <w:tcPr>
            <w:tcW w:w="7980" w:type="dxa"/>
            <w:vAlign w:val="bottom"/>
            <w:tcBorders>
              <w:top w:val="single" w:sz="8" w:color="F5F5F5"/>
            </w:tcBorders>
            <w:shd w:val="clear" w:color="auto" w:fill="F5F5F5"/>
          </w:tcPr>
          <w:p>
            <w:pPr>
              <w:ind w:left="20"/>
              <w:spacing w:after="0"/>
              <w:rPr>
                <w:sz w:val="20"/>
                <w:szCs w:val="20"/>
                <w:color w:val="auto"/>
              </w:rPr>
            </w:pPr>
            <w:r>
              <w:rPr>
                <w:rFonts w:ascii="Arial" w:cs="Arial" w:eastAsia="Arial" w:hAnsi="Arial"/>
                <w:sz w:val="14"/>
                <w:szCs w:val="14"/>
                <w:color w:val="auto"/>
              </w:rPr>
              <w:t>Inventories at original cost</w:t>
            </w:r>
          </w:p>
        </w:tc>
        <w:tc>
          <w:tcPr>
            <w:tcW w:w="280" w:type="dxa"/>
            <w:vAlign w:val="bottom"/>
            <w:tcBorders>
              <w:top w:val="single" w:sz="8" w:color="auto"/>
            </w:tcBorders>
            <w:shd w:val="clear" w:color="auto" w:fill="F5F5F5"/>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603,602</w:t>
            </w:r>
          </w:p>
        </w:tc>
        <w:tc>
          <w:tcPr>
            <w:tcW w:w="100" w:type="dxa"/>
            <w:vAlign w:val="bottom"/>
            <w:tcBorders>
              <w:top w:val="single" w:sz="8" w:color="F5F5F5"/>
            </w:tcBorders>
            <w:shd w:val="clear" w:color="auto" w:fill="F5F5F5"/>
          </w:tcPr>
          <w:p>
            <w:pPr>
              <w:spacing w:after="0"/>
              <w:rPr>
                <w:sz w:val="17"/>
                <w:szCs w:val="17"/>
                <w:color w:val="auto"/>
              </w:rPr>
            </w:pPr>
          </w:p>
        </w:tc>
        <w:tc>
          <w:tcPr>
            <w:tcW w:w="280" w:type="dxa"/>
            <w:vAlign w:val="bottom"/>
            <w:tcBorders>
              <w:top w:val="single" w:sz="8" w:color="auto"/>
            </w:tcBorders>
            <w:shd w:val="clear" w:color="auto" w:fill="F5F5F5"/>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500,020</w:t>
            </w:r>
          </w:p>
        </w:tc>
      </w:tr>
      <w:tr>
        <w:trPr>
          <w:trHeight w:val="199"/>
        </w:trPr>
        <w:tc>
          <w:tcPr>
            <w:tcW w:w="7980" w:type="dxa"/>
            <w:vAlign w:val="bottom"/>
            <w:tcBorders>
              <w:bottom w:val="single" w:sz="8" w:color="F5F5F5"/>
            </w:tcBorders>
          </w:tcPr>
          <w:p>
            <w:pPr>
              <w:ind w:left="20"/>
              <w:spacing w:after="0"/>
              <w:rPr>
                <w:sz w:val="20"/>
                <w:szCs w:val="20"/>
                <w:color w:val="auto"/>
              </w:rPr>
            </w:pPr>
            <w:r>
              <w:rPr>
                <w:rFonts w:ascii="Arial" w:cs="Arial" w:eastAsia="Arial" w:hAnsi="Arial"/>
                <w:sz w:val="14"/>
                <w:szCs w:val="14"/>
                <w:color w:val="auto"/>
              </w:rPr>
              <w:t>Less: Lower of cost and net realizable value adjustment</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(28,597)</w:t>
            </w:r>
          </w:p>
        </w:tc>
        <w:tc>
          <w:tcPr>
            <w:tcW w:w="100" w:type="dxa"/>
            <w:vAlign w:val="bottom"/>
            <w:tcBorders>
              <w:bottom w:val="single" w:sz="8" w:color="F5F5F5"/>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(30,554)</w:t>
            </w:r>
          </w:p>
        </w:tc>
      </w:tr>
      <w:tr>
        <w:trPr>
          <w:trHeight w:val="225"/>
        </w:trPr>
        <w:tc>
          <w:tcPr>
            <w:tcW w:w="7980" w:type="dxa"/>
            <w:vAlign w:val="bottom"/>
            <w:tcBorders>
              <w:bottom w:val="single" w:sz="8" w:color="F5F5F5"/>
            </w:tcBorders>
            <w:shd w:val="clear" w:color="auto" w:fill="F5F5F5"/>
          </w:tcPr>
          <w:p>
            <w:pPr>
              <w:ind w:left="20"/>
              <w:spacing w:after="0" w:line="200" w:lineRule="exact"/>
              <w:rPr>
                <w:sz w:val="20"/>
                <w:szCs w:val="20"/>
                <w:color w:val="auto"/>
              </w:rPr>
            </w:pPr>
            <w:r>
              <w:rPr>
                <w:rFonts w:ascii="Arial" w:cs="Arial" w:eastAsia="Arial" w:hAnsi="Arial"/>
                <w:sz w:val="14"/>
                <w:szCs w:val="14"/>
                <w:color w:val="auto"/>
              </w:rPr>
              <w:t xml:space="preserve">Inventories </w:t>
            </w:r>
            <w:r>
              <w:rPr>
                <w:rFonts w:ascii="Arial" w:cs="Arial" w:eastAsia="Arial" w:hAnsi="Arial"/>
                <w:sz w:val="18"/>
                <w:szCs w:val="18"/>
                <w:color w:val="auto"/>
                <w:vertAlign w:val="superscript"/>
              </w:rPr>
              <w:t>(1)</w:t>
            </w:r>
          </w:p>
        </w:tc>
        <w:tc>
          <w:tcPr>
            <w:tcW w:w="280" w:type="dxa"/>
            <w:vAlign w:val="bottom"/>
            <w:tcBorders>
              <w:bottom w:val="single" w:sz="8" w:color="auto"/>
            </w:tcBorders>
            <w:shd w:val="clear" w:color="auto" w:fill="F5F5F5"/>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575,005</w:t>
            </w:r>
          </w:p>
        </w:tc>
        <w:tc>
          <w:tcPr>
            <w:tcW w:w="100" w:type="dxa"/>
            <w:vAlign w:val="bottom"/>
            <w:tcBorders>
              <w:bottom w:val="single" w:sz="8" w:color="F5F5F5"/>
            </w:tcBorders>
            <w:shd w:val="clear" w:color="auto" w:fill="F5F5F5"/>
          </w:tcPr>
          <w:p>
            <w:pPr>
              <w:spacing w:after="0"/>
              <w:rPr>
                <w:sz w:val="19"/>
                <w:szCs w:val="19"/>
                <w:color w:val="auto"/>
              </w:rPr>
            </w:pPr>
          </w:p>
        </w:tc>
        <w:tc>
          <w:tcPr>
            <w:tcW w:w="280" w:type="dxa"/>
            <w:vAlign w:val="bottom"/>
            <w:tcBorders>
              <w:bottom w:val="single" w:sz="8" w:color="auto"/>
            </w:tcBorders>
            <w:shd w:val="clear" w:color="auto" w:fill="F5F5F5"/>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469,466</w:t>
            </w:r>
          </w:p>
        </w:tc>
      </w:tr>
      <w:tr>
        <w:trPr>
          <w:trHeight w:val="20"/>
        </w:trPr>
        <w:tc>
          <w:tcPr>
            <w:tcW w:w="7980" w:type="dxa"/>
            <w:vAlign w:val="bottom"/>
            <w:tcBorders>
              <w:top w:val="single" w:sz="8" w:color="F5F5F5"/>
            </w:tcBorders>
          </w:tcPr>
          <w:p>
            <w:pPr>
              <w:spacing w:after="0" w:line="20" w:lineRule="exact"/>
              <w:rPr>
                <w:sz w:val="1"/>
                <w:szCs w:val="1"/>
                <w:color w:val="auto"/>
              </w:rPr>
            </w:pPr>
          </w:p>
        </w:tc>
        <w:tc>
          <w:tcPr>
            <w:tcW w:w="280" w:type="dxa"/>
            <w:vAlign w:val="bottom"/>
            <w:tcBorders>
              <w:top w:val="single" w:sz="8" w:color="F5F5F5"/>
              <w:bottom w:val="single" w:sz="8" w:color="auto"/>
            </w:tcBorders>
          </w:tcPr>
          <w:p>
            <w:pPr>
              <w:spacing w:after="0" w:line="20" w:lineRule="exact"/>
              <w:rPr>
                <w:sz w:val="1"/>
                <w:szCs w:val="1"/>
                <w:color w:val="auto"/>
              </w:rPr>
            </w:pPr>
          </w:p>
        </w:tc>
        <w:tc>
          <w:tcPr>
            <w:tcW w:w="1300" w:type="dxa"/>
            <w:vAlign w:val="bottom"/>
            <w:tcBorders>
              <w:top w:val="single" w:sz="8" w:color="F5F5F5"/>
              <w:bottom w:val="single" w:sz="8" w:color="auto"/>
            </w:tcBorders>
          </w:tcPr>
          <w:p>
            <w:pPr>
              <w:spacing w:after="0" w:line="20" w:lineRule="exact"/>
              <w:rPr>
                <w:sz w:val="1"/>
                <w:szCs w:val="1"/>
                <w:color w:val="auto"/>
              </w:rPr>
            </w:pPr>
          </w:p>
        </w:tc>
        <w:tc>
          <w:tcPr>
            <w:tcW w:w="100" w:type="dxa"/>
            <w:vAlign w:val="bottom"/>
            <w:tcBorders>
              <w:top w:val="single" w:sz="8" w:color="F5F5F5"/>
            </w:tcBorders>
          </w:tcPr>
          <w:p>
            <w:pPr>
              <w:spacing w:after="0" w:line="20" w:lineRule="exact"/>
              <w:rPr>
                <w:sz w:val="1"/>
                <w:szCs w:val="1"/>
                <w:color w:val="auto"/>
              </w:rPr>
            </w:pPr>
          </w:p>
        </w:tc>
        <w:tc>
          <w:tcPr>
            <w:tcW w:w="280" w:type="dxa"/>
            <w:vAlign w:val="bottom"/>
            <w:tcBorders>
              <w:top w:val="single" w:sz="8" w:color="F5F5F5"/>
              <w:bottom w:val="single" w:sz="8" w:color="auto"/>
            </w:tcBorders>
          </w:tcPr>
          <w:p>
            <w:pPr>
              <w:spacing w:after="0" w:line="20" w:lineRule="exact"/>
              <w:rPr>
                <w:sz w:val="1"/>
                <w:szCs w:val="1"/>
                <w:color w:val="auto"/>
              </w:rPr>
            </w:pPr>
          </w:p>
        </w:tc>
        <w:tc>
          <w:tcPr>
            <w:tcW w:w="1300" w:type="dxa"/>
            <w:vAlign w:val="bottom"/>
            <w:tcBorders>
              <w:top w:val="single" w:sz="8" w:color="F5F5F5"/>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ind w:left="260" w:hanging="252"/>
        <w:spacing w:after="0" w:line="227" w:lineRule="auto"/>
        <w:tabs>
          <w:tab w:leader="none" w:pos="322" w:val="left"/>
        </w:tabs>
        <w:numPr>
          <w:ilvl w:val="0"/>
          <w:numId w:val="59"/>
        </w:numPr>
        <w:rPr>
          <w:rFonts w:ascii="Arial" w:cs="Arial" w:eastAsia="Arial" w:hAnsi="Arial"/>
          <w:sz w:val="18"/>
          <w:szCs w:val="18"/>
          <w:color w:val="auto"/>
          <w:vertAlign w:val="superscript"/>
        </w:rPr>
      </w:pPr>
      <w:r>
        <w:rPr>
          <w:rFonts w:ascii="Arial" w:cs="Arial" w:eastAsia="Arial" w:hAnsi="Arial"/>
          <w:sz w:val="13"/>
          <w:szCs w:val="13"/>
          <w:color w:val="auto"/>
        </w:rPr>
        <w:t>Included $115.0 million and $103.5 million of inventory in transit, merchandise owned by the Company that has not yet been received at a Company DC, as of February 1, 2025 and February 3, 2024, respectively.</w:t>
      </w:r>
    </w:p>
    <w:p>
      <w:pPr>
        <w:spacing w:after="0" w:line="228"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A summary of the Company’s vendors based on location and the percentage of cost of merchandise receipts during Fiscal 2024, Fiscal 2023 and Fiscal 2022 follows:</w:t>
      </w:r>
    </w:p>
    <w:p>
      <w:pPr>
        <w:spacing w:after="0" w:line="7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020" w:type="dxa"/>
            <w:vAlign w:val="bottom"/>
          </w:tcPr>
          <w:p>
            <w:pPr>
              <w:spacing w:after="0"/>
              <w:rPr>
                <w:sz w:val="18"/>
                <w:szCs w:val="18"/>
                <w:color w:val="auto"/>
              </w:rPr>
            </w:pPr>
          </w:p>
        </w:tc>
        <w:tc>
          <w:tcPr>
            <w:tcW w:w="51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color w:val="auto"/>
              </w:rPr>
              <w:t xml:space="preserve">% of Total Company Merchandise Receipts </w:t>
            </w:r>
            <w:r>
              <w:rPr>
                <w:rFonts w:ascii="Arial" w:cs="Arial" w:eastAsia="Arial" w:hAnsi="Arial"/>
                <w:sz w:val="18"/>
                <w:szCs w:val="18"/>
                <w:color w:val="auto"/>
                <w:vertAlign w:val="superscript"/>
              </w:rPr>
              <w:t>(1)</w:t>
            </w:r>
          </w:p>
        </w:tc>
      </w:tr>
      <w:tr>
        <w:trPr>
          <w:trHeight w:val="192"/>
        </w:trPr>
        <w:tc>
          <w:tcPr>
            <w:tcW w:w="6020" w:type="dxa"/>
            <w:vAlign w:val="bottom"/>
          </w:tcPr>
          <w:p>
            <w:pPr>
              <w:spacing w:after="0"/>
              <w:rPr>
                <w:sz w:val="20"/>
                <w:szCs w:val="20"/>
                <w:color w:val="auto"/>
              </w:rPr>
            </w:pPr>
            <w:r>
              <w:rPr>
                <w:rFonts w:ascii="Arial" w:cs="Arial" w:eastAsia="Arial" w:hAnsi="Arial"/>
                <w:sz w:val="14"/>
                <w:szCs w:val="14"/>
                <w:color w:val="auto"/>
              </w:rPr>
              <w:t>Location</w:t>
            </w:r>
          </w:p>
        </w:tc>
        <w:tc>
          <w:tcPr>
            <w:tcW w:w="1760" w:type="dxa"/>
            <w:vAlign w:val="bottom"/>
            <w:gridSpan w:val="2"/>
          </w:tcPr>
          <w:p>
            <w:pPr>
              <w:ind w:left="460"/>
              <w:spacing w:after="0"/>
              <w:rPr>
                <w:sz w:val="20"/>
                <w:szCs w:val="20"/>
                <w:color w:val="auto"/>
              </w:rPr>
            </w:pPr>
            <w:r>
              <w:rPr>
                <w:rFonts w:ascii="Arial" w:cs="Arial" w:eastAsia="Arial" w:hAnsi="Arial"/>
                <w:sz w:val="14"/>
                <w:szCs w:val="14"/>
                <w:color w:val="auto"/>
              </w:rPr>
              <w:t>Fiscal 2024</w:t>
            </w: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color w:val="auto"/>
              </w:rPr>
              <w:t>Fiscal 2023</w:t>
            </w:r>
          </w:p>
        </w:tc>
        <w:tc>
          <w:tcPr>
            <w:tcW w:w="1660" w:type="dxa"/>
            <w:vAlign w:val="bottom"/>
          </w:tcPr>
          <w:p>
            <w:pPr>
              <w:jc w:val="right"/>
              <w:ind w:right="388"/>
              <w:spacing w:after="0"/>
              <w:rPr>
                <w:sz w:val="20"/>
                <w:szCs w:val="20"/>
                <w:color w:val="auto"/>
              </w:rPr>
            </w:pPr>
            <w:r>
              <w:rPr>
                <w:rFonts w:ascii="Arial" w:cs="Arial" w:eastAsia="Arial" w:hAnsi="Arial"/>
                <w:sz w:val="14"/>
                <w:szCs w:val="14"/>
                <w:color w:val="auto"/>
              </w:rPr>
              <w:t>Fiscal 2022</w:t>
            </w:r>
          </w:p>
        </w:tc>
      </w:tr>
      <w:tr>
        <w:trPr>
          <w:trHeight w:val="200"/>
        </w:trPr>
        <w:tc>
          <w:tcPr>
            <w:tcW w:w="6020" w:type="dxa"/>
            <w:vAlign w:val="bottom"/>
            <w:tcBorders>
              <w:top w:val="single" w:sz="8" w:color="F5F5F5"/>
            </w:tcBorders>
            <w:shd w:val="clear" w:color="auto" w:fill="F5F5F5"/>
          </w:tcPr>
          <w:p>
            <w:pPr>
              <w:spacing w:after="0"/>
              <w:rPr>
                <w:sz w:val="20"/>
                <w:szCs w:val="20"/>
                <w:color w:val="auto"/>
              </w:rPr>
            </w:pPr>
            <w:r>
              <w:rPr>
                <w:rFonts w:ascii="Arial" w:cs="Arial" w:eastAsia="Arial" w:hAnsi="Arial"/>
                <w:sz w:val="14"/>
                <w:szCs w:val="14"/>
                <w:color w:val="auto"/>
              </w:rPr>
              <w:t>Vietnam</w:t>
            </w:r>
          </w:p>
        </w:tc>
        <w:tc>
          <w:tcPr>
            <w:tcW w:w="166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35 %</w:t>
            </w:r>
          </w:p>
        </w:tc>
        <w:tc>
          <w:tcPr>
            <w:tcW w:w="100" w:type="dxa"/>
            <w:vAlign w:val="bottom"/>
            <w:tcBorders>
              <w:top w:val="single" w:sz="8" w:color="F5F5F5"/>
            </w:tcBorders>
            <w:shd w:val="clear" w:color="auto" w:fill="F5F5F5"/>
          </w:tcPr>
          <w:p>
            <w:pPr>
              <w:spacing w:after="0"/>
              <w:rPr>
                <w:sz w:val="17"/>
                <w:szCs w:val="17"/>
                <w:color w:val="auto"/>
              </w:rPr>
            </w:pPr>
          </w:p>
        </w:tc>
        <w:tc>
          <w:tcPr>
            <w:tcW w:w="166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34 %</w:t>
            </w:r>
          </w:p>
        </w:tc>
        <w:tc>
          <w:tcPr>
            <w:tcW w:w="80" w:type="dxa"/>
            <w:vAlign w:val="bottom"/>
            <w:tcBorders>
              <w:top w:val="single" w:sz="8" w:color="F5F5F5"/>
            </w:tcBorders>
            <w:shd w:val="clear" w:color="auto" w:fill="F5F5F5"/>
          </w:tcPr>
          <w:p>
            <w:pPr>
              <w:spacing w:after="0"/>
              <w:rPr>
                <w:sz w:val="17"/>
                <w:szCs w:val="17"/>
                <w:color w:val="auto"/>
              </w:rPr>
            </w:pPr>
          </w:p>
        </w:tc>
        <w:tc>
          <w:tcPr>
            <w:tcW w:w="166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33 %</w:t>
            </w:r>
          </w:p>
        </w:tc>
      </w:tr>
      <w:tr>
        <w:trPr>
          <w:trHeight w:val="198"/>
        </w:trPr>
        <w:tc>
          <w:tcPr>
            <w:tcW w:w="6020" w:type="dxa"/>
            <w:vAlign w:val="bottom"/>
          </w:tcPr>
          <w:p>
            <w:pPr>
              <w:spacing w:after="0"/>
              <w:rPr>
                <w:sz w:val="20"/>
                <w:szCs w:val="20"/>
                <w:color w:val="auto"/>
              </w:rPr>
            </w:pPr>
            <w:r>
              <w:rPr>
                <w:rFonts w:ascii="Arial" w:cs="Arial" w:eastAsia="Arial" w:hAnsi="Arial"/>
                <w:sz w:val="14"/>
                <w:szCs w:val="14"/>
                <w:color w:val="auto"/>
              </w:rPr>
              <w:t>Cambodia</w:t>
            </w:r>
          </w:p>
        </w:tc>
        <w:tc>
          <w:tcPr>
            <w:tcW w:w="1660" w:type="dxa"/>
            <w:vAlign w:val="bottom"/>
          </w:tcPr>
          <w:p>
            <w:pPr>
              <w:jc w:val="right"/>
              <w:ind w:right="12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7"/>
                <w:szCs w:val="17"/>
                <w:color w:val="auto"/>
              </w:rPr>
            </w:pPr>
          </w:p>
        </w:tc>
        <w:tc>
          <w:tcPr>
            <w:tcW w:w="1660" w:type="dxa"/>
            <w:vAlign w:val="bottom"/>
          </w:tcPr>
          <w:p>
            <w:pPr>
              <w:jc w:val="right"/>
              <w:ind w:right="128"/>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7"/>
                <w:szCs w:val="17"/>
                <w:color w:val="auto"/>
              </w:rPr>
            </w:pPr>
          </w:p>
        </w:tc>
        <w:tc>
          <w:tcPr>
            <w:tcW w:w="1660" w:type="dxa"/>
            <w:vAlign w:val="bottom"/>
          </w:tcPr>
          <w:p>
            <w:pPr>
              <w:jc w:val="right"/>
              <w:ind w:right="108"/>
              <w:spacing w:after="0"/>
              <w:rPr>
                <w:sz w:val="20"/>
                <w:szCs w:val="20"/>
                <w:color w:val="auto"/>
              </w:rPr>
            </w:pPr>
            <w:r>
              <w:rPr>
                <w:rFonts w:ascii="Arial" w:cs="Arial" w:eastAsia="Arial" w:hAnsi="Arial"/>
                <w:sz w:val="14"/>
                <w:szCs w:val="14"/>
                <w:color w:val="auto"/>
              </w:rPr>
              <w:t>17</w:t>
            </w:r>
          </w:p>
        </w:tc>
      </w:tr>
      <w:tr>
        <w:trPr>
          <w:trHeight w:val="207"/>
        </w:trPr>
        <w:tc>
          <w:tcPr>
            <w:tcW w:w="6020" w:type="dxa"/>
            <w:vAlign w:val="bottom"/>
            <w:shd w:val="clear" w:color="auto" w:fill="F5F5F5"/>
          </w:tcPr>
          <w:p>
            <w:pPr>
              <w:spacing w:after="0"/>
              <w:rPr>
                <w:sz w:val="20"/>
                <w:szCs w:val="20"/>
                <w:color w:val="auto"/>
              </w:rPr>
            </w:pPr>
            <w:r>
              <w:rPr>
                <w:rFonts w:ascii="Arial" w:cs="Arial" w:eastAsia="Arial" w:hAnsi="Arial"/>
                <w:sz w:val="14"/>
                <w:szCs w:val="14"/>
                <w:color w:val="auto"/>
              </w:rPr>
              <w:t>India</w:t>
            </w:r>
          </w:p>
        </w:tc>
        <w:tc>
          <w:tcPr>
            <w:tcW w:w="1660" w:type="dxa"/>
            <w:vAlign w:val="bottom"/>
            <w:shd w:val="clear" w:color="auto" w:fill="F5F5F5"/>
          </w:tcPr>
          <w:p>
            <w:pPr>
              <w:jc w:val="right"/>
              <w:ind w:right="12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F5F5F5"/>
          </w:tcPr>
          <w:p>
            <w:pPr>
              <w:spacing w:after="0"/>
              <w:rPr>
                <w:sz w:val="17"/>
                <w:szCs w:val="17"/>
                <w:color w:val="auto"/>
              </w:rPr>
            </w:pPr>
          </w:p>
        </w:tc>
        <w:tc>
          <w:tcPr>
            <w:tcW w:w="1660" w:type="dxa"/>
            <w:vAlign w:val="bottom"/>
            <w:shd w:val="clear" w:color="auto" w:fill="F5F5F5"/>
          </w:tcPr>
          <w:p>
            <w:pPr>
              <w:jc w:val="right"/>
              <w:ind w:right="128"/>
              <w:spacing w:after="0"/>
              <w:rPr>
                <w:sz w:val="20"/>
                <w:szCs w:val="20"/>
                <w:color w:val="auto"/>
              </w:rPr>
            </w:pPr>
            <w:r>
              <w:rPr>
                <w:rFonts w:ascii="Arial" w:cs="Arial" w:eastAsia="Arial" w:hAnsi="Arial"/>
                <w:sz w:val="14"/>
                <w:szCs w:val="14"/>
                <w:color w:val="auto"/>
              </w:rPr>
              <w:t>12</w:t>
            </w:r>
          </w:p>
        </w:tc>
        <w:tc>
          <w:tcPr>
            <w:tcW w:w="80" w:type="dxa"/>
            <w:vAlign w:val="bottom"/>
            <w:shd w:val="clear" w:color="auto" w:fill="F5F5F5"/>
          </w:tcPr>
          <w:p>
            <w:pPr>
              <w:spacing w:after="0"/>
              <w:rPr>
                <w:sz w:val="17"/>
                <w:szCs w:val="17"/>
                <w:color w:val="auto"/>
              </w:rPr>
            </w:pPr>
          </w:p>
        </w:tc>
        <w:tc>
          <w:tcPr>
            <w:tcW w:w="1660" w:type="dxa"/>
            <w:vAlign w:val="bottom"/>
            <w:shd w:val="clear" w:color="auto" w:fill="F5F5F5"/>
          </w:tcPr>
          <w:p>
            <w:pPr>
              <w:jc w:val="right"/>
              <w:ind w:right="108"/>
              <w:spacing w:after="0"/>
              <w:rPr>
                <w:sz w:val="20"/>
                <w:szCs w:val="20"/>
                <w:color w:val="auto"/>
              </w:rPr>
            </w:pPr>
            <w:r>
              <w:rPr>
                <w:rFonts w:ascii="Arial" w:cs="Arial" w:eastAsia="Arial" w:hAnsi="Arial"/>
                <w:sz w:val="14"/>
                <w:szCs w:val="14"/>
                <w:color w:val="auto"/>
              </w:rPr>
              <w:t>9</w:t>
            </w:r>
          </w:p>
        </w:tc>
      </w:tr>
      <w:tr>
        <w:trPr>
          <w:trHeight w:val="203"/>
        </w:trPr>
        <w:tc>
          <w:tcPr>
            <w:tcW w:w="6020" w:type="dxa"/>
            <w:vAlign w:val="bottom"/>
          </w:tcPr>
          <w:p>
            <w:pPr>
              <w:spacing w:after="0" w:line="202" w:lineRule="exact"/>
              <w:rPr>
                <w:sz w:val="20"/>
                <w:szCs w:val="20"/>
                <w:color w:val="auto"/>
              </w:rPr>
            </w:pPr>
            <w:r>
              <w:rPr>
                <w:rFonts w:ascii="Arial" w:cs="Arial" w:eastAsia="Arial" w:hAnsi="Arial"/>
                <w:sz w:val="14"/>
                <w:szCs w:val="14"/>
                <w:color w:val="auto"/>
              </w:rPr>
              <w:t xml:space="preserve">China </w:t>
            </w:r>
            <w:r>
              <w:rPr>
                <w:rFonts w:ascii="Arial" w:cs="Arial" w:eastAsia="Arial" w:hAnsi="Arial"/>
                <w:sz w:val="18"/>
                <w:szCs w:val="18"/>
                <w:color w:val="auto"/>
                <w:vertAlign w:val="superscript"/>
              </w:rPr>
              <w:t>(2)</w:t>
            </w:r>
          </w:p>
        </w:tc>
        <w:tc>
          <w:tcPr>
            <w:tcW w:w="1660" w:type="dxa"/>
            <w:vAlign w:val="bottom"/>
          </w:tcPr>
          <w:p>
            <w:pPr>
              <w:jc w:val="right"/>
              <w:ind w:right="128"/>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17"/>
                <w:szCs w:val="17"/>
                <w:color w:val="auto"/>
              </w:rPr>
            </w:pPr>
          </w:p>
        </w:tc>
        <w:tc>
          <w:tcPr>
            <w:tcW w:w="1660" w:type="dxa"/>
            <w:vAlign w:val="bottom"/>
          </w:tcPr>
          <w:p>
            <w:pPr>
              <w:jc w:val="right"/>
              <w:ind w:right="128"/>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7"/>
                <w:szCs w:val="17"/>
                <w:color w:val="auto"/>
              </w:rPr>
            </w:pPr>
          </w:p>
        </w:tc>
        <w:tc>
          <w:tcPr>
            <w:tcW w:w="1660" w:type="dxa"/>
            <w:vAlign w:val="bottom"/>
          </w:tcPr>
          <w:p>
            <w:pPr>
              <w:jc w:val="right"/>
              <w:ind w:right="108"/>
              <w:spacing w:after="0"/>
              <w:rPr>
                <w:sz w:val="20"/>
                <w:szCs w:val="20"/>
                <w:color w:val="auto"/>
              </w:rPr>
            </w:pPr>
            <w:r>
              <w:rPr>
                <w:rFonts w:ascii="Arial" w:cs="Arial" w:eastAsia="Arial" w:hAnsi="Arial"/>
                <w:sz w:val="14"/>
                <w:szCs w:val="14"/>
                <w:color w:val="auto"/>
              </w:rPr>
              <w:t>13</w:t>
            </w:r>
          </w:p>
        </w:tc>
      </w:tr>
      <w:tr>
        <w:trPr>
          <w:trHeight w:val="203"/>
        </w:trPr>
        <w:tc>
          <w:tcPr>
            <w:tcW w:w="6020" w:type="dxa"/>
            <w:vAlign w:val="bottom"/>
            <w:shd w:val="clear" w:color="auto" w:fill="F5F5F5"/>
          </w:tcPr>
          <w:p>
            <w:pPr>
              <w:spacing w:after="0" w:line="202" w:lineRule="exact"/>
              <w:rPr>
                <w:sz w:val="20"/>
                <w:szCs w:val="20"/>
                <w:color w:val="auto"/>
              </w:rPr>
            </w:pPr>
            <w:r>
              <w:rPr>
                <w:rFonts w:ascii="Arial" w:cs="Arial" w:eastAsia="Arial" w:hAnsi="Arial"/>
                <w:sz w:val="14"/>
                <w:szCs w:val="14"/>
                <w:color w:val="auto"/>
              </w:rPr>
              <w:t xml:space="preserve">Other </w:t>
            </w:r>
            <w:r>
              <w:rPr>
                <w:rFonts w:ascii="Arial" w:cs="Arial" w:eastAsia="Arial" w:hAnsi="Arial"/>
                <w:sz w:val="18"/>
                <w:szCs w:val="18"/>
                <w:color w:val="auto"/>
                <w:vertAlign w:val="superscript"/>
              </w:rPr>
              <w:t>(3)</w:t>
            </w:r>
          </w:p>
        </w:tc>
        <w:tc>
          <w:tcPr>
            <w:tcW w:w="1660" w:type="dxa"/>
            <w:vAlign w:val="bottom"/>
            <w:tcBorders>
              <w:bottom w:val="single" w:sz="8" w:color="auto"/>
            </w:tcBorders>
            <w:shd w:val="clear" w:color="auto" w:fill="F5F5F5"/>
          </w:tcPr>
          <w:p>
            <w:pPr>
              <w:jc w:val="right"/>
              <w:ind w:right="12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F5F5F5"/>
          </w:tcPr>
          <w:p>
            <w:pPr>
              <w:spacing w:after="0"/>
              <w:rPr>
                <w:sz w:val="17"/>
                <w:szCs w:val="17"/>
                <w:color w:val="auto"/>
              </w:rPr>
            </w:pPr>
          </w:p>
        </w:tc>
        <w:tc>
          <w:tcPr>
            <w:tcW w:w="1660" w:type="dxa"/>
            <w:vAlign w:val="bottom"/>
            <w:tcBorders>
              <w:bottom w:val="single" w:sz="8" w:color="auto"/>
            </w:tcBorders>
            <w:shd w:val="clear" w:color="auto" w:fill="F5F5F5"/>
          </w:tcPr>
          <w:p>
            <w:pPr>
              <w:jc w:val="right"/>
              <w:ind w:right="128"/>
              <w:spacing w:after="0"/>
              <w:rPr>
                <w:sz w:val="20"/>
                <w:szCs w:val="20"/>
                <w:color w:val="auto"/>
              </w:rPr>
            </w:pPr>
            <w:r>
              <w:rPr>
                <w:rFonts w:ascii="Arial" w:cs="Arial" w:eastAsia="Arial" w:hAnsi="Arial"/>
                <w:sz w:val="14"/>
                <w:szCs w:val="14"/>
                <w:color w:val="auto"/>
              </w:rPr>
              <w:t>26</w:t>
            </w:r>
          </w:p>
        </w:tc>
        <w:tc>
          <w:tcPr>
            <w:tcW w:w="80" w:type="dxa"/>
            <w:vAlign w:val="bottom"/>
            <w:shd w:val="clear" w:color="auto" w:fill="F5F5F5"/>
          </w:tcPr>
          <w:p>
            <w:pPr>
              <w:spacing w:after="0"/>
              <w:rPr>
                <w:sz w:val="17"/>
                <w:szCs w:val="17"/>
                <w:color w:val="auto"/>
              </w:rPr>
            </w:pPr>
          </w:p>
        </w:tc>
        <w:tc>
          <w:tcPr>
            <w:tcW w:w="1660" w:type="dxa"/>
            <w:vAlign w:val="bottom"/>
            <w:tcBorders>
              <w:bottom w:val="single" w:sz="8" w:color="auto"/>
            </w:tcBorders>
            <w:shd w:val="clear" w:color="auto" w:fill="F5F5F5"/>
          </w:tcPr>
          <w:p>
            <w:pPr>
              <w:jc w:val="right"/>
              <w:ind w:right="108"/>
              <w:spacing w:after="0"/>
              <w:rPr>
                <w:sz w:val="20"/>
                <w:szCs w:val="20"/>
                <w:color w:val="auto"/>
              </w:rPr>
            </w:pPr>
            <w:r>
              <w:rPr>
                <w:rFonts w:ascii="Arial" w:cs="Arial" w:eastAsia="Arial" w:hAnsi="Arial"/>
                <w:sz w:val="14"/>
                <w:szCs w:val="14"/>
                <w:color w:val="auto"/>
              </w:rPr>
              <w:t>28</w:t>
            </w:r>
          </w:p>
        </w:tc>
      </w:tr>
      <w:tr>
        <w:trPr>
          <w:trHeight w:val="192"/>
        </w:trPr>
        <w:tc>
          <w:tcPr>
            <w:tcW w:w="6020" w:type="dxa"/>
            <w:vAlign w:val="bottom"/>
          </w:tcPr>
          <w:p>
            <w:pPr>
              <w:spacing w:after="0"/>
              <w:rPr>
                <w:sz w:val="20"/>
                <w:szCs w:val="20"/>
                <w:color w:val="auto"/>
              </w:rPr>
            </w:pPr>
            <w:r>
              <w:rPr>
                <w:rFonts w:ascii="Arial" w:cs="Arial" w:eastAsia="Arial" w:hAnsi="Arial"/>
                <w:sz w:val="14"/>
                <w:szCs w:val="14"/>
                <w:color w:val="auto"/>
              </w:rPr>
              <w:t>Total</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r>
      <w:tr>
        <w:trPr>
          <w:trHeight w:val="25"/>
        </w:trPr>
        <w:tc>
          <w:tcPr>
            <w:tcW w:w="60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bl>
    <w:p>
      <w:pPr>
        <w:spacing w:after="0" w:line="298" w:lineRule="exact"/>
        <w:rPr>
          <w:sz w:val="20"/>
          <w:szCs w:val="20"/>
          <w:color w:val="auto"/>
        </w:rPr>
      </w:pPr>
    </w:p>
    <w:p>
      <w:pPr>
        <w:ind w:left="260" w:right="20" w:hanging="252"/>
        <w:spacing w:after="0"/>
        <w:tabs>
          <w:tab w:leader="none" w:pos="262" w:val="left"/>
        </w:tabs>
        <w:numPr>
          <w:ilvl w:val="0"/>
          <w:numId w:val="60"/>
        </w:numPr>
        <w:rPr>
          <w:rFonts w:ascii="Arial" w:cs="Arial" w:eastAsia="Arial" w:hAnsi="Arial"/>
          <w:sz w:val="18"/>
          <w:szCs w:val="18"/>
          <w:color w:val="auto"/>
          <w:vertAlign w:val="superscript"/>
        </w:rPr>
      </w:pPr>
      <w:r>
        <w:rPr>
          <w:rFonts w:ascii="Arial" w:cs="Arial" w:eastAsia="Arial" w:hAnsi="Arial"/>
          <w:sz w:val="13"/>
          <w:szCs w:val="13"/>
          <w:color w:val="auto"/>
        </w:rPr>
        <w:t>Calculated as the cost of merchandise receipts from all vendors within a country during the respective fiscal year divided by cost of total merchandise receipts during the respective fiscal year.</w:t>
      </w:r>
    </w:p>
    <w:p>
      <w:pPr>
        <w:spacing w:after="0" w:line="129" w:lineRule="exact"/>
        <w:rPr>
          <w:rFonts w:ascii="Arial" w:cs="Arial" w:eastAsia="Arial" w:hAnsi="Arial"/>
          <w:sz w:val="18"/>
          <w:szCs w:val="18"/>
          <w:color w:val="auto"/>
          <w:vertAlign w:val="superscript"/>
        </w:rPr>
      </w:pPr>
    </w:p>
    <w:p>
      <w:pPr>
        <w:jc w:val="both"/>
        <w:ind w:left="260" w:right="20" w:hanging="252"/>
        <w:spacing w:after="0" w:line="230" w:lineRule="auto"/>
        <w:tabs>
          <w:tab w:leader="none" w:pos="221" w:val="left"/>
        </w:tabs>
        <w:numPr>
          <w:ilvl w:val="0"/>
          <w:numId w:val="60"/>
        </w:numPr>
        <w:rPr>
          <w:rFonts w:ascii="Arial" w:cs="Arial" w:eastAsia="Arial" w:hAnsi="Arial"/>
          <w:sz w:val="18"/>
          <w:szCs w:val="18"/>
          <w:color w:val="auto"/>
          <w:vertAlign w:val="superscript"/>
        </w:rPr>
      </w:pPr>
      <w:r>
        <w:rPr>
          <w:rFonts w:ascii="Arial" w:cs="Arial" w:eastAsia="Arial" w:hAnsi="Arial"/>
          <w:sz w:val="13"/>
          <w:szCs w:val="13"/>
          <w:color w:val="auto"/>
        </w:rPr>
        <w:t>Only a portion of the Company’s total merchandise sourced from China is subject to the additional U.S. tariffs on imported consumer goods that were effective beginning in Fiscal 2019. The Company estimates approximately 5%, 7%, and 9% of total merchandise receipts were directly imported to the United States from China in Fiscal 2024, Fiscal 2023 and Fiscal 2022, respectively.</w:t>
      </w:r>
    </w:p>
    <w:p>
      <w:pPr>
        <w:spacing w:after="0" w:line="1" w:lineRule="exact"/>
        <w:rPr>
          <w:rFonts w:ascii="Arial" w:cs="Arial" w:eastAsia="Arial" w:hAnsi="Arial"/>
          <w:sz w:val="18"/>
          <w:szCs w:val="18"/>
          <w:color w:val="auto"/>
          <w:vertAlign w:val="superscript"/>
        </w:rPr>
      </w:pPr>
    </w:p>
    <w:p>
      <w:pPr>
        <w:ind w:left="260" w:hanging="252"/>
        <w:spacing w:after="0" w:line="190" w:lineRule="auto"/>
        <w:tabs>
          <w:tab w:leader="none" w:pos="260" w:val="left"/>
        </w:tabs>
        <w:numPr>
          <w:ilvl w:val="0"/>
          <w:numId w:val="60"/>
        </w:numPr>
        <w:rPr>
          <w:rFonts w:ascii="Arial" w:cs="Arial" w:eastAsia="Arial" w:hAnsi="Arial"/>
          <w:sz w:val="18"/>
          <w:szCs w:val="18"/>
          <w:color w:val="auto"/>
          <w:vertAlign w:val="superscript"/>
        </w:rPr>
      </w:pPr>
      <w:r>
        <w:rPr>
          <w:rFonts w:ascii="Arial" w:cs="Arial" w:eastAsia="Arial" w:hAnsi="Arial"/>
          <w:sz w:val="13"/>
          <w:szCs w:val="13"/>
          <w:color w:val="auto"/>
        </w:rPr>
        <w:t>No country included within this category sourced more than 10% of total merchandise receipts during any fiscal year presented above.</w:t>
      </w:r>
    </w:p>
    <w:p>
      <w:pPr>
        <w:spacing w:after="0" w:line="22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Refer to Note 2, </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0000FF"/>
        </w:rPr>
        <w:t>SUMMARY OF SIGNIFICANT ACCOUNTING POLICIES - Inventories</w:t>
      </w:r>
      <w:r>
        <w:rPr>
          <w:rFonts w:ascii="Arial" w:cs="Arial" w:eastAsia="Arial" w:hAnsi="Arial"/>
          <w:sz w:val="16"/>
          <w:szCs w:val="16"/>
          <w:color w:val="auto"/>
        </w:rPr>
        <w:t>,” for discussion regarding significant accounting policies related to the Company’s inventories.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63</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6"/>
          <w:szCs w:val="16"/>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Abercrombie &amp; Fitch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b w:val="1"/>
          <w:bCs w:val="1"/>
          <w:color w:val="AC7E65"/>
        </w:rPr>
        <w:t>7. PROPERTY AND EQUIPMENT, NET</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Property and equipment, net consisted of:</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9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6"/>
                <w:szCs w:val="16"/>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color w:val="auto"/>
              </w:rPr>
              <w:t>February 1, 2025</w:t>
            </w: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February 3, 2024</w:t>
            </w:r>
          </w:p>
        </w:tc>
      </w:tr>
      <w:tr>
        <w:trPr>
          <w:trHeight w:val="200"/>
        </w:trPr>
        <w:tc>
          <w:tcPr>
            <w:tcW w:w="7980" w:type="dxa"/>
            <w:vAlign w:val="bottom"/>
            <w:tcBorders>
              <w:top w:val="single" w:sz="8" w:color="F5F5F5"/>
            </w:tcBorders>
            <w:shd w:val="clear" w:color="auto" w:fill="F5F5F5"/>
          </w:tcPr>
          <w:p>
            <w:pPr>
              <w:ind w:left="20"/>
              <w:spacing w:after="0"/>
              <w:rPr>
                <w:sz w:val="20"/>
                <w:szCs w:val="20"/>
                <w:color w:val="auto"/>
              </w:rPr>
            </w:pPr>
            <w:r>
              <w:rPr>
                <w:rFonts w:ascii="Arial" w:cs="Arial" w:eastAsia="Arial" w:hAnsi="Arial"/>
                <w:sz w:val="14"/>
                <w:szCs w:val="14"/>
                <w:color w:val="auto"/>
              </w:rPr>
              <w:t>Land</w:t>
            </w:r>
          </w:p>
        </w:tc>
        <w:tc>
          <w:tcPr>
            <w:tcW w:w="280" w:type="dxa"/>
            <w:vAlign w:val="bottom"/>
            <w:tcBorders>
              <w:top w:val="single" w:sz="8" w:color="auto"/>
            </w:tcBorders>
            <w:shd w:val="clear" w:color="auto" w:fill="F5F5F5"/>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28,599</w:t>
            </w:r>
          </w:p>
        </w:tc>
        <w:tc>
          <w:tcPr>
            <w:tcW w:w="100" w:type="dxa"/>
            <w:vAlign w:val="bottom"/>
            <w:tcBorders>
              <w:top w:val="single" w:sz="8" w:color="F5F5F5"/>
            </w:tcBorders>
            <w:shd w:val="clear" w:color="auto" w:fill="F5F5F5"/>
          </w:tcPr>
          <w:p>
            <w:pPr>
              <w:spacing w:after="0"/>
              <w:rPr>
                <w:sz w:val="17"/>
                <w:szCs w:val="17"/>
                <w:color w:val="auto"/>
              </w:rPr>
            </w:pPr>
          </w:p>
        </w:tc>
        <w:tc>
          <w:tcPr>
            <w:tcW w:w="280" w:type="dxa"/>
            <w:vAlign w:val="bottom"/>
            <w:tcBorders>
              <w:top w:val="single" w:sz="8" w:color="auto"/>
            </w:tcBorders>
            <w:shd w:val="clear" w:color="auto" w:fill="F5F5F5"/>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28,599</w:t>
            </w:r>
          </w:p>
        </w:tc>
      </w:tr>
      <w:tr>
        <w:trPr>
          <w:trHeight w:val="198"/>
        </w:trPr>
        <w:tc>
          <w:tcPr>
            <w:tcW w:w="7980" w:type="dxa"/>
            <w:vAlign w:val="bottom"/>
          </w:tcPr>
          <w:p>
            <w:pPr>
              <w:ind w:left="20"/>
              <w:spacing w:after="0"/>
              <w:rPr>
                <w:sz w:val="20"/>
                <w:szCs w:val="20"/>
                <w:color w:val="auto"/>
              </w:rPr>
            </w:pPr>
            <w:r>
              <w:rPr>
                <w:rFonts w:ascii="Arial" w:cs="Arial" w:eastAsia="Arial" w:hAnsi="Arial"/>
                <w:sz w:val="14"/>
                <w:szCs w:val="14"/>
                <w:color w:val="auto"/>
              </w:rPr>
              <w:t>Buildings</w:t>
            </w:r>
          </w:p>
        </w:tc>
        <w:tc>
          <w:tcPr>
            <w:tcW w:w="280" w:type="dxa"/>
            <w:vAlign w:val="bottom"/>
          </w:tcPr>
          <w:p>
            <w:pPr>
              <w:spacing w:after="0"/>
              <w:rPr>
                <w:sz w:val="17"/>
                <w:szCs w:val="17"/>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238,131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238,185</w:t>
            </w:r>
          </w:p>
        </w:tc>
      </w:tr>
      <w:tr>
        <w:trPr>
          <w:trHeight w:val="207"/>
        </w:trPr>
        <w:tc>
          <w:tcPr>
            <w:tcW w:w="7980" w:type="dxa"/>
            <w:vAlign w:val="bottom"/>
            <w:shd w:val="clear" w:color="auto" w:fill="F5F5F5"/>
          </w:tcPr>
          <w:p>
            <w:pPr>
              <w:ind w:left="20"/>
              <w:spacing w:after="0"/>
              <w:rPr>
                <w:sz w:val="20"/>
                <w:szCs w:val="20"/>
                <w:color w:val="auto"/>
              </w:rPr>
            </w:pPr>
            <w:r>
              <w:rPr>
                <w:rFonts w:ascii="Arial" w:cs="Arial" w:eastAsia="Arial" w:hAnsi="Arial"/>
                <w:sz w:val="14"/>
                <w:szCs w:val="14"/>
                <w:color w:val="auto"/>
              </w:rPr>
              <w:t>Furniture, fixtures and equipment</w:t>
            </w:r>
          </w:p>
        </w:tc>
        <w:tc>
          <w:tcPr>
            <w:tcW w:w="280" w:type="dxa"/>
            <w:vAlign w:val="bottom"/>
            <w:shd w:val="clear" w:color="auto" w:fill="F5F5F5"/>
          </w:tcPr>
          <w:p>
            <w:pPr>
              <w:spacing w:after="0"/>
              <w:rPr>
                <w:sz w:val="17"/>
                <w:szCs w:val="17"/>
                <w:color w:val="auto"/>
              </w:rPr>
            </w:pPr>
          </w:p>
        </w:tc>
        <w:tc>
          <w:tcPr>
            <w:tcW w:w="130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657,849</w:t>
            </w:r>
          </w:p>
        </w:tc>
        <w:tc>
          <w:tcPr>
            <w:tcW w:w="100" w:type="dxa"/>
            <w:vAlign w:val="bottom"/>
            <w:shd w:val="clear" w:color="auto" w:fill="F5F5F5"/>
          </w:tcPr>
          <w:p>
            <w:pPr>
              <w:spacing w:after="0"/>
              <w:rPr>
                <w:sz w:val="17"/>
                <w:szCs w:val="17"/>
                <w:color w:val="auto"/>
              </w:rPr>
            </w:pPr>
          </w:p>
        </w:tc>
        <w:tc>
          <w:tcPr>
            <w:tcW w:w="280" w:type="dxa"/>
            <w:vAlign w:val="bottom"/>
            <w:shd w:val="clear" w:color="auto" w:fill="F5F5F5"/>
          </w:tcPr>
          <w:p>
            <w:pPr>
              <w:spacing w:after="0"/>
              <w:rPr>
                <w:sz w:val="17"/>
                <w:szCs w:val="17"/>
                <w:color w:val="auto"/>
              </w:rPr>
            </w:pPr>
          </w:p>
        </w:tc>
        <w:tc>
          <w:tcPr>
            <w:tcW w:w="13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632,056</w:t>
            </w:r>
          </w:p>
        </w:tc>
      </w:tr>
      <w:tr>
        <w:trPr>
          <w:trHeight w:val="198"/>
        </w:trPr>
        <w:tc>
          <w:tcPr>
            <w:tcW w:w="7980" w:type="dxa"/>
            <w:vAlign w:val="bottom"/>
          </w:tcPr>
          <w:p>
            <w:pPr>
              <w:ind w:left="20"/>
              <w:spacing w:after="0"/>
              <w:rPr>
                <w:sz w:val="20"/>
                <w:szCs w:val="20"/>
                <w:color w:val="auto"/>
              </w:rPr>
            </w:pPr>
            <w:r>
              <w:rPr>
                <w:rFonts w:ascii="Arial" w:cs="Arial" w:eastAsia="Arial" w:hAnsi="Arial"/>
                <w:sz w:val="14"/>
                <w:szCs w:val="14"/>
                <w:color w:val="auto"/>
              </w:rPr>
              <w:t>Information technology</w:t>
            </w:r>
          </w:p>
        </w:tc>
        <w:tc>
          <w:tcPr>
            <w:tcW w:w="280" w:type="dxa"/>
            <w:vAlign w:val="bottom"/>
          </w:tcPr>
          <w:p>
            <w:pPr>
              <w:spacing w:after="0"/>
              <w:rPr>
                <w:sz w:val="17"/>
                <w:szCs w:val="17"/>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796,163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718,693</w:t>
            </w:r>
          </w:p>
        </w:tc>
      </w:tr>
      <w:tr>
        <w:trPr>
          <w:trHeight w:val="207"/>
        </w:trPr>
        <w:tc>
          <w:tcPr>
            <w:tcW w:w="7980" w:type="dxa"/>
            <w:vAlign w:val="bottom"/>
            <w:shd w:val="clear" w:color="auto" w:fill="F5F5F5"/>
          </w:tcPr>
          <w:p>
            <w:pPr>
              <w:ind w:left="20"/>
              <w:spacing w:after="0"/>
              <w:rPr>
                <w:sz w:val="20"/>
                <w:szCs w:val="20"/>
                <w:color w:val="auto"/>
              </w:rPr>
            </w:pPr>
            <w:r>
              <w:rPr>
                <w:rFonts w:ascii="Arial" w:cs="Arial" w:eastAsia="Arial" w:hAnsi="Arial"/>
                <w:sz w:val="14"/>
                <w:szCs w:val="14"/>
                <w:color w:val="auto"/>
              </w:rPr>
              <w:t>Leasehold improvements</w:t>
            </w:r>
          </w:p>
        </w:tc>
        <w:tc>
          <w:tcPr>
            <w:tcW w:w="280" w:type="dxa"/>
            <w:vAlign w:val="bottom"/>
            <w:shd w:val="clear" w:color="auto" w:fill="F5F5F5"/>
          </w:tcPr>
          <w:p>
            <w:pPr>
              <w:spacing w:after="0"/>
              <w:rPr>
                <w:sz w:val="17"/>
                <w:szCs w:val="17"/>
                <w:color w:val="auto"/>
              </w:rPr>
            </w:pPr>
          </w:p>
        </w:tc>
        <w:tc>
          <w:tcPr>
            <w:tcW w:w="130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842,824</w:t>
            </w:r>
          </w:p>
        </w:tc>
        <w:tc>
          <w:tcPr>
            <w:tcW w:w="100" w:type="dxa"/>
            <w:vAlign w:val="bottom"/>
            <w:shd w:val="clear" w:color="auto" w:fill="F5F5F5"/>
          </w:tcPr>
          <w:p>
            <w:pPr>
              <w:spacing w:after="0"/>
              <w:rPr>
                <w:sz w:val="17"/>
                <w:szCs w:val="17"/>
                <w:color w:val="auto"/>
              </w:rPr>
            </w:pPr>
          </w:p>
        </w:tc>
        <w:tc>
          <w:tcPr>
            <w:tcW w:w="280" w:type="dxa"/>
            <w:vAlign w:val="bottom"/>
            <w:shd w:val="clear" w:color="auto" w:fill="F5F5F5"/>
          </w:tcPr>
          <w:p>
            <w:pPr>
              <w:spacing w:after="0"/>
              <w:rPr>
                <w:sz w:val="17"/>
                <w:szCs w:val="17"/>
                <w:color w:val="auto"/>
              </w:rPr>
            </w:pPr>
          </w:p>
        </w:tc>
        <w:tc>
          <w:tcPr>
            <w:tcW w:w="13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846,097</w:t>
            </w:r>
          </w:p>
        </w:tc>
      </w:tr>
      <w:tr>
        <w:trPr>
          <w:trHeight w:val="198"/>
        </w:trPr>
        <w:tc>
          <w:tcPr>
            <w:tcW w:w="7980" w:type="dxa"/>
            <w:vAlign w:val="bottom"/>
          </w:tcPr>
          <w:p>
            <w:pPr>
              <w:ind w:left="20"/>
              <w:spacing w:after="0"/>
              <w:rPr>
                <w:sz w:val="20"/>
                <w:szCs w:val="20"/>
                <w:color w:val="auto"/>
              </w:rPr>
            </w:pPr>
            <w:r>
              <w:rPr>
                <w:rFonts w:ascii="Arial" w:cs="Arial" w:eastAsia="Arial" w:hAnsi="Arial"/>
                <w:sz w:val="14"/>
                <w:szCs w:val="14"/>
                <w:color w:val="auto"/>
              </w:rPr>
              <w:t>Construction in progress</w:t>
            </w:r>
          </w:p>
        </w:tc>
        <w:tc>
          <w:tcPr>
            <w:tcW w:w="280" w:type="dxa"/>
            <w:vAlign w:val="bottom"/>
          </w:tcPr>
          <w:p>
            <w:pPr>
              <w:spacing w:after="0"/>
              <w:rPr>
                <w:sz w:val="17"/>
                <w:szCs w:val="17"/>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41,166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44,359</w:t>
            </w:r>
          </w:p>
        </w:tc>
      </w:tr>
      <w:tr>
        <w:trPr>
          <w:trHeight w:val="207"/>
        </w:trPr>
        <w:tc>
          <w:tcPr>
            <w:tcW w:w="7980" w:type="dxa"/>
            <w:vAlign w:val="bottom"/>
            <w:shd w:val="clear" w:color="auto" w:fill="F5F5F5"/>
          </w:tcPr>
          <w:p>
            <w:pPr>
              <w:ind w:left="20"/>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auto"/>
            </w:tcBorders>
            <w:shd w:val="clear" w:color="auto" w:fill="F5F5F5"/>
          </w:tcPr>
          <w:p>
            <w:pPr>
              <w:spacing w:after="0"/>
              <w:rPr>
                <w:sz w:val="17"/>
                <w:szCs w:val="17"/>
                <w:color w:val="auto"/>
              </w:rPr>
            </w:pPr>
          </w:p>
        </w:tc>
        <w:tc>
          <w:tcPr>
            <w:tcW w:w="1300" w:type="dxa"/>
            <w:vAlign w:val="bottom"/>
            <w:tcBorders>
              <w:bottom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1,139</w:t>
            </w:r>
          </w:p>
        </w:tc>
        <w:tc>
          <w:tcPr>
            <w:tcW w:w="100" w:type="dxa"/>
            <w:vAlign w:val="bottom"/>
            <w:shd w:val="clear" w:color="auto" w:fill="F5F5F5"/>
          </w:tcPr>
          <w:p>
            <w:pPr>
              <w:spacing w:after="0"/>
              <w:rPr>
                <w:sz w:val="17"/>
                <w:szCs w:val="17"/>
                <w:color w:val="auto"/>
              </w:rPr>
            </w:pPr>
          </w:p>
        </w:tc>
        <w:tc>
          <w:tcPr>
            <w:tcW w:w="280" w:type="dxa"/>
            <w:vAlign w:val="bottom"/>
            <w:tcBorders>
              <w:bottom w:val="single" w:sz="8" w:color="auto"/>
            </w:tcBorders>
            <w:shd w:val="clear" w:color="auto" w:fill="F5F5F5"/>
          </w:tcPr>
          <w:p>
            <w:pPr>
              <w:spacing w:after="0"/>
              <w:rPr>
                <w:sz w:val="17"/>
                <w:szCs w:val="17"/>
                <w:color w:val="auto"/>
              </w:rPr>
            </w:pPr>
          </w:p>
        </w:tc>
        <w:tc>
          <w:tcPr>
            <w:tcW w:w="130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1,195</w:t>
            </w:r>
          </w:p>
        </w:tc>
      </w:tr>
      <w:tr>
        <w:trPr>
          <w:trHeight w:val="192"/>
        </w:trPr>
        <w:tc>
          <w:tcPr>
            <w:tcW w:w="7980" w:type="dxa"/>
            <w:vAlign w:val="bottom"/>
          </w:tcPr>
          <w:p>
            <w:pPr>
              <w:ind w:left="140"/>
              <w:spacing w:after="0"/>
              <w:rPr>
                <w:sz w:val="20"/>
                <w:szCs w:val="20"/>
                <w:color w:val="auto"/>
              </w:rPr>
            </w:pPr>
            <w:r>
              <w:rPr>
                <w:rFonts w:ascii="Arial" w:cs="Arial" w:eastAsia="Arial" w:hAnsi="Arial"/>
                <w:sz w:val="14"/>
                <w:szCs w:val="14"/>
                <w:color w:val="auto"/>
              </w:rPr>
              <w:t>Total</w:t>
            </w:r>
          </w:p>
        </w:tc>
        <w:tc>
          <w:tcPr>
            <w:tcW w:w="28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2,605,871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2,509,184</w:t>
            </w:r>
          </w:p>
        </w:tc>
      </w:tr>
      <w:tr>
        <w:trPr>
          <w:trHeight w:val="207"/>
        </w:trPr>
        <w:tc>
          <w:tcPr>
            <w:tcW w:w="7980" w:type="dxa"/>
            <w:vAlign w:val="bottom"/>
            <w:shd w:val="clear" w:color="auto" w:fill="F5F5F5"/>
          </w:tcPr>
          <w:p>
            <w:pPr>
              <w:ind w:left="20"/>
              <w:spacing w:after="0"/>
              <w:rPr>
                <w:sz w:val="20"/>
                <w:szCs w:val="20"/>
                <w:color w:val="auto"/>
              </w:rPr>
            </w:pPr>
            <w:r>
              <w:rPr>
                <w:rFonts w:ascii="Arial" w:cs="Arial" w:eastAsia="Arial" w:hAnsi="Arial"/>
                <w:sz w:val="14"/>
                <w:szCs w:val="14"/>
                <w:color w:val="auto"/>
              </w:rPr>
              <w:t>Less: Accumulated depreciation</w:t>
            </w:r>
          </w:p>
        </w:tc>
        <w:tc>
          <w:tcPr>
            <w:tcW w:w="280" w:type="dxa"/>
            <w:vAlign w:val="bottom"/>
            <w:tcBorders>
              <w:bottom w:val="single" w:sz="8" w:color="auto"/>
            </w:tcBorders>
            <w:shd w:val="clear" w:color="auto" w:fill="F5F5F5"/>
          </w:tcPr>
          <w:p>
            <w:pPr>
              <w:spacing w:after="0"/>
              <w:rPr>
                <w:sz w:val="17"/>
                <w:szCs w:val="17"/>
                <w:color w:val="auto"/>
              </w:rPr>
            </w:pPr>
          </w:p>
        </w:tc>
        <w:tc>
          <w:tcPr>
            <w:tcW w:w="130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(2,030,098)</w:t>
            </w:r>
          </w:p>
        </w:tc>
        <w:tc>
          <w:tcPr>
            <w:tcW w:w="100" w:type="dxa"/>
            <w:vAlign w:val="bottom"/>
            <w:shd w:val="clear" w:color="auto" w:fill="F5F5F5"/>
          </w:tcPr>
          <w:p>
            <w:pPr>
              <w:spacing w:after="0"/>
              <w:rPr>
                <w:sz w:val="17"/>
                <w:szCs w:val="17"/>
                <w:color w:val="auto"/>
              </w:rPr>
            </w:pPr>
          </w:p>
        </w:tc>
        <w:tc>
          <w:tcPr>
            <w:tcW w:w="280" w:type="dxa"/>
            <w:vAlign w:val="bottom"/>
            <w:tcBorders>
              <w:bottom w:val="single" w:sz="8" w:color="auto"/>
            </w:tcBorders>
            <w:shd w:val="clear" w:color="auto" w:fill="F5F5F5"/>
          </w:tcPr>
          <w:p>
            <w:pPr>
              <w:spacing w:after="0"/>
              <w:rPr>
                <w:sz w:val="17"/>
                <w:szCs w:val="17"/>
                <w:color w:val="auto"/>
              </w:rPr>
            </w:pPr>
          </w:p>
        </w:tc>
        <w:tc>
          <w:tcPr>
            <w:tcW w:w="130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(1,971,151)</w:t>
            </w:r>
          </w:p>
        </w:tc>
      </w:tr>
      <w:tr>
        <w:trPr>
          <w:trHeight w:val="192"/>
        </w:trPr>
        <w:tc>
          <w:tcPr>
            <w:tcW w:w="798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575,773</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538,033</w:t>
            </w:r>
          </w:p>
        </w:tc>
      </w:tr>
      <w:tr>
        <w:trPr>
          <w:trHeight w:val="24"/>
        </w:trPr>
        <w:tc>
          <w:tcPr>
            <w:tcW w:w="7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for Fiscal 2024, Fiscal 2023 and Fiscal 2022 was $150.8 million, $138.5 million and $129.7 million, respectively.</w:t>
      </w:r>
    </w:p>
    <w:p>
      <w:pPr>
        <w:spacing w:after="0" w:line="24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Refer to Note 9, “</w:t>
      </w:r>
      <w:r>
        <w:rPr>
          <w:rFonts w:ascii="Arial" w:cs="Arial" w:eastAsia="Arial" w:hAnsi="Arial"/>
          <w:sz w:val="16"/>
          <w:szCs w:val="16"/>
          <w:i w:val="1"/>
          <w:iCs w:val="1"/>
          <w:u w:val="single" w:color="auto"/>
          <w:color w:val="0000FF"/>
        </w:rPr>
        <w:t>ASSET IMPAIRMENT</w:t>
      </w:r>
      <w:r>
        <w:rPr>
          <w:rFonts w:ascii="Arial" w:cs="Arial" w:eastAsia="Arial" w:hAnsi="Arial"/>
          <w:sz w:val="16"/>
          <w:szCs w:val="16"/>
          <w:color w:val="auto"/>
        </w:rPr>
        <w:t>,” for details related to property and equipment impairment charges incurred during Fiscal 2024, Fiscal 2023 and Fiscal 2022.</w:t>
      </w:r>
    </w:p>
    <w:p>
      <w:pPr>
        <w:spacing w:after="0" w:line="16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 xml:space="preserve">Refer to Note 2, </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0000FF"/>
        </w:rPr>
        <w:t>SUMMARY OF SIGNIFICANT ACCOUNTING POLICIES - Property and equipment, net</w:t>
      </w:r>
      <w:r>
        <w:rPr>
          <w:rFonts w:ascii="Arial" w:cs="Arial" w:eastAsia="Arial" w:hAnsi="Arial"/>
          <w:sz w:val="16"/>
          <w:szCs w:val="16"/>
          <w:color w:val="auto"/>
        </w:rPr>
        <w:t>,” for discussion regarding significant accounting policies related to the Company’s property and equipment, net.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C7E65"/>
        </w:rPr>
        <w:t>8. LEASES</w:t>
      </w:r>
    </w:p>
    <w:p>
      <w:pPr>
        <w:spacing w:after="0" w:line="24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is a party to leases related to its Company-operated retail stores, as well as for certain of its DCs, office space, information technology and equipment.</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summary of the Company’s operating lease costs for Fiscal 2024, Fiscal 2023 and Fiscal 2022:</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3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460" w:type="dxa"/>
            <w:vAlign w:val="bottom"/>
          </w:tcPr>
          <w:p>
            <w:pPr>
              <w:spacing w:after="0"/>
              <w:rPr>
                <w:sz w:val="16"/>
                <w:szCs w:val="16"/>
                <w:color w:val="auto"/>
              </w:rPr>
            </w:pPr>
          </w:p>
        </w:tc>
        <w:tc>
          <w:tcPr>
            <w:tcW w:w="1200" w:type="dxa"/>
            <w:vAlign w:val="bottom"/>
            <w:gridSpan w:val="2"/>
          </w:tcPr>
          <w:p>
            <w:pPr>
              <w:ind w:left="360"/>
              <w:spacing w:after="0"/>
              <w:rPr>
                <w:sz w:val="20"/>
                <w:szCs w:val="20"/>
                <w:color w:val="auto"/>
              </w:rPr>
            </w:pPr>
            <w:r>
              <w:rPr>
                <w:rFonts w:ascii="Arial" w:cs="Arial" w:eastAsia="Arial" w:hAnsi="Arial"/>
                <w:sz w:val="14"/>
                <w:szCs w:val="14"/>
                <w:color w:val="auto"/>
              </w:rPr>
              <w:t>Fiscal 2024</w:t>
            </w:r>
          </w:p>
        </w:tc>
        <w:tc>
          <w:tcPr>
            <w:tcW w:w="460" w:type="dxa"/>
            <w:vAlign w:val="bottom"/>
          </w:tcPr>
          <w:p>
            <w:pPr>
              <w:spacing w:after="0"/>
              <w:rPr>
                <w:sz w:val="16"/>
                <w:szCs w:val="16"/>
                <w:color w:val="auto"/>
              </w:rPr>
            </w:pPr>
          </w:p>
        </w:tc>
        <w:tc>
          <w:tcPr>
            <w:tcW w:w="1220" w:type="dxa"/>
            <w:vAlign w:val="bottom"/>
            <w:gridSpan w:val="2"/>
          </w:tcPr>
          <w:p>
            <w:pPr>
              <w:ind w:left="380"/>
              <w:spacing w:after="0"/>
              <w:rPr>
                <w:sz w:val="20"/>
                <w:szCs w:val="20"/>
                <w:color w:val="auto"/>
              </w:rPr>
            </w:pPr>
            <w:r>
              <w:rPr>
                <w:rFonts w:ascii="Arial" w:cs="Arial" w:eastAsia="Arial" w:hAnsi="Arial"/>
                <w:sz w:val="14"/>
                <w:szCs w:val="14"/>
                <w:color w:val="auto"/>
              </w:rPr>
              <w:t>Fiscal 2023</w:t>
            </w:r>
          </w:p>
        </w:tc>
        <w:tc>
          <w:tcPr>
            <w:tcW w:w="4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Fiscal 2022</w:t>
            </w:r>
          </w:p>
        </w:tc>
      </w:tr>
      <w:tr>
        <w:trPr>
          <w:trHeight w:val="200"/>
        </w:trPr>
        <w:tc>
          <w:tcPr>
            <w:tcW w:w="6320" w:type="dxa"/>
            <w:vAlign w:val="bottom"/>
            <w:tcBorders>
              <w:top w:val="single" w:sz="8" w:color="F5F5F5"/>
            </w:tcBorders>
            <w:shd w:val="clear" w:color="auto" w:fill="F5F5F5"/>
          </w:tcPr>
          <w:p>
            <w:pPr>
              <w:ind w:left="20"/>
              <w:spacing w:after="0" w:line="200" w:lineRule="exact"/>
              <w:rPr>
                <w:sz w:val="20"/>
                <w:szCs w:val="20"/>
                <w:color w:val="auto"/>
              </w:rPr>
            </w:pPr>
            <w:r>
              <w:rPr>
                <w:rFonts w:ascii="Arial" w:cs="Arial" w:eastAsia="Arial" w:hAnsi="Arial"/>
                <w:sz w:val="14"/>
                <w:szCs w:val="14"/>
                <w:color w:val="auto"/>
              </w:rPr>
              <w:t xml:space="preserve">Single lease cost </w:t>
            </w:r>
            <w:r>
              <w:rPr>
                <w:rFonts w:ascii="Arial" w:cs="Arial" w:eastAsia="Arial" w:hAnsi="Arial"/>
                <w:sz w:val="18"/>
                <w:szCs w:val="18"/>
                <w:color w:val="auto"/>
                <w:vertAlign w:val="superscript"/>
              </w:rPr>
              <w:t>(1)</w:t>
            </w:r>
          </w:p>
        </w:tc>
        <w:tc>
          <w:tcPr>
            <w:tcW w:w="460" w:type="dxa"/>
            <w:vAlign w:val="bottom"/>
            <w:tcBorders>
              <w:top w:val="single" w:sz="8" w:color="auto"/>
            </w:tcBorders>
            <w:shd w:val="clear" w:color="auto" w:fill="F5F5F5"/>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264,794</w:t>
            </w:r>
          </w:p>
        </w:tc>
        <w:tc>
          <w:tcPr>
            <w:tcW w:w="80" w:type="dxa"/>
            <w:vAlign w:val="bottom"/>
            <w:tcBorders>
              <w:top w:val="single" w:sz="8" w:color="F5F5F5"/>
            </w:tcBorders>
            <w:shd w:val="clear" w:color="auto" w:fill="F5F5F5"/>
          </w:tcPr>
          <w:p>
            <w:pPr>
              <w:spacing w:after="0"/>
              <w:rPr>
                <w:sz w:val="17"/>
                <w:szCs w:val="17"/>
                <w:color w:val="auto"/>
              </w:rPr>
            </w:pPr>
          </w:p>
        </w:tc>
        <w:tc>
          <w:tcPr>
            <w:tcW w:w="460" w:type="dxa"/>
            <w:vAlign w:val="bottom"/>
            <w:tcBorders>
              <w:top w:val="single" w:sz="8" w:color="auto"/>
            </w:tcBorders>
            <w:shd w:val="clear" w:color="auto" w:fill="F5F5F5"/>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248,567</w:t>
            </w:r>
          </w:p>
        </w:tc>
        <w:tc>
          <w:tcPr>
            <w:tcW w:w="100" w:type="dxa"/>
            <w:vAlign w:val="bottom"/>
            <w:tcBorders>
              <w:top w:val="single" w:sz="8" w:color="F5F5F5"/>
            </w:tcBorders>
            <w:shd w:val="clear" w:color="auto" w:fill="F5F5F5"/>
          </w:tcPr>
          <w:p>
            <w:pPr>
              <w:spacing w:after="0"/>
              <w:rPr>
                <w:sz w:val="17"/>
                <w:szCs w:val="17"/>
                <w:color w:val="auto"/>
              </w:rPr>
            </w:pPr>
          </w:p>
        </w:tc>
        <w:tc>
          <w:tcPr>
            <w:tcW w:w="460" w:type="dxa"/>
            <w:vAlign w:val="bottom"/>
            <w:tcBorders>
              <w:top w:val="single" w:sz="8" w:color="auto"/>
            </w:tcBorders>
            <w:shd w:val="clear" w:color="auto" w:fill="F5F5F5"/>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246,824</w:t>
            </w:r>
          </w:p>
        </w:tc>
      </w:tr>
      <w:tr>
        <w:trPr>
          <w:trHeight w:val="203"/>
        </w:trPr>
        <w:tc>
          <w:tcPr>
            <w:tcW w:w="632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Variable lease cost </w:t>
            </w:r>
            <w:r>
              <w:rPr>
                <w:rFonts w:ascii="Arial" w:cs="Arial" w:eastAsia="Arial" w:hAnsi="Arial"/>
                <w:sz w:val="18"/>
                <w:szCs w:val="18"/>
                <w:color w:val="auto"/>
                <w:vertAlign w:val="superscript"/>
              </w:rPr>
              <w:t>(2)</w:t>
            </w:r>
          </w:p>
        </w:tc>
        <w:tc>
          <w:tcPr>
            <w:tcW w:w="46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186,795</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168,881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150,909</w:t>
            </w:r>
          </w:p>
        </w:tc>
      </w:tr>
      <w:tr>
        <w:trPr>
          <w:trHeight w:val="203"/>
        </w:trPr>
        <w:tc>
          <w:tcPr>
            <w:tcW w:w="6320" w:type="dxa"/>
            <w:vAlign w:val="bottom"/>
            <w:shd w:val="clear" w:color="auto" w:fill="F5F5F5"/>
          </w:tcPr>
          <w:p>
            <w:pPr>
              <w:ind w:left="20"/>
              <w:spacing w:after="0" w:line="202" w:lineRule="exact"/>
              <w:rPr>
                <w:sz w:val="20"/>
                <w:szCs w:val="20"/>
                <w:color w:val="auto"/>
              </w:rPr>
            </w:pPr>
            <w:r>
              <w:rPr>
                <w:rFonts w:ascii="Arial" w:cs="Arial" w:eastAsia="Arial" w:hAnsi="Arial"/>
                <w:sz w:val="14"/>
                <w:szCs w:val="14"/>
                <w:color w:val="auto"/>
              </w:rPr>
              <w:t xml:space="preserve">Operating lease right-of-use asset impairment </w:t>
            </w:r>
            <w:r>
              <w:rPr>
                <w:rFonts w:ascii="Arial" w:cs="Arial" w:eastAsia="Arial" w:hAnsi="Arial"/>
                <w:sz w:val="18"/>
                <w:szCs w:val="18"/>
                <w:color w:val="auto"/>
                <w:vertAlign w:val="superscript"/>
              </w:rPr>
              <w:t>(3)</w:t>
            </w:r>
          </w:p>
        </w:tc>
        <w:tc>
          <w:tcPr>
            <w:tcW w:w="460" w:type="dxa"/>
            <w:vAlign w:val="bottom"/>
            <w:shd w:val="clear" w:color="auto" w:fill="F5F5F5"/>
          </w:tcPr>
          <w:p>
            <w:pPr>
              <w:spacing w:after="0"/>
              <w:rPr>
                <w:sz w:val="17"/>
                <w:szCs w:val="17"/>
                <w:color w:val="auto"/>
              </w:rPr>
            </w:pPr>
          </w:p>
        </w:tc>
        <w:tc>
          <w:tcPr>
            <w:tcW w:w="112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5,470</w:t>
            </w:r>
          </w:p>
        </w:tc>
        <w:tc>
          <w:tcPr>
            <w:tcW w:w="80" w:type="dxa"/>
            <w:vAlign w:val="bottom"/>
            <w:shd w:val="clear" w:color="auto" w:fill="F5F5F5"/>
          </w:tcPr>
          <w:p>
            <w:pPr>
              <w:spacing w:after="0"/>
              <w:rPr>
                <w:sz w:val="17"/>
                <w:szCs w:val="17"/>
                <w:color w:val="auto"/>
              </w:rPr>
            </w:pPr>
          </w:p>
        </w:tc>
        <w:tc>
          <w:tcPr>
            <w:tcW w:w="460" w:type="dxa"/>
            <w:vAlign w:val="bottom"/>
            <w:shd w:val="clear" w:color="auto" w:fill="F5F5F5"/>
          </w:tcPr>
          <w:p>
            <w:pPr>
              <w:spacing w:after="0"/>
              <w:rPr>
                <w:sz w:val="17"/>
                <w:szCs w:val="17"/>
                <w:color w:val="auto"/>
              </w:rPr>
            </w:pPr>
          </w:p>
        </w:tc>
        <w:tc>
          <w:tcPr>
            <w:tcW w:w="112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1,440</w:t>
            </w:r>
          </w:p>
        </w:tc>
        <w:tc>
          <w:tcPr>
            <w:tcW w:w="100" w:type="dxa"/>
            <w:vAlign w:val="bottom"/>
            <w:shd w:val="clear" w:color="auto" w:fill="F5F5F5"/>
          </w:tcPr>
          <w:p>
            <w:pPr>
              <w:spacing w:after="0"/>
              <w:rPr>
                <w:sz w:val="17"/>
                <w:szCs w:val="17"/>
                <w:color w:val="auto"/>
              </w:rPr>
            </w:pPr>
          </w:p>
        </w:tc>
        <w:tc>
          <w:tcPr>
            <w:tcW w:w="460" w:type="dxa"/>
            <w:vAlign w:val="bottom"/>
            <w:shd w:val="clear" w:color="auto" w:fill="F5F5F5"/>
          </w:tcPr>
          <w:p>
            <w:pPr>
              <w:spacing w:after="0"/>
              <w:rPr>
                <w:sz w:val="17"/>
                <w:szCs w:val="17"/>
                <w:color w:val="auto"/>
              </w:rPr>
            </w:pPr>
          </w:p>
        </w:tc>
        <w:tc>
          <w:tcPr>
            <w:tcW w:w="1120" w:type="dxa"/>
            <w:vAlign w:val="bottom"/>
            <w:shd w:val="clear" w:color="auto" w:fill="F5F5F5"/>
          </w:tcPr>
          <w:p>
            <w:pPr>
              <w:jc w:val="right"/>
              <w:spacing w:after="0"/>
              <w:rPr>
                <w:sz w:val="20"/>
                <w:szCs w:val="20"/>
                <w:color w:val="auto"/>
              </w:rPr>
            </w:pPr>
            <w:r>
              <w:rPr>
                <w:rFonts w:ascii="Arial" w:cs="Arial" w:eastAsia="Arial" w:hAnsi="Arial"/>
                <w:sz w:val="14"/>
                <w:szCs w:val="14"/>
                <w:color w:val="auto"/>
              </w:rPr>
              <w:t>6,248</w:t>
            </w:r>
          </w:p>
        </w:tc>
      </w:tr>
      <w:tr>
        <w:trPr>
          <w:trHeight w:val="198"/>
        </w:trPr>
        <w:tc>
          <w:tcPr>
            <w:tcW w:w="6320" w:type="dxa"/>
            <w:vAlign w:val="bottom"/>
            <w:tcBorders>
              <w:bottom w:val="single" w:sz="8" w:color="F5F5F5"/>
            </w:tcBorders>
          </w:tcPr>
          <w:p>
            <w:pPr>
              <w:ind w:left="20"/>
              <w:spacing w:after="0"/>
              <w:rPr>
                <w:sz w:val="20"/>
                <w:szCs w:val="20"/>
                <w:color w:val="auto"/>
              </w:rPr>
            </w:pPr>
            <w:r>
              <w:rPr>
                <w:rFonts w:ascii="Arial" w:cs="Arial" w:eastAsia="Arial" w:hAnsi="Arial"/>
                <w:sz w:val="14"/>
                <w:szCs w:val="14"/>
                <w:color w:val="auto"/>
              </w:rPr>
              <w:t>Sublease income</w:t>
            </w:r>
          </w:p>
        </w:tc>
        <w:tc>
          <w:tcPr>
            <w:tcW w:w="4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(3,928)</w:t>
            </w:r>
          </w:p>
        </w:tc>
        <w:tc>
          <w:tcPr>
            <w:tcW w:w="80" w:type="dxa"/>
            <w:vAlign w:val="bottom"/>
            <w:tcBorders>
              <w:bottom w:val="single" w:sz="8" w:color="F5F5F5"/>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(3,949)</w:t>
            </w:r>
          </w:p>
        </w:tc>
        <w:tc>
          <w:tcPr>
            <w:tcW w:w="100" w:type="dxa"/>
            <w:vAlign w:val="bottom"/>
            <w:tcBorders>
              <w:bottom w:val="single" w:sz="8" w:color="F5F5F5"/>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(3,826)</w:t>
            </w:r>
          </w:p>
        </w:tc>
      </w:tr>
      <w:tr>
        <w:trPr>
          <w:trHeight w:val="225"/>
        </w:trPr>
        <w:tc>
          <w:tcPr>
            <w:tcW w:w="6320" w:type="dxa"/>
            <w:vAlign w:val="bottom"/>
            <w:tcBorders>
              <w:bottom w:val="single" w:sz="8" w:color="F5F5F5"/>
            </w:tcBorders>
            <w:shd w:val="clear" w:color="auto" w:fill="F5F5F5"/>
          </w:tcPr>
          <w:p>
            <w:pPr>
              <w:ind w:left="20"/>
              <w:spacing w:after="0"/>
              <w:rPr>
                <w:sz w:val="20"/>
                <w:szCs w:val="20"/>
                <w:color w:val="auto"/>
              </w:rPr>
            </w:pPr>
            <w:r>
              <w:rPr>
                <w:rFonts w:ascii="Arial" w:cs="Arial" w:eastAsia="Arial" w:hAnsi="Arial"/>
                <w:sz w:val="14"/>
                <w:szCs w:val="14"/>
                <w:color w:val="auto"/>
              </w:rPr>
              <w:t>Total operating lease cost</w:t>
            </w:r>
          </w:p>
        </w:tc>
        <w:tc>
          <w:tcPr>
            <w:tcW w:w="460" w:type="dxa"/>
            <w:vAlign w:val="bottom"/>
            <w:tcBorders>
              <w:bottom w:val="single" w:sz="8" w:color="auto"/>
            </w:tcBorders>
            <w:shd w:val="clear" w:color="auto" w:fill="F5F5F5"/>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453,131</w:t>
            </w:r>
          </w:p>
        </w:tc>
        <w:tc>
          <w:tcPr>
            <w:tcW w:w="80" w:type="dxa"/>
            <w:vAlign w:val="bottom"/>
            <w:tcBorders>
              <w:bottom w:val="single" w:sz="8" w:color="F5F5F5"/>
            </w:tcBorders>
            <w:shd w:val="clear" w:color="auto" w:fill="F5F5F5"/>
          </w:tcPr>
          <w:p>
            <w:pPr>
              <w:spacing w:after="0"/>
              <w:rPr>
                <w:sz w:val="19"/>
                <w:szCs w:val="19"/>
                <w:color w:val="auto"/>
              </w:rPr>
            </w:pPr>
          </w:p>
        </w:tc>
        <w:tc>
          <w:tcPr>
            <w:tcW w:w="460" w:type="dxa"/>
            <w:vAlign w:val="bottom"/>
            <w:tcBorders>
              <w:bottom w:val="single" w:sz="8" w:color="auto"/>
            </w:tcBorders>
            <w:shd w:val="clear" w:color="auto" w:fill="F5F5F5"/>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414,939</w:t>
            </w:r>
          </w:p>
        </w:tc>
        <w:tc>
          <w:tcPr>
            <w:tcW w:w="100" w:type="dxa"/>
            <w:vAlign w:val="bottom"/>
            <w:tcBorders>
              <w:bottom w:val="single" w:sz="8" w:color="F5F5F5"/>
            </w:tcBorders>
            <w:shd w:val="clear" w:color="auto" w:fill="F5F5F5"/>
          </w:tcPr>
          <w:p>
            <w:pPr>
              <w:spacing w:after="0"/>
              <w:rPr>
                <w:sz w:val="19"/>
                <w:szCs w:val="19"/>
                <w:color w:val="auto"/>
              </w:rPr>
            </w:pPr>
          </w:p>
        </w:tc>
        <w:tc>
          <w:tcPr>
            <w:tcW w:w="460" w:type="dxa"/>
            <w:vAlign w:val="bottom"/>
            <w:tcBorders>
              <w:bottom w:val="single" w:sz="8" w:color="auto"/>
            </w:tcBorders>
            <w:shd w:val="clear" w:color="auto" w:fill="F5F5F5"/>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400,155</w:t>
            </w:r>
          </w:p>
        </w:tc>
      </w:tr>
      <w:tr>
        <w:trPr>
          <w:trHeight w:val="20"/>
        </w:trPr>
        <w:tc>
          <w:tcPr>
            <w:tcW w:w="6320" w:type="dxa"/>
            <w:vAlign w:val="bottom"/>
            <w:tcBorders>
              <w:top w:val="single" w:sz="8" w:color="F5F5F5"/>
            </w:tcBorders>
          </w:tcPr>
          <w:p>
            <w:pPr>
              <w:spacing w:after="0" w:line="20" w:lineRule="exact"/>
              <w:rPr>
                <w:sz w:val="1"/>
                <w:szCs w:val="1"/>
                <w:color w:val="auto"/>
              </w:rPr>
            </w:pPr>
          </w:p>
        </w:tc>
        <w:tc>
          <w:tcPr>
            <w:tcW w:w="460" w:type="dxa"/>
            <w:vAlign w:val="bottom"/>
            <w:tcBorders>
              <w:top w:val="single" w:sz="8" w:color="F5F5F5"/>
              <w:bottom w:val="single" w:sz="8" w:color="auto"/>
            </w:tcBorders>
          </w:tcPr>
          <w:p>
            <w:pPr>
              <w:spacing w:after="0" w:line="20" w:lineRule="exact"/>
              <w:rPr>
                <w:sz w:val="1"/>
                <w:szCs w:val="1"/>
                <w:color w:val="auto"/>
              </w:rPr>
            </w:pPr>
          </w:p>
        </w:tc>
        <w:tc>
          <w:tcPr>
            <w:tcW w:w="1120" w:type="dxa"/>
            <w:vAlign w:val="bottom"/>
            <w:tcBorders>
              <w:top w:val="single" w:sz="8" w:color="F5F5F5"/>
              <w:bottom w:val="single" w:sz="8" w:color="auto"/>
            </w:tcBorders>
          </w:tcPr>
          <w:p>
            <w:pPr>
              <w:spacing w:after="0" w:line="20" w:lineRule="exact"/>
              <w:rPr>
                <w:sz w:val="1"/>
                <w:szCs w:val="1"/>
                <w:color w:val="auto"/>
              </w:rPr>
            </w:pPr>
          </w:p>
        </w:tc>
        <w:tc>
          <w:tcPr>
            <w:tcW w:w="80" w:type="dxa"/>
            <w:vAlign w:val="bottom"/>
            <w:tcBorders>
              <w:top w:val="single" w:sz="8" w:color="F5F5F5"/>
            </w:tcBorders>
          </w:tcPr>
          <w:p>
            <w:pPr>
              <w:spacing w:after="0" w:line="20" w:lineRule="exact"/>
              <w:rPr>
                <w:sz w:val="1"/>
                <w:szCs w:val="1"/>
                <w:color w:val="auto"/>
              </w:rPr>
            </w:pPr>
          </w:p>
        </w:tc>
        <w:tc>
          <w:tcPr>
            <w:tcW w:w="460" w:type="dxa"/>
            <w:vAlign w:val="bottom"/>
            <w:tcBorders>
              <w:top w:val="single" w:sz="8" w:color="F5F5F5"/>
              <w:bottom w:val="single" w:sz="8" w:color="auto"/>
            </w:tcBorders>
          </w:tcPr>
          <w:p>
            <w:pPr>
              <w:spacing w:after="0" w:line="20" w:lineRule="exact"/>
              <w:rPr>
                <w:sz w:val="1"/>
                <w:szCs w:val="1"/>
                <w:color w:val="auto"/>
              </w:rPr>
            </w:pPr>
          </w:p>
        </w:tc>
        <w:tc>
          <w:tcPr>
            <w:tcW w:w="1120" w:type="dxa"/>
            <w:vAlign w:val="bottom"/>
            <w:tcBorders>
              <w:top w:val="single" w:sz="8" w:color="F5F5F5"/>
              <w:bottom w:val="single" w:sz="8" w:color="auto"/>
            </w:tcBorders>
          </w:tcPr>
          <w:p>
            <w:pPr>
              <w:spacing w:after="0" w:line="20" w:lineRule="exact"/>
              <w:rPr>
                <w:sz w:val="1"/>
                <w:szCs w:val="1"/>
                <w:color w:val="auto"/>
              </w:rPr>
            </w:pPr>
          </w:p>
        </w:tc>
        <w:tc>
          <w:tcPr>
            <w:tcW w:w="100" w:type="dxa"/>
            <w:vAlign w:val="bottom"/>
            <w:tcBorders>
              <w:top w:val="single" w:sz="8" w:color="F5F5F5"/>
            </w:tcBorders>
          </w:tcPr>
          <w:p>
            <w:pPr>
              <w:spacing w:after="0" w:line="20" w:lineRule="exact"/>
              <w:rPr>
                <w:sz w:val="1"/>
                <w:szCs w:val="1"/>
                <w:color w:val="auto"/>
              </w:rPr>
            </w:pPr>
          </w:p>
        </w:tc>
        <w:tc>
          <w:tcPr>
            <w:tcW w:w="460" w:type="dxa"/>
            <w:vAlign w:val="bottom"/>
            <w:tcBorders>
              <w:top w:val="single" w:sz="8" w:color="F5F5F5"/>
              <w:bottom w:val="single" w:sz="8" w:color="auto"/>
            </w:tcBorders>
          </w:tcPr>
          <w:p>
            <w:pPr>
              <w:spacing w:after="0" w:line="20" w:lineRule="exact"/>
              <w:rPr>
                <w:sz w:val="1"/>
                <w:szCs w:val="1"/>
                <w:color w:val="auto"/>
              </w:rPr>
            </w:pPr>
          </w:p>
        </w:tc>
        <w:tc>
          <w:tcPr>
            <w:tcW w:w="1120" w:type="dxa"/>
            <w:vAlign w:val="bottom"/>
            <w:tcBorders>
              <w:top w:val="single" w:sz="8" w:color="F5F5F5"/>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260" w:hanging="252"/>
        <w:spacing w:after="0"/>
        <w:tabs>
          <w:tab w:leader="none" w:pos="260" w:val="left"/>
        </w:tabs>
        <w:numPr>
          <w:ilvl w:val="0"/>
          <w:numId w:val="61"/>
        </w:numPr>
        <w:rPr>
          <w:rFonts w:ascii="Arial" w:cs="Arial" w:eastAsia="Arial" w:hAnsi="Arial"/>
          <w:sz w:val="18"/>
          <w:szCs w:val="18"/>
          <w:color w:val="auto"/>
          <w:vertAlign w:val="superscript"/>
        </w:rPr>
      </w:pPr>
      <w:r>
        <w:rPr>
          <w:rFonts w:ascii="Arial" w:cs="Arial" w:eastAsia="Arial" w:hAnsi="Arial"/>
          <w:sz w:val="13"/>
          <w:szCs w:val="13"/>
          <w:color w:val="auto"/>
        </w:rPr>
        <w:t>Includes amortization and interest expense associated with operating lease right-of-use assets and the impact from remeasurement of operating lease liabilities.</w:t>
      </w:r>
    </w:p>
    <w:p>
      <w:pPr>
        <w:ind w:left="260" w:hanging="252"/>
        <w:spacing w:after="0" w:line="218" w:lineRule="auto"/>
        <w:tabs>
          <w:tab w:leader="none" w:pos="259" w:val="left"/>
        </w:tabs>
        <w:numPr>
          <w:ilvl w:val="0"/>
          <w:numId w:val="61"/>
        </w:numPr>
        <w:rPr>
          <w:rFonts w:ascii="Arial" w:cs="Arial" w:eastAsia="Arial" w:hAnsi="Arial"/>
          <w:sz w:val="18"/>
          <w:szCs w:val="18"/>
          <w:color w:val="auto"/>
          <w:vertAlign w:val="superscript"/>
        </w:rPr>
      </w:pPr>
      <w:r>
        <w:rPr>
          <w:rFonts w:ascii="Arial" w:cs="Arial" w:eastAsia="Arial" w:hAnsi="Arial"/>
          <w:sz w:val="13"/>
          <w:szCs w:val="13"/>
          <w:color w:val="auto"/>
        </w:rPr>
        <w:t>Includes variable payments related to both lease and nonlease components, such as contingent rent payments made by the Company based on performance, and payments related to taxes, insurance, and maintenance costs.</w:t>
      </w:r>
    </w:p>
    <w:p>
      <w:pPr>
        <w:ind w:left="260" w:hanging="252"/>
        <w:spacing w:after="0" w:line="190" w:lineRule="auto"/>
        <w:tabs>
          <w:tab w:leader="none" w:pos="260" w:val="left"/>
        </w:tabs>
        <w:numPr>
          <w:ilvl w:val="0"/>
          <w:numId w:val="61"/>
        </w:numPr>
        <w:rPr>
          <w:rFonts w:ascii="Arial" w:cs="Arial" w:eastAsia="Arial" w:hAnsi="Arial"/>
          <w:sz w:val="18"/>
          <w:szCs w:val="18"/>
          <w:color w:val="auto"/>
          <w:vertAlign w:val="superscript"/>
        </w:rPr>
      </w:pPr>
      <w:r>
        <w:rPr>
          <w:rFonts w:ascii="Arial" w:cs="Arial" w:eastAsia="Arial" w:hAnsi="Arial"/>
          <w:sz w:val="13"/>
          <w:szCs w:val="13"/>
          <w:color w:val="auto"/>
        </w:rPr>
        <w:t>Refer to Note 8, “</w:t>
      </w:r>
      <w:r>
        <w:rPr>
          <w:rFonts w:ascii="Arial" w:cs="Arial" w:eastAsia="Arial" w:hAnsi="Arial"/>
          <w:sz w:val="13"/>
          <w:szCs w:val="13"/>
          <w:i w:val="1"/>
          <w:iCs w:val="1"/>
          <w:u w:val="single" w:color="auto"/>
          <w:color w:val="0000FF"/>
        </w:rPr>
        <w:t>ASSET IMPAIRMENT</w:t>
      </w:r>
      <w:r>
        <w:rPr>
          <w:rFonts w:ascii="Arial" w:cs="Arial" w:eastAsia="Arial" w:hAnsi="Arial"/>
          <w:sz w:val="13"/>
          <w:szCs w:val="13"/>
          <w:color w:val="auto"/>
        </w:rPr>
        <w:t>,” for details related to operating lease right-of-use asset impairment charges.</w:t>
      </w:r>
    </w:p>
    <w:p>
      <w:pPr>
        <w:spacing w:after="0" w:line="200" w:lineRule="exact"/>
        <w:rPr>
          <w:sz w:val="20"/>
          <w:szCs w:val="20"/>
          <w:color w:val="auto"/>
        </w:rPr>
      </w:pPr>
    </w:p>
    <w:p>
      <w:pPr>
        <w:spacing w:after="0" w:line="2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following table provides the weighted-average remaining lease term of the Company’s operating leases and the weighted-average discount rate used to calculate the Company’s operating lease liabilities as of February 1, 2025 and February 3, 2024:</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800" w:type="dxa"/>
            <w:vAlign w:val="bottom"/>
          </w:tcPr>
          <w:p>
            <w:pPr>
              <w:spacing w:after="0"/>
              <w:rPr>
                <w:sz w:val="16"/>
                <w:szCs w:val="16"/>
                <w:color w:val="auto"/>
              </w:rPr>
            </w:pPr>
          </w:p>
        </w:tc>
        <w:tc>
          <w:tcPr>
            <w:tcW w:w="1760" w:type="dxa"/>
            <w:vAlign w:val="bottom"/>
            <w:gridSpan w:val="2"/>
          </w:tcPr>
          <w:p>
            <w:pPr>
              <w:ind w:left="560"/>
              <w:spacing w:after="0"/>
              <w:rPr>
                <w:sz w:val="20"/>
                <w:szCs w:val="20"/>
                <w:color w:val="auto"/>
              </w:rPr>
            </w:pPr>
            <w:r>
              <w:rPr>
                <w:rFonts w:ascii="Arial" w:cs="Arial" w:eastAsia="Arial" w:hAnsi="Arial"/>
                <w:sz w:val="14"/>
                <w:szCs w:val="14"/>
                <w:color w:val="auto"/>
              </w:rPr>
              <w:t>February 1, 2025</w:t>
            </w:r>
          </w:p>
        </w:tc>
        <w:tc>
          <w:tcPr>
            <w:tcW w:w="1680" w:type="dxa"/>
            <w:vAlign w:val="bottom"/>
          </w:tcPr>
          <w:p>
            <w:pPr>
              <w:jc w:val="right"/>
              <w:spacing w:after="0"/>
              <w:rPr>
                <w:sz w:val="20"/>
                <w:szCs w:val="20"/>
                <w:color w:val="auto"/>
              </w:rPr>
            </w:pPr>
            <w:r>
              <w:rPr>
                <w:rFonts w:ascii="Arial" w:cs="Arial" w:eastAsia="Arial" w:hAnsi="Arial"/>
                <w:sz w:val="14"/>
                <w:szCs w:val="14"/>
                <w:color w:val="auto"/>
              </w:rPr>
              <w:t>February 3, 2024</w:t>
            </w:r>
          </w:p>
        </w:tc>
      </w:tr>
      <w:tr>
        <w:trPr>
          <w:trHeight w:val="200"/>
        </w:trPr>
        <w:tc>
          <w:tcPr>
            <w:tcW w:w="7800" w:type="dxa"/>
            <w:vAlign w:val="bottom"/>
            <w:tcBorders>
              <w:top w:val="single" w:sz="8" w:color="F5F5F5"/>
            </w:tcBorders>
            <w:shd w:val="clear" w:color="auto" w:fill="F5F5F5"/>
          </w:tcPr>
          <w:p>
            <w:pPr>
              <w:ind w:left="20"/>
              <w:spacing w:after="0"/>
              <w:rPr>
                <w:sz w:val="20"/>
                <w:szCs w:val="20"/>
                <w:color w:val="auto"/>
              </w:rPr>
            </w:pPr>
            <w:r>
              <w:rPr>
                <w:rFonts w:ascii="Arial" w:cs="Arial" w:eastAsia="Arial" w:hAnsi="Arial"/>
                <w:sz w:val="14"/>
                <w:szCs w:val="14"/>
                <w:color w:val="auto"/>
              </w:rPr>
              <w:t>Weighted-average remaining lease term (years)</w:t>
            </w:r>
          </w:p>
        </w:tc>
        <w:tc>
          <w:tcPr>
            <w:tcW w:w="168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4.9</w:t>
            </w:r>
          </w:p>
        </w:tc>
        <w:tc>
          <w:tcPr>
            <w:tcW w:w="80" w:type="dxa"/>
            <w:vAlign w:val="bottom"/>
            <w:tcBorders>
              <w:top w:val="single" w:sz="8" w:color="F5F5F5"/>
            </w:tcBorders>
            <w:shd w:val="clear" w:color="auto" w:fill="F5F5F5"/>
          </w:tcPr>
          <w:p>
            <w:pPr>
              <w:spacing w:after="0"/>
              <w:rPr>
                <w:sz w:val="17"/>
                <w:szCs w:val="17"/>
                <w:color w:val="auto"/>
              </w:rPr>
            </w:pPr>
          </w:p>
        </w:tc>
        <w:tc>
          <w:tcPr>
            <w:tcW w:w="168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4.7</w:t>
            </w:r>
          </w:p>
        </w:tc>
      </w:tr>
      <w:tr>
        <w:trPr>
          <w:trHeight w:val="195"/>
        </w:trPr>
        <w:tc>
          <w:tcPr>
            <w:tcW w:w="7800" w:type="dxa"/>
            <w:vAlign w:val="bottom"/>
          </w:tcPr>
          <w:p>
            <w:pPr>
              <w:ind w:left="20"/>
              <w:spacing w:after="0"/>
              <w:rPr>
                <w:sz w:val="20"/>
                <w:szCs w:val="20"/>
                <w:color w:val="auto"/>
              </w:rPr>
            </w:pPr>
            <w:r>
              <w:rPr>
                <w:rFonts w:ascii="Arial" w:cs="Arial" w:eastAsia="Arial" w:hAnsi="Arial"/>
                <w:sz w:val="14"/>
                <w:szCs w:val="14"/>
                <w:color w:val="auto"/>
              </w:rPr>
              <w:t>Weighted-average discount rate</w:t>
            </w:r>
          </w:p>
        </w:tc>
        <w:tc>
          <w:tcPr>
            <w:tcW w:w="1680" w:type="dxa"/>
            <w:vAlign w:val="bottom"/>
          </w:tcPr>
          <w:p>
            <w:pPr>
              <w:jc w:val="right"/>
              <w:spacing w:after="0"/>
              <w:rPr>
                <w:sz w:val="20"/>
                <w:szCs w:val="20"/>
                <w:color w:val="auto"/>
              </w:rPr>
            </w:pPr>
            <w:r>
              <w:rPr>
                <w:rFonts w:ascii="Arial" w:cs="Arial" w:eastAsia="Arial" w:hAnsi="Arial"/>
                <w:sz w:val="14"/>
                <w:szCs w:val="14"/>
                <w:color w:val="auto"/>
              </w:rPr>
              <w:t>6.8 %</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6.7 %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64</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sz w:val="20"/>
          <w:szCs w:val="20"/>
          <w:color w:val="auto"/>
        </w:rPr>
      </w:pPr>
      <w:r>
        <w:rPr>
          <w:rFonts w:ascii="Arial" w:cs="Arial" w:eastAsia="Arial" w:hAnsi="Arial"/>
          <w:sz w:val="16"/>
          <w:szCs w:val="16"/>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Abercrombie &amp; Fitch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maturity analysis of the Company’s operating lease liabilities, based on undiscounted cash flows, as of February 1, 2025:</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640" w:type="dxa"/>
            <w:vAlign w:val="bottom"/>
            <w:tcBorders>
              <w:bottom w:val="single" w:sz="8" w:color="F5F5F5"/>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February 1, 2025</w:t>
            </w:r>
          </w:p>
        </w:tc>
      </w:tr>
      <w:tr>
        <w:trPr>
          <w:trHeight w:val="200"/>
        </w:trPr>
        <w:tc>
          <w:tcPr>
            <w:tcW w:w="9640" w:type="dxa"/>
            <w:vAlign w:val="bottom"/>
            <w:shd w:val="clear" w:color="auto" w:fill="F5F5F5"/>
          </w:tcPr>
          <w:p>
            <w:pPr>
              <w:ind w:left="20"/>
              <w:spacing w:after="0"/>
              <w:rPr>
                <w:sz w:val="20"/>
                <w:szCs w:val="20"/>
                <w:color w:val="auto"/>
              </w:rPr>
            </w:pPr>
            <w:r>
              <w:rPr>
                <w:rFonts w:ascii="Arial" w:cs="Arial" w:eastAsia="Arial" w:hAnsi="Arial"/>
                <w:sz w:val="14"/>
                <w:szCs w:val="14"/>
                <w:color w:val="auto"/>
              </w:rPr>
              <w:t>Fiscal 2025</w:t>
            </w:r>
          </w:p>
        </w:tc>
        <w:tc>
          <w:tcPr>
            <w:tcW w:w="280" w:type="dxa"/>
            <w:vAlign w:val="bottom"/>
            <w:shd w:val="clear" w:color="auto" w:fill="F5F5F5"/>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267,902</w:t>
            </w:r>
          </w:p>
        </w:tc>
      </w:tr>
      <w:tr>
        <w:trPr>
          <w:trHeight w:val="198"/>
        </w:trPr>
        <w:tc>
          <w:tcPr>
            <w:tcW w:w="9640" w:type="dxa"/>
            <w:vAlign w:val="bottom"/>
          </w:tcPr>
          <w:p>
            <w:pPr>
              <w:ind w:left="20"/>
              <w:spacing w:after="0"/>
              <w:rPr>
                <w:sz w:val="20"/>
                <w:szCs w:val="20"/>
                <w:color w:val="auto"/>
              </w:rPr>
            </w:pPr>
            <w:r>
              <w:rPr>
                <w:rFonts w:ascii="Arial" w:cs="Arial" w:eastAsia="Arial" w:hAnsi="Arial"/>
                <w:sz w:val="14"/>
                <w:szCs w:val="14"/>
                <w:color w:val="auto"/>
              </w:rPr>
              <w:t>Fiscal 2026</w:t>
            </w:r>
          </w:p>
        </w:tc>
        <w:tc>
          <w:tcPr>
            <w:tcW w:w="280" w:type="dxa"/>
            <w:vAlign w:val="bottom"/>
          </w:tcPr>
          <w:p>
            <w:pPr>
              <w:spacing w:after="0"/>
              <w:rPr>
                <w:sz w:val="17"/>
                <w:szCs w:val="17"/>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251,475</w:t>
            </w:r>
          </w:p>
        </w:tc>
      </w:tr>
      <w:tr>
        <w:trPr>
          <w:trHeight w:val="207"/>
        </w:trPr>
        <w:tc>
          <w:tcPr>
            <w:tcW w:w="9640" w:type="dxa"/>
            <w:vAlign w:val="bottom"/>
            <w:shd w:val="clear" w:color="auto" w:fill="F5F5F5"/>
          </w:tcPr>
          <w:p>
            <w:pPr>
              <w:ind w:left="20"/>
              <w:spacing w:after="0"/>
              <w:rPr>
                <w:sz w:val="20"/>
                <w:szCs w:val="20"/>
                <w:color w:val="auto"/>
              </w:rPr>
            </w:pPr>
            <w:r>
              <w:rPr>
                <w:rFonts w:ascii="Arial" w:cs="Arial" w:eastAsia="Arial" w:hAnsi="Arial"/>
                <w:sz w:val="14"/>
                <w:szCs w:val="14"/>
                <w:color w:val="auto"/>
              </w:rPr>
              <w:t>Fiscal 2027</w:t>
            </w:r>
          </w:p>
        </w:tc>
        <w:tc>
          <w:tcPr>
            <w:tcW w:w="280" w:type="dxa"/>
            <w:vAlign w:val="bottom"/>
            <w:shd w:val="clear" w:color="auto" w:fill="F5F5F5"/>
          </w:tcPr>
          <w:p>
            <w:pPr>
              <w:spacing w:after="0"/>
              <w:rPr>
                <w:sz w:val="17"/>
                <w:szCs w:val="17"/>
                <w:color w:val="auto"/>
              </w:rPr>
            </w:pPr>
          </w:p>
        </w:tc>
        <w:tc>
          <w:tcPr>
            <w:tcW w:w="130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195,994</w:t>
            </w:r>
          </w:p>
        </w:tc>
      </w:tr>
      <w:tr>
        <w:trPr>
          <w:trHeight w:val="198"/>
        </w:trPr>
        <w:tc>
          <w:tcPr>
            <w:tcW w:w="9640" w:type="dxa"/>
            <w:vAlign w:val="bottom"/>
          </w:tcPr>
          <w:p>
            <w:pPr>
              <w:ind w:left="20"/>
              <w:spacing w:after="0"/>
              <w:rPr>
                <w:sz w:val="20"/>
                <w:szCs w:val="20"/>
                <w:color w:val="auto"/>
              </w:rPr>
            </w:pPr>
            <w:r>
              <w:rPr>
                <w:rFonts w:ascii="Arial" w:cs="Arial" w:eastAsia="Arial" w:hAnsi="Arial"/>
                <w:sz w:val="14"/>
                <w:szCs w:val="14"/>
                <w:color w:val="auto"/>
              </w:rPr>
              <w:t>Fiscal 2028</w:t>
            </w:r>
          </w:p>
        </w:tc>
        <w:tc>
          <w:tcPr>
            <w:tcW w:w="280" w:type="dxa"/>
            <w:vAlign w:val="bottom"/>
          </w:tcPr>
          <w:p>
            <w:pPr>
              <w:spacing w:after="0"/>
              <w:rPr>
                <w:sz w:val="17"/>
                <w:szCs w:val="17"/>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158,969</w:t>
            </w:r>
          </w:p>
        </w:tc>
      </w:tr>
      <w:tr>
        <w:trPr>
          <w:trHeight w:val="207"/>
        </w:trPr>
        <w:tc>
          <w:tcPr>
            <w:tcW w:w="9640" w:type="dxa"/>
            <w:vAlign w:val="bottom"/>
            <w:shd w:val="clear" w:color="auto" w:fill="F5F5F5"/>
          </w:tcPr>
          <w:p>
            <w:pPr>
              <w:ind w:left="20"/>
              <w:spacing w:after="0"/>
              <w:rPr>
                <w:sz w:val="20"/>
                <w:szCs w:val="20"/>
                <w:color w:val="auto"/>
              </w:rPr>
            </w:pPr>
            <w:r>
              <w:rPr>
                <w:rFonts w:ascii="Arial" w:cs="Arial" w:eastAsia="Arial" w:hAnsi="Arial"/>
                <w:sz w:val="14"/>
                <w:szCs w:val="14"/>
                <w:color w:val="auto"/>
              </w:rPr>
              <w:t>Fiscal 2029</w:t>
            </w:r>
          </w:p>
        </w:tc>
        <w:tc>
          <w:tcPr>
            <w:tcW w:w="280" w:type="dxa"/>
            <w:vAlign w:val="bottom"/>
            <w:shd w:val="clear" w:color="auto" w:fill="F5F5F5"/>
          </w:tcPr>
          <w:p>
            <w:pPr>
              <w:spacing w:after="0"/>
              <w:rPr>
                <w:sz w:val="17"/>
                <w:szCs w:val="17"/>
                <w:color w:val="auto"/>
              </w:rPr>
            </w:pPr>
          </w:p>
        </w:tc>
        <w:tc>
          <w:tcPr>
            <w:tcW w:w="130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111,943</w:t>
            </w:r>
          </w:p>
        </w:tc>
      </w:tr>
      <w:tr>
        <w:trPr>
          <w:trHeight w:val="198"/>
        </w:trPr>
        <w:tc>
          <w:tcPr>
            <w:tcW w:w="9640" w:type="dxa"/>
            <w:vAlign w:val="bottom"/>
            <w:tcBorders>
              <w:bottom w:val="single" w:sz="8" w:color="F5F5F5"/>
            </w:tcBorders>
          </w:tcPr>
          <w:p>
            <w:pPr>
              <w:ind w:left="20"/>
              <w:spacing w:after="0"/>
              <w:rPr>
                <w:sz w:val="20"/>
                <w:szCs w:val="20"/>
                <w:color w:val="auto"/>
              </w:rPr>
            </w:pPr>
            <w:r>
              <w:rPr>
                <w:rFonts w:ascii="Arial" w:cs="Arial" w:eastAsia="Arial" w:hAnsi="Arial"/>
                <w:sz w:val="14"/>
                <w:szCs w:val="14"/>
                <w:color w:val="auto"/>
              </w:rPr>
              <w:t>Fiscal 2030 and thereafter</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143,695</w:t>
            </w:r>
          </w:p>
        </w:tc>
      </w:tr>
      <w:tr>
        <w:trPr>
          <w:trHeight w:val="200"/>
        </w:trPr>
        <w:tc>
          <w:tcPr>
            <w:tcW w:w="9640" w:type="dxa"/>
            <w:vAlign w:val="bottom"/>
            <w:shd w:val="clear" w:color="auto" w:fill="F5F5F5"/>
          </w:tcPr>
          <w:p>
            <w:pPr>
              <w:ind w:left="20"/>
              <w:spacing w:after="0"/>
              <w:rPr>
                <w:sz w:val="20"/>
                <w:szCs w:val="20"/>
                <w:color w:val="auto"/>
              </w:rPr>
            </w:pPr>
            <w:r>
              <w:rPr>
                <w:rFonts w:ascii="Arial" w:cs="Arial" w:eastAsia="Arial" w:hAnsi="Arial"/>
                <w:sz w:val="14"/>
                <w:szCs w:val="14"/>
                <w:color w:val="auto"/>
              </w:rPr>
              <w:t>Total undiscounted operating lease payments</w:t>
            </w:r>
          </w:p>
        </w:tc>
        <w:tc>
          <w:tcPr>
            <w:tcW w:w="280" w:type="dxa"/>
            <w:vAlign w:val="bottom"/>
            <w:shd w:val="clear" w:color="auto" w:fill="F5F5F5"/>
          </w:tcPr>
          <w:p>
            <w:pPr>
              <w:spacing w:after="0"/>
              <w:rPr>
                <w:sz w:val="17"/>
                <w:szCs w:val="17"/>
                <w:color w:val="auto"/>
              </w:rPr>
            </w:pPr>
          </w:p>
        </w:tc>
        <w:tc>
          <w:tcPr>
            <w:tcW w:w="130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1,129,978</w:t>
            </w:r>
          </w:p>
        </w:tc>
      </w:tr>
      <w:tr>
        <w:trPr>
          <w:trHeight w:val="198"/>
        </w:trPr>
        <w:tc>
          <w:tcPr>
            <w:tcW w:w="9640" w:type="dxa"/>
            <w:vAlign w:val="bottom"/>
            <w:tcBorders>
              <w:bottom w:val="single" w:sz="8" w:color="F5F5F5"/>
            </w:tcBorders>
          </w:tcPr>
          <w:p>
            <w:pPr>
              <w:ind w:left="20"/>
              <w:spacing w:after="0"/>
              <w:rPr>
                <w:sz w:val="20"/>
                <w:szCs w:val="20"/>
                <w:color w:val="auto"/>
              </w:rPr>
            </w:pPr>
            <w:r>
              <w:rPr>
                <w:rFonts w:ascii="Arial" w:cs="Arial" w:eastAsia="Arial" w:hAnsi="Arial"/>
                <w:sz w:val="14"/>
                <w:szCs w:val="14"/>
                <w:color w:val="auto"/>
              </w:rPr>
              <w:t>Less: Imputed interest</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(178,365)</w:t>
            </w:r>
          </w:p>
        </w:tc>
      </w:tr>
      <w:tr>
        <w:trPr>
          <w:trHeight w:val="221"/>
        </w:trPr>
        <w:tc>
          <w:tcPr>
            <w:tcW w:w="9640" w:type="dxa"/>
            <w:vAlign w:val="bottom"/>
            <w:tcBorders>
              <w:bottom w:val="single" w:sz="8" w:color="F5F5F5"/>
            </w:tcBorders>
            <w:shd w:val="clear" w:color="auto" w:fill="F5F5F5"/>
          </w:tcPr>
          <w:p>
            <w:pPr>
              <w:ind w:left="20"/>
              <w:spacing w:after="0"/>
              <w:rPr>
                <w:sz w:val="20"/>
                <w:szCs w:val="20"/>
                <w:color w:val="auto"/>
              </w:rPr>
            </w:pPr>
            <w:r>
              <w:rPr>
                <w:rFonts w:ascii="Arial" w:cs="Arial" w:eastAsia="Arial" w:hAnsi="Arial"/>
                <w:sz w:val="14"/>
                <w:szCs w:val="14"/>
                <w:color w:val="auto"/>
              </w:rPr>
              <w:t>Present value of operating lease liabilities</w:t>
            </w:r>
          </w:p>
        </w:tc>
        <w:tc>
          <w:tcPr>
            <w:tcW w:w="280" w:type="dxa"/>
            <w:vAlign w:val="bottom"/>
            <w:tcBorders>
              <w:bottom w:val="single" w:sz="8" w:color="auto"/>
            </w:tcBorders>
            <w:shd w:val="clear" w:color="auto" w:fill="F5F5F5"/>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951,613</w:t>
            </w:r>
          </w:p>
        </w:tc>
      </w:tr>
      <w:tr>
        <w:trPr>
          <w:trHeight w:val="20"/>
        </w:trPr>
        <w:tc>
          <w:tcPr>
            <w:tcW w:w="9640" w:type="dxa"/>
            <w:vAlign w:val="bottom"/>
            <w:tcBorders>
              <w:top w:val="single" w:sz="8" w:color="F5F5F5"/>
            </w:tcBorders>
          </w:tcPr>
          <w:p>
            <w:pPr>
              <w:spacing w:after="0" w:line="20" w:lineRule="exact"/>
              <w:rPr>
                <w:sz w:val="1"/>
                <w:szCs w:val="1"/>
                <w:color w:val="auto"/>
              </w:rPr>
            </w:pPr>
          </w:p>
        </w:tc>
        <w:tc>
          <w:tcPr>
            <w:tcW w:w="280" w:type="dxa"/>
            <w:vAlign w:val="bottom"/>
            <w:tcBorders>
              <w:top w:val="single" w:sz="8" w:color="F5F5F5"/>
              <w:bottom w:val="single" w:sz="8" w:color="auto"/>
            </w:tcBorders>
          </w:tcPr>
          <w:p>
            <w:pPr>
              <w:spacing w:after="0" w:line="20" w:lineRule="exact"/>
              <w:rPr>
                <w:sz w:val="1"/>
                <w:szCs w:val="1"/>
                <w:color w:val="auto"/>
              </w:rPr>
            </w:pPr>
          </w:p>
        </w:tc>
        <w:tc>
          <w:tcPr>
            <w:tcW w:w="1300" w:type="dxa"/>
            <w:vAlign w:val="bottom"/>
            <w:tcBorders>
              <w:top w:val="single" w:sz="8" w:color="F5F5F5"/>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During Fiscal 2020, the Company entered into a sublease agreement with a third party for the remaining lease term of one of its European Abercrombie &amp; Fitch flagship store locations upon its closure. As of February 1, 2025, future minimum tenant operating lease payments remaining under this sublease were $11.1 million with a remaining sublease term of 2.8 years.</w:t>
      </w:r>
    </w:p>
    <w:p>
      <w:pPr>
        <w:spacing w:after="0" w:line="21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Company had minimum commitments related to operating lease contracts that have not yet commenced, primarily for its Company-operated retail stores, of approximately $135.0 million as of February 1, 2025.</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C7E65"/>
        </w:rPr>
        <w:t>9. ASSET IMPAIRMENT</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additional details related to long-lived asset impairment charges: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4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420" w:type="dxa"/>
            <w:vAlign w:val="bottom"/>
          </w:tcPr>
          <w:p>
            <w:pPr>
              <w:spacing w:after="0"/>
              <w:rPr>
                <w:sz w:val="16"/>
                <w:szCs w:val="16"/>
                <w:color w:val="auto"/>
              </w:rPr>
            </w:pPr>
          </w:p>
        </w:tc>
        <w:tc>
          <w:tcPr>
            <w:tcW w:w="1200" w:type="dxa"/>
            <w:vAlign w:val="bottom"/>
            <w:gridSpan w:val="2"/>
          </w:tcPr>
          <w:p>
            <w:pPr>
              <w:ind w:left="340"/>
              <w:spacing w:after="0"/>
              <w:rPr>
                <w:sz w:val="20"/>
                <w:szCs w:val="20"/>
                <w:color w:val="auto"/>
              </w:rPr>
            </w:pPr>
            <w:r>
              <w:rPr>
                <w:rFonts w:ascii="Arial" w:cs="Arial" w:eastAsia="Arial" w:hAnsi="Arial"/>
                <w:sz w:val="14"/>
                <w:szCs w:val="14"/>
                <w:color w:val="auto"/>
              </w:rPr>
              <w:t>Fiscal 2024</w:t>
            </w:r>
          </w:p>
        </w:tc>
        <w:tc>
          <w:tcPr>
            <w:tcW w:w="440" w:type="dxa"/>
            <w:vAlign w:val="bottom"/>
          </w:tcPr>
          <w:p>
            <w:pPr>
              <w:spacing w:after="0"/>
              <w:rPr>
                <w:sz w:val="16"/>
                <w:szCs w:val="16"/>
                <w:color w:val="auto"/>
              </w:rPr>
            </w:pPr>
          </w:p>
        </w:tc>
        <w:tc>
          <w:tcPr>
            <w:tcW w:w="1200" w:type="dxa"/>
            <w:vAlign w:val="bottom"/>
            <w:gridSpan w:val="2"/>
          </w:tcPr>
          <w:p>
            <w:pPr>
              <w:ind w:left="340"/>
              <w:spacing w:after="0"/>
              <w:rPr>
                <w:sz w:val="20"/>
                <w:szCs w:val="20"/>
                <w:color w:val="auto"/>
              </w:rPr>
            </w:pPr>
            <w:r>
              <w:rPr>
                <w:rFonts w:ascii="Arial" w:cs="Arial" w:eastAsia="Arial" w:hAnsi="Arial"/>
                <w:sz w:val="14"/>
                <w:szCs w:val="14"/>
                <w:color w:val="auto"/>
              </w:rPr>
              <w:t>Fiscal 2023</w:t>
            </w:r>
          </w:p>
        </w:tc>
        <w:tc>
          <w:tcPr>
            <w:tcW w:w="4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Fiscal 2022</w:t>
            </w:r>
          </w:p>
        </w:tc>
      </w:tr>
      <w:tr>
        <w:trPr>
          <w:trHeight w:val="200"/>
        </w:trPr>
        <w:tc>
          <w:tcPr>
            <w:tcW w:w="6400" w:type="dxa"/>
            <w:vAlign w:val="bottom"/>
            <w:tcBorders>
              <w:top w:val="single" w:sz="8" w:color="F5F5F5"/>
            </w:tcBorders>
            <w:shd w:val="clear" w:color="auto" w:fill="F5F5F5"/>
          </w:tcPr>
          <w:p>
            <w:pPr>
              <w:ind w:left="20"/>
              <w:spacing w:after="0"/>
              <w:rPr>
                <w:sz w:val="20"/>
                <w:szCs w:val="20"/>
                <w:color w:val="auto"/>
              </w:rPr>
            </w:pPr>
            <w:r>
              <w:rPr>
                <w:rFonts w:ascii="Arial" w:cs="Arial" w:eastAsia="Arial" w:hAnsi="Arial"/>
                <w:sz w:val="14"/>
                <w:szCs w:val="14"/>
                <w:color w:val="auto"/>
              </w:rPr>
              <w:t>Operating lease right-of-use asset impairment</w:t>
            </w:r>
          </w:p>
        </w:tc>
        <w:tc>
          <w:tcPr>
            <w:tcW w:w="420" w:type="dxa"/>
            <w:vAlign w:val="bottom"/>
            <w:tcBorders>
              <w:top w:val="single" w:sz="8" w:color="auto"/>
            </w:tcBorders>
            <w:shd w:val="clear" w:color="auto" w:fill="F5F5F5"/>
          </w:tcPr>
          <w:p>
            <w:pPr>
              <w:jc w:val="right"/>
              <w:ind w:right="2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5,470</w:t>
            </w:r>
          </w:p>
        </w:tc>
        <w:tc>
          <w:tcPr>
            <w:tcW w:w="100" w:type="dxa"/>
            <w:vAlign w:val="bottom"/>
            <w:tcBorders>
              <w:top w:val="single" w:sz="8" w:color="F5F5F5"/>
            </w:tcBorders>
            <w:shd w:val="clear" w:color="auto" w:fill="F5F5F5"/>
          </w:tcPr>
          <w:p>
            <w:pPr>
              <w:spacing w:after="0"/>
              <w:rPr>
                <w:sz w:val="17"/>
                <w:szCs w:val="17"/>
                <w:color w:val="auto"/>
              </w:rPr>
            </w:pPr>
          </w:p>
        </w:tc>
        <w:tc>
          <w:tcPr>
            <w:tcW w:w="440" w:type="dxa"/>
            <w:vAlign w:val="bottom"/>
            <w:tcBorders>
              <w:top w:val="single" w:sz="8" w:color="auto"/>
            </w:tcBorders>
            <w:shd w:val="clear" w:color="auto" w:fill="F5F5F5"/>
          </w:tcPr>
          <w:p>
            <w:pPr>
              <w:jc w:val="right"/>
              <w:ind w:right="2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1,441</w:t>
            </w:r>
          </w:p>
        </w:tc>
        <w:tc>
          <w:tcPr>
            <w:tcW w:w="100" w:type="dxa"/>
            <w:vAlign w:val="bottom"/>
            <w:tcBorders>
              <w:top w:val="single" w:sz="8" w:color="F5F5F5"/>
            </w:tcBorders>
            <w:shd w:val="clear" w:color="auto" w:fill="F5F5F5"/>
          </w:tcPr>
          <w:p>
            <w:pPr>
              <w:spacing w:after="0"/>
              <w:rPr>
                <w:sz w:val="17"/>
                <w:szCs w:val="17"/>
                <w:color w:val="auto"/>
              </w:rPr>
            </w:pPr>
          </w:p>
        </w:tc>
        <w:tc>
          <w:tcPr>
            <w:tcW w:w="440" w:type="dxa"/>
            <w:vAlign w:val="bottom"/>
            <w:tcBorders>
              <w:top w:val="single" w:sz="8" w:color="auto"/>
            </w:tcBorders>
            <w:shd w:val="clear" w:color="auto" w:fill="F5F5F5"/>
          </w:tcPr>
          <w:p>
            <w:pPr>
              <w:jc w:val="right"/>
              <w:ind w:right="26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6,248</w:t>
            </w:r>
          </w:p>
        </w:tc>
      </w:tr>
      <w:tr>
        <w:trPr>
          <w:trHeight w:val="198"/>
        </w:trPr>
        <w:tc>
          <w:tcPr>
            <w:tcW w:w="6400" w:type="dxa"/>
            <w:vAlign w:val="bottom"/>
            <w:tcBorders>
              <w:bottom w:val="single" w:sz="8" w:color="F5F5F5"/>
            </w:tcBorders>
          </w:tcPr>
          <w:p>
            <w:pPr>
              <w:ind w:left="20"/>
              <w:spacing w:after="0"/>
              <w:rPr>
                <w:sz w:val="20"/>
                <w:szCs w:val="20"/>
                <w:color w:val="auto"/>
              </w:rPr>
            </w:pPr>
            <w:r>
              <w:rPr>
                <w:rFonts w:ascii="Arial" w:cs="Arial" w:eastAsia="Arial" w:hAnsi="Arial"/>
                <w:sz w:val="14"/>
                <w:szCs w:val="14"/>
                <w:color w:val="auto"/>
              </w:rPr>
              <w:t xml:space="preserve">Property and equipment asset impairment </w:t>
            </w:r>
            <w:r>
              <w:rPr>
                <w:rFonts w:ascii="Arial" w:cs="Arial" w:eastAsia="Arial" w:hAnsi="Arial"/>
                <w:sz w:val="9"/>
                <w:szCs w:val="9"/>
                <w:color w:val="auto"/>
              </w:rPr>
              <w:t>(1)</w:t>
            </w: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6,126</w:t>
            </w:r>
          </w:p>
        </w:tc>
        <w:tc>
          <w:tcPr>
            <w:tcW w:w="100" w:type="dxa"/>
            <w:vAlign w:val="bottom"/>
            <w:tcBorders>
              <w:bottom w:val="single" w:sz="8" w:color="F5F5F5"/>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6,848</w:t>
            </w:r>
          </w:p>
        </w:tc>
        <w:tc>
          <w:tcPr>
            <w:tcW w:w="100" w:type="dxa"/>
            <w:vAlign w:val="bottom"/>
            <w:tcBorders>
              <w:bottom w:val="single" w:sz="8" w:color="F5F5F5"/>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7,783</w:t>
            </w:r>
          </w:p>
        </w:tc>
      </w:tr>
      <w:tr>
        <w:trPr>
          <w:trHeight w:val="225"/>
        </w:trPr>
        <w:tc>
          <w:tcPr>
            <w:tcW w:w="6400" w:type="dxa"/>
            <w:vAlign w:val="bottom"/>
            <w:tcBorders>
              <w:bottom w:val="single" w:sz="8" w:color="F5F5F5"/>
            </w:tcBorders>
            <w:shd w:val="clear" w:color="auto" w:fill="F5F5F5"/>
          </w:tcPr>
          <w:p>
            <w:pPr>
              <w:ind w:left="20"/>
              <w:spacing w:after="0"/>
              <w:rPr>
                <w:sz w:val="20"/>
                <w:szCs w:val="20"/>
                <w:color w:val="auto"/>
              </w:rPr>
            </w:pPr>
            <w:r>
              <w:rPr>
                <w:rFonts w:ascii="Arial" w:cs="Arial" w:eastAsia="Arial" w:hAnsi="Arial"/>
                <w:sz w:val="14"/>
                <w:szCs w:val="14"/>
                <w:color w:val="auto"/>
              </w:rPr>
              <w:t xml:space="preserve">Total asset impairment </w:t>
            </w:r>
            <w:r>
              <w:rPr>
                <w:rFonts w:ascii="Arial" w:cs="Arial" w:eastAsia="Arial" w:hAnsi="Arial"/>
                <w:sz w:val="9"/>
                <w:szCs w:val="9"/>
                <w:color w:val="auto"/>
              </w:rPr>
              <w:t>(2)</w:t>
            </w:r>
          </w:p>
        </w:tc>
        <w:tc>
          <w:tcPr>
            <w:tcW w:w="420" w:type="dxa"/>
            <w:vAlign w:val="bottom"/>
            <w:tcBorders>
              <w:bottom w:val="single" w:sz="8" w:color="auto"/>
            </w:tcBorders>
            <w:shd w:val="clear" w:color="auto" w:fill="F5F5F5"/>
          </w:tcPr>
          <w:p>
            <w:pPr>
              <w:jc w:val="right"/>
              <w:ind w:right="2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11,596</w:t>
            </w:r>
          </w:p>
        </w:tc>
        <w:tc>
          <w:tcPr>
            <w:tcW w:w="100" w:type="dxa"/>
            <w:vAlign w:val="bottom"/>
            <w:tcBorders>
              <w:bottom w:val="single" w:sz="8" w:color="F5F5F5"/>
            </w:tcBorders>
            <w:shd w:val="clear" w:color="auto" w:fill="F5F5F5"/>
          </w:tcPr>
          <w:p>
            <w:pPr>
              <w:spacing w:after="0"/>
              <w:rPr>
                <w:sz w:val="19"/>
                <w:szCs w:val="19"/>
                <w:color w:val="auto"/>
              </w:rPr>
            </w:pPr>
          </w:p>
        </w:tc>
        <w:tc>
          <w:tcPr>
            <w:tcW w:w="440" w:type="dxa"/>
            <w:vAlign w:val="bottom"/>
            <w:tcBorders>
              <w:bottom w:val="single" w:sz="8" w:color="auto"/>
            </w:tcBorders>
            <w:shd w:val="clear" w:color="auto" w:fill="F5F5F5"/>
          </w:tcPr>
          <w:p>
            <w:pPr>
              <w:jc w:val="right"/>
              <w:ind w:right="2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8,289</w:t>
            </w:r>
          </w:p>
        </w:tc>
        <w:tc>
          <w:tcPr>
            <w:tcW w:w="100" w:type="dxa"/>
            <w:vAlign w:val="bottom"/>
            <w:tcBorders>
              <w:bottom w:val="single" w:sz="8" w:color="F5F5F5"/>
            </w:tcBorders>
            <w:shd w:val="clear" w:color="auto" w:fill="F5F5F5"/>
          </w:tcPr>
          <w:p>
            <w:pPr>
              <w:spacing w:after="0"/>
              <w:rPr>
                <w:sz w:val="19"/>
                <w:szCs w:val="19"/>
                <w:color w:val="auto"/>
              </w:rPr>
            </w:pPr>
          </w:p>
        </w:tc>
        <w:tc>
          <w:tcPr>
            <w:tcW w:w="440" w:type="dxa"/>
            <w:vAlign w:val="bottom"/>
            <w:tcBorders>
              <w:bottom w:val="single" w:sz="8" w:color="auto"/>
            </w:tcBorders>
            <w:shd w:val="clear" w:color="auto" w:fill="F5F5F5"/>
          </w:tcPr>
          <w:p>
            <w:pPr>
              <w:jc w:val="right"/>
              <w:ind w:right="2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14,031</w:t>
            </w:r>
          </w:p>
        </w:tc>
      </w:tr>
      <w:tr>
        <w:trPr>
          <w:trHeight w:val="20"/>
        </w:trPr>
        <w:tc>
          <w:tcPr>
            <w:tcW w:w="6400" w:type="dxa"/>
            <w:vAlign w:val="bottom"/>
            <w:tcBorders>
              <w:top w:val="single" w:sz="8" w:color="F5F5F5"/>
            </w:tcBorders>
          </w:tcPr>
          <w:p>
            <w:pPr>
              <w:spacing w:after="0" w:line="20" w:lineRule="exact"/>
              <w:rPr>
                <w:sz w:val="1"/>
                <w:szCs w:val="1"/>
                <w:color w:val="auto"/>
              </w:rPr>
            </w:pPr>
          </w:p>
        </w:tc>
        <w:tc>
          <w:tcPr>
            <w:tcW w:w="420" w:type="dxa"/>
            <w:vAlign w:val="bottom"/>
            <w:tcBorders>
              <w:top w:val="single" w:sz="8" w:color="F5F5F5"/>
              <w:bottom w:val="single" w:sz="8" w:color="auto"/>
            </w:tcBorders>
          </w:tcPr>
          <w:p>
            <w:pPr>
              <w:spacing w:after="0" w:line="20" w:lineRule="exact"/>
              <w:rPr>
                <w:sz w:val="1"/>
                <w:szCs w:val="1"/>
                <w:color w:val="auto"/>
              </w:rPr>
            </w:pPr>
          </w:p>
        </w:tc>
        <w:tc>
          <w:tcPr>
            <w:tcW w:w="1100" w:type="dxa"/>
            <w:vAlign w:val="bottom"/>
            <w:tcBorders>
              <w:top w:val="single" w:sz="8" w:color="F5F5F5"/>
              <w:bottom w:val="single" w:sz="8" w:color="auto"/>
            </w:tcBorders>
          </w:tcPr>
          <w:p>
            <w:pPr>
              <w:spacing w:after="0" w:line="20" w:lineRule="exact"/>
              <w:rPr>
                <w:sz w:val="1"/>
                <w:szCs w:val="1"/>
                <w:color w:val="auto"/>
              </w:rPr>
            </w:pPr>
          </w:p>
        </w:tc>
        <w:tc>
          <w:tcPr>
            <w:tcW w:w="100" w:type="dxa"/>
            <w:vAlign w:val="bottom"/>
            <w:tcBorders>
              <w:top w:val="single" w:sz="8" w:color="F5F5F5"/>
            </w:tcBorders>
          </w:tcPr>
          <w:p>
            <w:pPr>
              <w:spacing w:after="0" w:line="20" w:lineRule="exact"/>
              <w:rPr>
                <w:sz w:val="1"/>
                <w:szCs w:val="1"/>
                <w:color w:val="auto"/>
              </w:rPr>
            </w:pPr>
          </w:p>
        </w:tc>
        <w:tc>
          <w:tcPr>
            <w:tcW w:w="440" w:type="dxa"/>
            <w:vAlign w:val="bottom"/>
            <w:tcBorders>
              <w:top w:val="single" w:sz="8" w:color="F5F5F5"/>
              <w:bottom w:val="single" w:sz="8" w:color="auto"/>
            </w:tcBorders>
          </w:tcPr>
          <w:p>
            <w:pPr>
              <w:spacing w:after="0" w:line="20" w:lineRule="exact"/>
              <w:rPr>
                <w:sz w:val="1"/>
                <w:szCs w:val="1"/>
                <w:color w:val="auto"/>
              </w:rPr>
            </w:pPr>
          </w:p>
        </w:tc>
        <w:tc>
          <w:tcPr>
            <w:tcW w:w="1100" w:type="dxa"/>
            <w:vAlign w:val="bottom"/>
            <w:tcBorders>
              <w:top w:val="single" w:sz="8" w:color="F5F5F5"/>
              <w:bottom w:val="single" w:sz="8" w:color="auto"/>
            </w:tcBorders>
          </w:tcPr>
          <w:p>
            <w:pPr>
              <w:spacing w:after="0" w:line="20" w:lineRule="exact"/>
              <w:rPr>
                <w:sz w:val="1"/>
                <w:szCs w:val="1"/>
                <w:color w:val="auto"/>
              </w:rPr>
            </w:pPr>
          </w:p>
        </w:tc>
        <w:tc>
          <w:tcPr>
            <w:tcW w:w="100" w:type="dxa"/>
            <w:vAlign w:val="bottom"/>
            <w:tcBorders>
              <w:top w:val="single" w:sz="8" w:color="F5F5F5"/>
            </w:tcBorders>
          </w:tcPr>
          <w:p>
            <w:pPr>
              <w:spacing w:after="0" w:line="20" w:lineRule="exact"/>
              <w:rPr>
                <w:sz w:val="1"/>
                <w:szCs w:val="1"/>
                <w:color w:val="auto"/>
              </w:rPr>
            </w:pPr>
          </w:p>
        </w:tc>
        <w:tc>
          <w:tcPr>
            <w:tcW w:w="440" w:type="dxa"/>
            <w:vAlign w:val="bottom"/>
            <w:tcBorders>
              <w:top w:val="single" w:sz="8" w:color="F5F5F5"/>
              <w:bottom w:val="single" w:sz="8" w:color="auto"/>
            </w:tcBorders>
          </w:tcPr>
          <w:p>
            <w:pPr>
              <w:spacing w:after="0" w:line="20" w:lineRule="exact"/>
              <w:rPr>
                <w:sz w:val="1"/>
                <w:szCs w:val="1"/>
                <w:color w:val="auto"/>
              </w:rPr>
            </w:pPr>
          </w:p>
        </w:tc>
        <w:tc>
          <w:tcPr>
            <w:tcW w:w="1080" w:type="dxa"/>
            <w:vAlign w:val="bottom"/>
            <w:tcBorders>
              <w:top w:val="single" w:sz="8" w:color="F5F5F5"/>
              <w:bottom w:val="single" w:sz="8" w:color="auto"/>
            </w:tcBorders>
          </w:tcPr>
          <w:p>
            <w:pPr>
              <w:spacing w:after="0" w:line="20" w:lineRule="exact"/>
              <w:rPr>
                <w:sz w:val="1"/>
                <w:szCs w:val="1"/>
                <w:color w:val="auto"/>
              </w:rPr>
            </w:pPr>
          </w:p>
        </w:tc>
      </w:tr>
    </w:tbl>
    <w:p>
      <w:pPr>
        <w:spacing w:after="0" w:line="136" w:lineRule="exact"/>
        <w:rPr>
          <w:sz w:val="20"/>
          <w:szCs w:val="20"/>
          <w:color w:val="auto"/>
        </w:rPr>
      </w:pPr>
    </w:p>
    <w:p>
      <w:pPr>
        <w:ind w:left="260" w:hanging="252"/>
        <w:spacing w:after="0" w:line="227" w:lineRule="auto"/>
        <w:tabs>
          <w:tab w:leader="none" w:pos="259" w:val="left"/>
        </w:tabs>
        <w:numPr>
          <w:ilvl w:val="0"/>
          <w:numId w:val="62"/>
        </w:numPr>
        <w:rPr>
          <w:rFonts w:ascii="Arial" w:cs="Arial" w:eastAsia="Arial" w:hAnsi="Arial"/>
          <w:sz w:val="18"/>
          <w:szCs w:val="18"/>
          <w:color w:val="auto"/>
          <w:vertAlign w:val="superscript"/>
        </w:rPr>
      </w:pPr>
      <w:r>
        <w:rPr>
          <w:rFonts w:ascii="Arial" w:cs="Arial" w:eastAsia="Arial" w:hAnsi="Arial"/>
          <w:sz w:val="13"/>
          <w:szCs w:val="13"/>
          <w:color w:val="auto"/>
        </w:rPr>
        <w:t>Amounts for Fiscal 2024 and Fiscal 2023 only include store asset impairment. Amounts for Fiscal 2022 include store asset impairment of $4.8 million and other asset impairment of $3.0 million.</w:t>
      </w:r>
    </w:p>
    <w:p>
      <w:pPr>
        <w:spacing w:after="0" w:line="33" w:lineRule="exact"/>
        <w:rPr>
          <w:rFonts w:ascii="Arial" w:cs="Arial" w:eastAsia="Arial" w:hAnsi="Arial"/>
          <w:sz w:val="18"/>
          <w:szCs w:val="18"/>
          <w:color w:val="auto"/>
          <w:vertAlign w:val="superscript"/>
        </w:rPr>
      </w:pPr>
    </w:p>
    <w:p>
      <w:pPr>
        <w:ind w:left="240" w:hanging="232"/>
        <w:spacing w:after="0"/>
        <w:tabs>
          <w:tab w:leader="none" w:pos="240" w:val="left"/>
        </w:tabs>
        <w:numPr>
          <w:ilvl w:val="0"/>
          <w:numId w:val="62"/>
        </w:numPr>
        <w:rPr>
          <w:rFonts w:ascii="Arial" w:cs="Arial" w:eastAsia="Arial" w:hAnsi="Arial"/>
          <w:sz w:val="16"/>
          <w:szCs w:val="16"/>
          <w:color w:val="auto"/>
          <w:vertAlign w:val="superscript"/>
        </w:rPr>
      </w:pPr>
      <w:r>
        <w:rPr>
          <w:rFonts w:ascii="Arial" w:cs="Arial" w:eastAsia="Arial" w:hAnsi="Arial"/>
          <w:sz w:val="13"/>
          <w:szCs w:val="13"/>
          <w:color w:val="auto"/>
        </w:rPr>
        <w:t xml:space="preserve">Included in Selling expense </w:t>
      </w:r>
      <w:r>
        <w:rPr>
          <w:rFonts w:ascii="Arial" w:cs="Arial" w:eastAsia="Arial" w:hAnsi="Arial"/>
          <w:sz w:val="12"/>
          <w:szCs w:val="12"/>
          <w:color w:val="auto"/>
        </w:rPr>
        <w:t>on the Consolidated Statements of Operations and Comprehensive Income (Loss).</w:t>
      </w:r>
    </w:p>
    <w:p>
      <w:pPr>
        <w:spacing w:after="0" w:line="26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Asset impairment charges for Fiscal 2024 were related to certain of the Company’s store assets, primarily in the APAC segment. The impairment charges for Fiscal 2024 reduced the then carrying amount of the impaired stores’ assets to their fair value of approximately $8.2 million, including $7.3 million related to operating lease right-of-use assets.</w:t>
      </w:r>
    </w:p>
    <w:p>
      <w:pPr>
        <w:spacing w:after="0" w:line="20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Asset impairment charges for Fiscal 2023 were related to certain of the Company’s store assets, primarily in the Americas and EMEA segments. The impairment charges for Fiscal 2023 reduced the then carrying amount of the impaired stores’ assets to their fair value of approximately $28.1 million, including $23.7 million related to operating lease right-of-use assets.</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Asset impairment charges for Fiscal 2022 were related to certain of the Company’s assets including stores across segments, brands and store formats and other assets. The impairment charges for Fiscal 2022 reduced the then carrying amount of the impaired stores’ assets to their fair value of approximately $39.7 million, including $37.0 million related to operating lease right-of-use assets.</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Refer to Note 2, </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0000FF"/>
        </w:rPr>
        <w:t>SUMMARY OF SIGNIFICANT ACCOUNTING POLICIES - Long-lived Asset Impairment</w:t>
      </w:r>
      <w:r>
        <w:rPr>
          <w:rFonts w:ascii="Arial" w:cs="Arial" w:eastAsia="Arial" w:hAnsi="Arial"/>
          <w:sz w:val="16"/>
          <w:szCs w:val="16"/>
          <w:color w:val="auto"/>
        </w:rPr>
        <w:t>,” for discussion regarding significant accounting policies related to impairment of the Company’s long-lived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65</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16"/>
          <w:szCs w:val="16"/>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Abercrombie &amp; Fitch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b w:val="1"/>
          <w:bCs w:val="1"/>
          <w:color w:val="AC7E65"/>
        </w:rPr>
        <w:t>10. ACCRUED EXPENSES</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Accrued expenses consisted of:</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9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6"/>
                <w:szCs w:val="16"/>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color w:val="auto"/>
              </w:rPr>
              <w:t>February 1, 2025</w:t>
            </w: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February 3, 2024</w:t>
            </w:r>
          </w:p>
        </w:tc>
      </w:tr>
      <w:tr>
        <w:trPr>
          <w:trHeight w:val="200"/>
        </w:trPr>
        <w:tc>
          <w:tcPr>
            <w:tcW w:w="7980" w:type="dxa"/>
            <w:vAlign w:val="bottom"/>
            <w:tcBorders>
              <w:top w:val="single" w:sz="8" w:color="F5F5F5"/>
            </w:tcBorders>
            <w:shd w:val="clear" w:color="auto" w:fill="F5F5F5"/>
          </w:tcPr>
          <w:p>
            <w:pPr>
              <w:ind w:left="20"/>
              <w:spacing w:after="0"/>
              <w:rPr>
                <w:sz w:val="20"/>
                <w:szCs w:val="20"/>
                <w:color w:val="auto"/>
              </w:rPr>
            </w:pPr>
            <w:r>
              <w:rPr>
                <w:rFonts w:ascii="Arial" w:cs="Arial" w:eastAsia="Arial" w:hAnsi="Arial"/>
                <w:sz w:val="14"/>
                <w:szCs w:val="14"/>
                <w:color w:val="auto"/>
              </w:rPr>
              <w:t xml:space="preserve">Accrued payroll and related costs </w:t>
            </w:r>
            <w:r>
              <w:rPr>
                <w:rFonts w:ascii="Arial" w:cs="Arial" w:eastAsia="Arial" w:hAnsi="Arial"/>
                <w:sz w:val="9"/>
                <w:szCs w:val="9"/>
                <w:color w:val="auto"/>
              </w:rPr>
              <w:t>(1)</w:t>
            </w:r>
          </w:p>
        </w:tc>
        <w:tc>
          <w:tcPr>
            <w:tcW w:w="280" w:type="dxa"/>
            <w:vAlign w:val="bottom"/>
            <w:tcBorders>
              <w:top w:val="single" w:sz="8" w:color="auto"/>
            </w:tcBorders>
            <w:shd w:val="clear" w:color="auto" w:fill="F5F5F5"/>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92,504</w:t>
            </w:r>
          </w:p>
        </w:tc>
        <w:tc>
          <w:tcPr>
            <w:tcW w:w="100" w:type="dxa"/>
            <w:vAlign w:val="bottom"/>
            <w:tcBorders>
              <w:top w:val="single" w:sz="8" w:color="F5F5F5"/>
            </w:tcBorders>
            <w:shd w:val="clear" w:color="auto" w:fill="F5F5F5"/>
          </w:tcPr>
          <w:p>
            <w:pPr>
              <w:spacing w:after="0"/>
              <w:rPr>
                <w:sz w:val="17"/>
                <w:szCs w:val="17"/>
                <w:color w:val="auto"/>
              </w:rPr>
            </w:pPr>
          </w:p>
        </w:tc>
        <w:tc>
          <w:tcPr>
            <w:tcW w:w="280" w:type="dxa"/>
            <w:vAlign w:val="bottom"/>
            <w:tcBorders>
              <w:top w:val="single" w:sz="8" w:color="auto"/>
            </w:tcBorders>
            <w:shd w:val="clear" w:color="auto" w:fill="F5F5F5"/>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100,825</w:t>
            </w:r>
          </w:p>
        </w:tc>
      </w:tr>
      <w:tr>
        <w:trPr>
          <w:trHeight w:val="198"/>
        </w:trPr>
        <w:tc>
          <w:tcPr>
            <w:tcW w:w="7980" w:type="dxa"/>
            <w:vAlign w:val="bottom"/>
          </w:tcPr>
          <w:p>
            <w:pPr>
              <w:ind w:left="20"/>
              <w:spacing w:after="0"/>
              <w:rPr>
                <w:sz w:val="20"/>
                <w:szCs w:val="20"/>
                <w:color w:val="auto"/>
              </w:rPr>
            </w:pPr>
            <w:r>
              <w:rPr>
                <w:rFonts w:ascii="Arial" w:cs="Arial" w:eastAsia="Arial" w:hAnsi="Arial"/>
                <w:sz w:val="14"/>
                <w:szCs w:val="14"/>
                <w:color w:val="auto"/>
              </w:rPr>
              <w:t>Accrued marketing</w:t>
            </w:r>
          </w:p>
        </w:tc>
        <w:tc>
          <w:tcPr>
            <w:tcW w:w="280" w:type="dxa"/>
            <w:vAlign w:val="bottom"/>
          </w:tcPr>
          <w:p>
            <w:pPr>
              <w:spacing w:after="0"/>
              <w:rPr>
                <w:sz w:val="17"/>
                <w:szCs w:val="17"/>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77,509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52,792</w:t>
            </w:r>
          </w:p>
        </w:tc>
      </w:tr>
      <w:tr>
        <w:trPr>
          <w:trHeight w:val="207"/>
        </w:trPr>
        <w:tc>
          <w:tcPr>
            <w:tcW w:w="7980" w:type="dxa"/>
            <w:vAlign w:val="bottom"/>
            <w:shd w:val="clear" w:color="auto" w:fill="F5F5F5"/>
          </w:tcPr>
          <w:p>
            <w:pPr>
              <w:ind w:left="2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9"/>
                <w:szCs w:val="9"/>
                <w:color w:val="auto"/>
              </w:rPr>
              <w:t>(2)</w:t>
            </w:r>
          </w:p>
        </w:tc>
        <w:tc>
          <w:tcPr>
            <w:tcW w:w="280" w:type="dxa"/>
            <w:vAlign w:val="bottom"/>
            <w:tcBorders>
              <w:bottom w:val="single" w:sz="8" w:color="auto"/>
            </w:tcBorders>
            <w:shd w:val="clear" w:color="auto" w:fill="F5F5F5"/>
          </w:tcPr>
          <w:p>
            <w:pPr>
              <w:spacing w:after="0"/>
              <w:rPr>
                <w:sz w:val="17"/>
                <w:szCs w:val="17"/>
                <w:color w:val="auto"/>
              </w:rPr>
            </w:pPr>
          </w:p>
        </w:tc>
        <w:tc>
          <w:tcPr>
            <w:tcW w:w="1300" w:type="dxa"/>
            <w:vAlign w:val="bottom"/>
            <w:tcBorders>
              <w:bottom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334,909</w:t>
            </w:r>
          </w:p>
        </w:tc>
        <w:tc>
          <w:tcPr>
            <w:tcW w:w="100" w:type="dxa"/>
            <w:vAlign w:val="bottom"/>
            <w:shd w:val="clear" w:color="auto" w:fill="F5F5F5"/>
          </w:tcPr>
          <w:p>
            <w:pPr>
              <w:spacing w:after="0"/>
              <w:rPr>
                <w:sz w:val="17"/>
                <w:szCs w:val="17"/>
                <w:color w:val="auto"/>
              </w:rPr>
            </w:pPr>
          </w:p>
        </w:tc>
        <w:tc>
          <w:tcPr>
            <w:tcW w:w="280" w:type="dxa"/>
            <w:vAlign w:val="bottom"/>
            <w:tcBorders>
              <w:bottom w:val="single" w:sz="8" w:color="auto"/>
            </w:tcBorders>
            <w:shd w:val="clear" w:color="auto" w:fill="F5F5F5"/>
          </w:tcPr>
          <w:p>
            <w:pPr>
              <w:spacing w:after="0"/>
              <w:rPr>
                <w:sz w:val="17"/>
                <w:szCs w:val="17"/>
                <w:color w:val="auto"/>
              </w:rPr>
            </w:pPr>
          </w:p>
        </w:tc>
        <w:tc>
          <w:tcPr>
            <w:tcW w:w="130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283,038</w:t>
            </w:r>
          </w:p>
        </w:tc>
      </w:tr>
      <w:tr>
        <w:trPr>
          <w:trHeight w:val="192"/>
        </w:trPr>
        <w:tc>
          <w:tcPr>
            <w:tcW w:w="7980" w:type="dxa"/>
            <w:vAlign w:val="bottom"/>
          </w:tcPr>
          <w:p>
            <w:pPr>
              <w:ind w:left="20"/>
              <w:spacing w:after="0"/>
              <w:rPr>
                <w:sz w:val="20"/>
                <w:szCs w:val="20"/>
                <w:color w:val="auto"/>
              </w:rPr>
            </w:pPr>
            <w:r>
              <w:rPr>
                <w:rFonts w:ascii="Arial" w:cs="Arial" w:eastAsia="Arial" w:hAnsi="Arial"/>
                <w:sz w:val="14"/>
                <w:szCs w:val="14"/>
                <w:color w:val="auto"/>
              </w:rPr>
              <w:t>Accrued expenses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504,922</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436,655</w:t>
            </w:r>
          </w:p>
        </w:tc>
      </w:tr>
      <w:tr>
        <w:trPr>
          <w:trHeight w:val="25"/>
        </w:trPr>
        <w:tc>
          <w:tcPr>
            <w:tcW w:w="7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49" w:lineRule="exact"/>
        <w:rPr>
          <w:sz w:val="20"/>
          <w:szCs w:val="20"/>
          <w:color w:val="auto"/>
        </w:rPr>
      </w:pPr>
    </w:p>
    <w:p>
      <w:pPr>
        <w:ind w:left="220" w:hanging="212"/>
        <w:spacing w:after="0"/>
        <w:tabs>
          <w:tab w:leader="none" w:pos="220" w:val="left"/>
        </w:tabs>
        <w:numPr>
          <w:ilvl w:val="0"/>
          <w:numId w:val="63"/>
        </w:numPr>
        <w:rPr>
          <w:rFonts w:ascii="Arial" w:cs="Arial" w:eastAsia="Arial" w:hAnsi="Arial"/>
          <w:sz w:val="18"/>
          <w:szCs w:val="18"/>
          <w:color w:val="auto"/>
          <w:vertAlign w:val="superscript"/>
        </w:rPr>
      </w:pPr>
      <w:r>
        <w:rPr>
          <w:rFonts w:ascii="Arial" w:cs="Arial" w:eastAsia="Arial" w:hAnsi="Arial"/>
          <w:sz w:val="13"/>
          <w:szCs w:val="13"/>
          <w:color w:val="auto"/>
        </w:rPr>
        <w:t>Accrued payroll and related costs include salaries, incentive compensation, benefits, withholdings and other payroll-related costs.</w:t>
      </w:r>
    </w:p>
    <w:p>
      <w:pPr>
        <w:ind w:left="340" w:hanging="332"/>
        <w:spacing w:after="0"/>
        <w:tabs>
          <w:tab w:leader="none" w:pos="220" w:val="left"/>
        </w:tabs>
        <w:numPr>
          <w:ilvl w:val="0"/>
          <w:numId w:val="63"/>
        </w:numPr>
        <w:rPr>
          <w:rFonts w:ascii="Arial" w:cs="Arial" w:eastAsia="Arial" w:hAnsi="Arial"/>
          <w:sz w:val="18"/>
          <w:szCs w:val="18"/>
          <w:color w:val="auto"/>
          <w:vertAlign w:val="superscript"/>
        </w:rPr>
      </w:pPr>
      <w:r>
        <w:rPr>
          <w:rFonts w:ascii="Arial" w:cs="Arial" w:eastAsia="Arial" w:hAnsi="Arial"/>
          <w:sz w:val="13"/>
          <w:szCs w:val="13"/>
          <w:color w:val="auto"/>
        </w:rPr>
        <w:t>Other primarily includes the Company’s gift card and loyalty programs liabilities, accrued taxes, accrued rent and expenses incurred but not yet paid primarily related to outside services associated with store and home office operations, construction in progress and costs related to the Company’s DCs and digital operations. Refer to Note 3, “</w:t>
      </w:r>
      <w:r>
        <w:rPr>
          <w:rFonts w:ascii="Arial" w:cs="Arial" w:eastAsia="Arial" w:hAnsi="Arial"/>
          <w:sz w:val="13"/>
          <w:szCs w:val="13"/>
          <w:i w:val="1"/>
          <w:iCs w:val="1"/>
          <w:u w:val="single" w:color="auto"/>
          <w:color w:val="0000FF"/>
        </w:rPr>
        <w:t>REVENUE</w:t>
      </w:r>
      <w:r>
        <w:rPr>
          <w:rFonts w:ascii="Arial" w:cs="Arial" w:eastAsia="Arial" w:hAnsi="Arial"/>
          <w:sz w:val="13"/>
          <w:szCs w:val="13"/>
          <w:color w:val="auto"/>
        </w:rPr>
        <w:t xml:space="preserve"> </w:t>
      </w:r>
      <w:r>
        <w:rPr>
          <w:rFonts w:ascii="Arial" w:cs="Arial" w:eastAsia="Arial" w:hAnsi="Arial"/>
          <w:sz w:val="13"/>
          <w:szCs w:val="13"/>
          <w:i w:val="1"/>
          <w:iCs w:val="1"/>
          <w:u w:val="single" w:color="auto"/>
          <w:color w:val="0000FF"/>
        </w:rPr>
        <w:t>RECOGNITION</w:t>
      </w:r>
      <w:r>
        <w:rPr>
          <w:rFonts w:ascii="Arial" w:cs="Arial" w:eastAsia="Arial" w:hAnsi="Arial"/>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C7E65"/>
        </w:rPr>
        <w:t>11. INCOME TAXES</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Impact of valuation allowances and other tax benefits during Fiscal 2024</w:t>
      </w:r>
    </w:p>
    <w:p>
      <w:pPr>
        <w:spacing w:after="0" w:line="24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During Fiscal 2024, the Company did not recognize income tax benefits on $53.8 million of pre-tax losses, primarily in Switzerland, resulting in adverse tax impacts of $8.2 million.</w:t>
      </w:r>
    </w:p>
    <w:p>
      <w:pPr>
        <w:spacing w:after="0" w:line="16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As of February 1, 2025, the Company had foreign net deferred tax assets of approximately $35.7 million, including $8.2 million, $5.4 million, and $13.4 million in China, Japan, and the United Kingdom, respectively. While the Company believes that these net deferred tax assets are more-likely-than-not to be realized, it is not a certainty, as the Company continues to evaluate and respond to situations as they emerge. Should circumstances change, the net deferred tax assets may become subject to additional valuation allowances in the future. Additional valuation allowances would result in additional tax expense.</w:t>
      </w: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Impact of valuation allowances and other tax benefits during Fiscal 2023</w:t>
      </w:r>
    </w:p>
    <w:p>
      <w:pPr>
        <w:spacing w:after="0" w:line="260"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During Fiscal 2023, the Company did not recognize income tax benefits on $103.0 million of pre-tax losses, primarily in Switzerland, resulting in adverse tax impacts of $15.6 million.</w:t>
      </w:r>
    </w:p>
    <w:p>
      <w:pPr>
        <w:spacing w:after="0" w:line="18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As of February 3, 2024, the Company had foreign net deferred tax assets of approximately $36.7 million, including $7.6 million, $7.5 million, and $12.6 million in China, Japan, and the United Kingdom,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Impact of valuation allowances and other tax charges during Fiscal 2022</w:t>
      </w:r>
    </w:p>
    <w:p>
      <w:pPr>
        <w:spacing w:after="0" w:line="260"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During Fiscal 2022, the Company did not recognize income tax benefits on $136.5 million of pre-tax losses, primarily in Switzerland, resulting in adverse tax impacts of $20.0 million.</w:t>
      </w:r>
    </w:p>
    <w:p>
      <w:pPr>
        <w:spacing w:after="0" w:line="18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As of January 28, 2023, the Company had foreign net deferred tax assets of approximately $43.8 million, including $8.0 million, $9.1 million, and $15.6 million in China, Japan, and the United Kingdom,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Components of Income Taxes</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Income before income taxes consisted of:</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7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400" w:type="dxa"/>
            <w:vAlign w:val="bottom"/>
          </w:tcPr>
          <w:p>
            <w:pPr>
              <w:spacing w:after="0"/>
              <w:rPr>
                <w:sz w:val="16"/>
                <w:szCs w:val="16"/>
                <w:color w:val="auto"/>
              </w:rPr>
            </w:pPr>
          </w:p>
        </w:tc>
        <w:tc>
          <w:tcPr>
            <w:tcW w:w="1140" w:type="dxa"/>
            <w:vAlign w:val="bottom"/>
            <w:gridSpan w:val="2"/>
          </w:tcPr>
          <w:p>
            <w:pPr>
              <w:ind w:left="280"/>
              <w:spacing w:after="0"/>
              <w:rPr>
                <w:sz w:val="20"/>
                <w:szCs w:val="20"/>
                <w:color w:val="auto"/>
              </w:rPr>
            </w:pPr>
            <w:r>
              <w:rPr>
                <w:rFonts w:ascii="Arial" w:cs="Arial" w:eastAsia="Arial" w:hAnsi="Arial"/>
                <w:sz w:val="14"/>
                <w:szCs w:val="14"/>
                <w:color w:val="auto"/>
              </w:rPr>
              <w:t>Fiscal 2024</w:t>
            </w:r>
          </w:p>
        </w:tc>
        <w:tc>
          <w:tcPr>
            <w:tcW w:w="400" w:type="dxa"/>
            <w:vAlign w:val="bottom"/>
          </w:tcPr>
          <w:p>
            <w:pPr>
              <w:spacing w:after="0"/>
              <w:rPr>
                <w:sz w:val="16"/>
                <w:szCs w:val="16"/>
                <w:color w:val="auto"/>
              </w:rPr>
            </w:pPr>
          </w:p>
        </w:tc>
        <w:tc>
          <w:tcPr>
            <w:tcW w:w="1140" w:type="dxa"/>
            <w:vAlign w:val="bottom"/>
            <w:gridSpan w:val="2"/>
          </w:tcPr>
          <w:p>
            <w:pPr>
              <w:ind w:left="280"/>
              <w:spacing w:after="0"/>
              <w:rPr>
                <w:sz w:val="20"/>
                <w:szCs w:val="20"/>
                <w:color w:val="auto"/>
              </w:rPr>
            </w:pPr>
            <w:r>
              <w:rPr>
                <w:rFonts w:ascii="Arial" w:cs="Arial" w:eastAsia="Arial" w:hAnsi="Arial"/>
                <w:sz w:val="14"/>
                <w:szCs w:val="14"/>
                <w:color w:val="auto"/>
              </w:rPr>
              <w:t>Fiscal 2023</w:t>
            </w:r>
          </w:p>
        </w:tc>
        <w:tc>
          <w:tcPr>
            <w:tcW w:w="3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Fiscal 2022</w:t>
            </w:r>
          </w:p>
        </w:tc>
      </w:tr>
      <w:tr>
        <w:trPr>
          <w:trHeight w:val="200"/>
        </w:trPr>
        <w:tc>
          <w:tcPr>
            <w:tcW w:w="6700" w:type="dxa"/>
            <w:vAlign w:val="bottom"/>
            <w:tcBorders>
              <w:top w:val="single" w:sz="8" w:color="F5F5F5"/>
            </w:tcBorders>
            <w:shd w:val="clear" w:color="auto" w:fill="F5F5F5"/>
          </w:tcPr>
          <w:p>
            <w:pPr>
              <w:ind w:left="20"/>
              <w:spacing w:after="0" w:line="200" w:lineRule="exact"/>
              <w:rPr>
                <w:sz w:val="20"/>
                <w:szCs w:val="20"/>
                <w:color w:val="auto"/>
              </w:rPr>
            </w:pPr>
            <w:r>
              <w:rPr>
                <w:rFonts w:ascii="Arial" w:cs="Arial" w:eastAsia="Arial" w:hAnsi="Arial"/>
                <w:sz w:val="14"/>
                <w:szCs w:val="14"/>
                <w:color w:val="auto"/>
              </w:rPr>
              <w:t xml:space="preserve">Domestic </w:t>
            </w:r>
            <w:r>
              <w:rPr>
                <w:rFonts w:ascii="Arial" w:cs="Arial" w:eastAsia="Arial" w:hAnsi="Arial"/>
                <w:sz w:val="18"/>
                <w:szCs w:val="18"/>
                <w:color w:val="auto"/>
                <w:vertAlign w:val="superscript"/>
              </w:rPr>
              <w:t>(1)</w:t>
            </w:r>
          </w:p>
        </w:tc>
        <w:tc>
          <w:tcPr>
            <w:tcW w:w="400" w:type="dxa"/>
            <w:vAlign w:val="bottom"/>
            <w:tcBorders>
              <w:top w:val="single" w:sz="8" w:color="auto"/>
            </w:tcBorders>
            <w:shd w:val="clear" w:color="auto" w:fill="F5F5F5"/>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757,835</w:t>
            </w:r>
          </w:p>
        </w:tc>
        <w:tc>
          <w:tcPr>
            <w:tcW w:w="100" w:type="dxa"/>
            <w:vAlign w:val="bottom"/>
            <w:tcBorders>
              <w:top w:val="single" w:sz="8" w:color="F5F5F5"/>
            </w:tcBorders>
            <w:shd w:val="clear" w:color="auto" w:fill="F5F5F5"/>
          </w:tcPr>
          <w:p>
            <w:pPr>
              <w:spacing w:after="0"/>
              <w:rPr>
                <w:sz w:val="17"/>
                <w:szCs w:val="17"/>
                <w:color w:val="auto"/>
              </w:rPr>
            </w:pPr>
          </w:p>
        </w:tc>
        <w:tc>
          <w:tcPr>
            <w:tcW w:w="400" w:type="dxa"/>
            <w:vAlign w:val="bottom"/>
            <w:tcBorders>
              <w:top w:val="single" w:sz="8" w:color="auto"/>
            </w:tcBorders>
            <w:shd w:val="clear" w:color="auto" w:fill="F5F5F5"/>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526,967</w:t>
            </w:r>
          </w:p>
        </w:tc>
        <w:tc>
          <w:tcPr>
            <w:tcW w:w="100" w:type="dxa"/>
            <w:vAlign w:val="bottom"/>
            <w:tcBorders>
              <w:top w:val="single" w:sz="8" w:color="F5F5F5"/>
            </w:tcBorders>
            <w:shd w:val="clear" w:color="auto" w:fill="F5F5F5"/>
          </w:tcPr>
          <w:p>
            <w:pPr>
              <w:spacing w:after="0"/>
              <w:rPr>
                <w:sz w:val="17"/>
                <w:szCs w:val="17"/>
                <w:color w:val="auto"/>
              </w:rPr>
            </w:pPr>
          </w:p>
        </w:tc>
        <w:tc>
          <w:tcPr>
            <w:tcW w:w="380" w:type="dxa"/>
            <w:vAlign w:val="bottom"/>
            <w:tcBorders>
              <w:top w:val="single" w:sz="8" w:color="auto"/>
            </w:tcBorders>
            <w:shd w:val="clear" w:color="auto" w:fill="F5F5F5"/>
          </w:tcPr>
          <w:p>
            <w:pPr>
              <w:jc w:val="right"/>
              <w:ind w:right="20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152,608</w:t>
            </w:r>
          </w:p>
        </w:tc>
      </w:tr>
      <w:tr>
        <w:trPr>
          <w:trHeight w:val="199"/>
        </w:trPr>
        <w:tc>
          <w:tcPr>
            <w:tcW w:w="6700" w:type="dxa"/>
            <w:vAlign w:val="bottom"/>
            <w:tcBorders>
              <w:bottom w:val="single" w:sz="8" w:color="F5F5F5"/>
            </w:tcBorders>
          </w:tcPr>
          <w:p>
            <w:pPr>
              <w:ind w:left="20"/>
              <w:spacing w:after="0"/>
              <w:rPr>
                <w:sz w:val="20"/>
                <w:szCs w:val="20"/>
                <w:color w:val="auto"/>
              </w:rPr>
            </w:pPr>
            <w:r>
              <w:rPr>
                <w:rFonts w:ascii="Arial" w:cs="Arial" w:eastAsia="Arial" w:hAnsi="Arial"/>
                <w:sz w:val="14"/>
                <w:szCs w:val="14"/>
                <w:color w:val="auto"/>
              </w:rPr>
              <w:t>Foreign</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10,842</w:t>
            </w:r>
          </w:p>
        </w:tc>
        <w:tc>
          <w:tcPr>
            <w:tcW w:w="100" w:type="dxa"/>
            <w:vAlign w:val="bottom"/>
            <w:tcBorders>
              <w:bottom w:val="single" w:sz="8" w:color="F5F5F5"/>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(42,668)</w:t>
            </w:r>
          </w:p>
        </w:tc>
        <w:tc>
          <w:tcPr>
            <w:tcW w:w="100" w:type="dxa"/>
            <w:vAlign w:val="bottom"/>
            <w:tcBorders>
              <w:bottom w:val="single" w:sz="8" w:color="F5F5F5"/>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(85,592)</w:t>
            </w:r>
          </w:p>
        </w:tc>
      </w:tr>
      <w:tr>
        <w:trPr>
          <w:trHeight w:val="221"/>
        </w:trPr>
        <w:tc>
          <w:tcPr>
            <w:tcW w:w="6700" w:type="dxa"/>
            <w:vAlign w:val="bottom"/>
            <w:tcBorders>
              <w:bottom w:val="single" w:sz="8" w:color="F5F5F5"/>
            </w:tcBorders>
            <w:shd w:val="clear" w:color="auto" w:fill="F5F5F5"/>
          </w:tcPr>
          <w:p>
            <w:pPr>
              <w:ind w:left="20"/>
              <w:spacing w:after="0"/>
              <w:rPr>
                <w:sz w:val="20"/>
                <w:szCs w:val="20"/>
                <w:color w:val="auto"/>
              </w:rPr>
            </w:pPr>
            <w:r>
              <w:rPr>
                <w:rFonts w:ascii="Arial" w:cs="Arial" w:eastAsia="Arial" w:hAnsi="Arial"/>
                <w:sz w:val="14"/>
                <w:szCs w:val="14"/>
                <w:color w:val="auto"/>
              </w:rPr>
              <w:t>Income before income taxes</w:t>
            </w:r>
          </w:p>
        </w:tc>
        <w:tc>
          <w:tcPr>
            <w:tcW w:w="400" w:type="dxa"/>
            <w:vAlign w:val="bottom"/>
            <w:tcBorders>
              <w:bottom w:val="single" w:sz="8" w:color="auto"/>
            </w:tcBorders>
            <w:shd w:val="clear" w:color="auto" w:fill="F5F5F5"/>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768,677</w:t>
            </w:r>
          </w:p>
        </w:tc>
        <w:tc>
          <w:tcPr>
            <w:tcW w:w="100" w:type="dxa"/>
            <w:vAlign w:val="bottom"/>
            <w:tcBorders>
              <w:bottom w:val="single" w:sz="8" w:color="F5F5F5"/>
            </w:tcBorders>
            <w:shd w:val="clear" w:color="auto" w:fill="F5F5F5"/>
          </w:tcPr>
          <w:p>
            <w:pPr>
              <w:spacing w:after="0"/>
              <w:rPr>
                <w:sz w:val="18"/>
                <w:szCs w:val="18"/>
                <w:color w:val="auto"/>
              </w:rPr>
            </w:pPr>
          </w:p>
        </w:tc>
        <w:tc>
          <w:tcPr>
            <w:tcW w:w="400" w:type="dxa"/>
            <w:vAlign w:val="bottom"/>
            <w:tcBorders>
              <w:bottom w:val="single" w:sz="8" w:color="auto"/>
            </w:tcBorders>
            <w:shd w:val="clear" w:color="auto" w:fill="F5F5F5"/>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484,299</w:t>
            </w:r>
          </w:p>
        </w:tc>
        <w:tc>
          <w:tcPr>
            <w:tcW w:w="100" w:type="dxa"/>
            <w:vAlign w:val="bottom"/>
            <w:tcBorders>
              <w:bottom w:val="single" w:sz="8" w:color="F5F5F5"/>
            </w:tcBorders>
            <w:shd w:val="clear" w:color="auto" w:fill="F5F5F5"/>
          </w:tcPr>
          <w:p>
            <w:pPr>
              <w:spacing w:after="0"/>
              <w:rPr>
                <w:sz w:val="18"/>
                <w:szCs w:val="18"/>
                <w:color w:val="auto"/>
              </w:rPr>
            </w:pPr>
          </w:p>
        </w:tc>
        <w:tc>
          <w:tcPr>
            <w:tcW w:w="380" w:type="dxa"/>
            <w:vAlign w:val="bottom"/>
            <w:tcBorders>
              <w:bottom w:val="single" w:sz="8" w:color="auto"/>
            </w:tcBorders>
            <w:shd w:val="clear" w:color="auto" w:fill="F5F5F5"/>
          </w:tcPr>
          <w:p>
            <w:pPr>
              <w:jc w:val="right"/>
              <w:ind w:right="20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67,016</w:t>
            </w:r>
          </w:p>
        </w:tc>
      </w:tr>
      <w:tr>
        <w:trPr>
          <w:trHeight w:val="20"/>
        </w:trPr>
        <w:tc>
          <w:tcPr>
            <w:tcW w:w="6700" w:type="dxa"/>
            <w:vAlign w:val="bottom"/>
            <w:tcBorders>
              <w:top w:val="single" w:sz="8" w:color="F5F5F5"/>
            </w:tcBorders>
          </w:tcPr>
          <w:p>
            <w:pPr>
              <w:spacing w:after="0" w:line="20" w:lineRule="exact"/>
              <w:rPr>
                <w:sz w:val="1"/>
                <w:szCs w:val="1"/>
                <w:color w:val="auto"/>
              </w:rPr>
            </w:pPr>
          </w:p>
        </w:tc>
        <w:tc>
          <w:tcPr>
            <w:tcW w:w="400" w:type="dxa"/>
            <w:vAlign w:val="bottom"/>
            <w:tcBorders>
              <w:top w:val="single" w:sz="8" w:color="F5F5F5"/>
              <w:bottom w:val="single" w:sz="8" w:color="auto"/>
            </w:tcBorders>
          </w:tcPr>
          <w:p>
            <w:pPr>
              <w:spacing w:after="0" w:line="20" w:lineRule="exact"/>
              <w:rPr>
                <w:sz w:val="1"/>
                <w:szCs w:val="1"/>
                <w:color w:val="auto"/>
              </w:rPr>
            </w:pPr>
          </w:p>
        </w:tc>
        <w:tc>
          <w:tcPr>
            <w:tcW w:w="1040" w:type="dxa"/>
            <w:vAlign w:val="bottom"/>
            <w:tcBorders>
              <w:top w:val="single" w:sz="8" w:color="F5F5F5"/>
              <w:bottom w:val="single" w:sz="8" w:color="auto"/>
            </w:tcBorders>
          </w:tcPr>
          <w:p>
            <w:pPr>
              <w:spacing w:after="0" w:line="20" w:lineRule="exact"/>
              <w:rPr>
                <w:sz w:val="1"/>
                <w:szCs w:val="1"/>
                <w:color w:val="auto"/>
              </w:rPr>
            </w:pPr>
          </w:p>
        </w:tc>
        <w:tc>
          <w:tcPr>
            <w:tcW w:w="100" w:type="dxa"/>
            <w:vAlign w:val="bottom"/>
            <w:tcBorders>
              <w:top w:val="single" w:sz="8" w:color="F5F5F5"/>
            </w:tcBorders>
          </w:tcPr>
          <w:p>
            <w:pPr>
              <w:spacing w:after="0" w:line="20" w:lineRule="exact"/>
              <w:rPr>
                <w:sz w:val="1"/>
                <w:szCs w:val="1"/>
                <w:color w:val="auto"/>
              </w:rPr>
            </w:pPr>
          </w:p>
        </w:tc>
        <w:tc>
          <w:tcPr>
            <w:tcW w:w="400" w:type="dxa"/>
            <w:vAlign w:val="bottom"/>
            <w:tcBorders>
              <w:top w:val="single" w:sz="8" w:color="F5F5F5"/>
              <w:bottom w:val="single" w:sz="8" w:color="auto"/>
            </w:tcBorders>
          </w:tcPr>
          <w:p>
            <w:pPr>
              <w:spacing w:after="0" w:line="20" w:lineRule="exact"/>
              <w:rPr>
                <w:sz w:val="1"/>
                <w:szCs w:val="1"/>
                <w:color w:val="auto"/>
              </w:rPr>
            </w:pPr>
          </w:p>
        </w:tc>
        <w:tc>
          <w:tcPr>
            <w:tcW w:w="1040" w:type="dxa"/>
            <w:vAlign w:val="bottom"/>
            <w:tcBorders>
              <w:top w:val="single" w:sz="8" w:color="F5F5F5"/>
              <w:bottom w:val="single" w:sz="8" w:color="auto"/>
            </w:tcBorders>
          </w:tcPr>
          <w:p>
            <w:pPr>
              <w:spacing w:after="0" w:line="20" w:lineRule="exact"/>
              <w:rPr>
                <w:sz w:val="1"/>
                <w:szCs w:val="1"/>
                <w:color w:val="auto"/>
              </w:rPr>
            </w:pPr>
          </w:p>
        </w:tc>
        <w:tc>
          <w:tcPr>
            <w:tcW w:w="100" w:type="dxa"/>
            <w:vAlign w:val="bottom"/>
            <w:tcBorders>
              <w:top w:val="single" w:sz="8" w:color="F5F5F5"/>
            </w:tcBorders>
          </w:tcPr>
          <w:p>
            <w:pPr>
              <w:spacing w:after="0" w:line="20" w:lineRule="exact"/>
              <w:rPr>
                <w:sz w:val="1"/>
                <w:szCs w:val="1"/>
                <w:color w:val="auto"/>
              </w:rPr>
            </w:pPr>
          </w:p>
        </w:tc>
        <w:tc>
          <w:tcPr>
            <w:tcW w:w="380" w:type="dxa"/>
            <w:vAlign w:val="bottom"/>
            <w:tcBorders>
              <w:top w:val="single" w:sz="8" w:color="F5F5F5"/>
              <w:bottom w:val="single" w:sz="8" w:color="auto"/>
            </w:tcBorders>
          </w:tcPr>
          <w:p>
            <w:pPr>
              <w:spacing w:after="0" w:line="20" w:lineRule="exact"/>
              <w:rPr>
                <w:sz w:val="1"/>
                <w:szCs w:val="1"/>
                <w:color w:val="auto"/>
              </w:rPr>
            </w:pPr>
          </w:p>
        </w:tc>
        <w:tc>
          <w:tcPr>
            <w:tcW w:w="1060" w:type="dxa"/>
            <w:vAlign w:val="bottom"/>
            <w:tcBorders>
              <w:top w:val="single" w:sz="8" w:color="F5F5F5"/>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ind w:left="340" w:hanging="332"/>
        <w:spacing w:after="0" w:line="227" w:lineRule="auto"/>
        <w:tabs>
          <w:tab w:leader="none" w:pos="234" w:val="left"/>
        </w:tabs>
        <w:numPr>
          <w:ilvl w:val="0"/>
          <w:numId w:val="64"/>
        </w:numPr>
        <w:rPr>
          <w:rFonts w:ascii="Arial" w:cs="Arial" w:eastAsia="Arial" w:hAnsi="Arial"/>
          <w:sz w:val="18"/>
          <w:szCs w:val="18"/>
          <w:color w:val="auto"/>
          <w:vertAlign w:val="superscript"/>
        </w:rPr>
      </w:pPr>
      <w:r>
        <w:rPr>
          <w:rFonts w:ascii="Arial" w:cs="Arial" w:eastAsia="Arial" w:hAnsi="Arial"/>
          <w:sz w:val="13"/>
          <w:szCs w:val="13"/>
          <w:color w:val="auto"/>
        </w:rPr>
        <w:t>Includes intercompany charges to foreign affiliates for management fees, cost-sharing, royalties and interest and excludes a portion of foreign income that is currently includable on the U.S. federal income tax return.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66</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6"/>
          <w:szCs w:val="16"/>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Abercrombie &amp; Fitch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color w:val="auto"/>
        </w:rPr>
        <w:t>Income tax expense consisted of:</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Pr>
          <w:p>
            <w:pPr>
              <w:spacing w:after="0"/>
              <w:rPr>
                <w:sz w:val="16"/>
                <w:szCs w:val="16"/>
                <w:color w:val="auto"/>
              </w:rPr>
            </w:pPr>
          </w:p>
        </w:tc>
        <w:tc>
          <w:tcPr>
            <w:tcW w:w="1140" w:type="dxa"/>
            <w:vAlign w:val="bottom"/>
            <w:gridSpan w:val="2"/>
          </w:tcPr>
          <w:p>
            <w:pPr>
              <w:ind w:left="280"/>
              <w:spacing w:after="0"/>
              <w:rPr>
                <w:sz w:val="20"/>
                <w:szCs w:val="20"/>
                <w:color w:val="auto"/>
              </w:rPr>
            </w:pPr>
            <w:r>
              <w:rPr>
                <w:rFonts w:ascii="Arial" w:cs="Arial" w:eastAsia="Arial" w:hAnsi="Arial"/>
                <w:sz w:val="14"/>
                <w:szCs w:val="14"/>
                <w:color w:val="auto"/>
              </w:rPr>
              <w:t>Fiscal 2024</w:t>
            </w:r>
          </w:p>
        </w:tc>
        <w:tc>
          <w:tcPr>
            <w:tcW w:w="400" w:type="dxa"/>
            <w:vAlign w:val="bottom"/>
          </w:tcPr>
          <w:p>
            <w:pPr>
              <w:spacing w:after="0"/>
              <w:rPr>
                <w:sz w:val="16"/>
                <w:szCs w:val="16"/>
                <w:color w:val="auto"/>
              </w:rPr>
            </w:pPr>
          </w:p>
        </w:tc>
        <w:tc>
          <w:tcPr>
            <w:tcW w:w="1140" w:type="dxa"/>
            <w:vAlign w:val="bottom"/>
            <w:gridSpan w:val="2"/>
          </w:tcPr>
          <w:p>
            <w:pPr>
              <w:ind w:left="280"/>
              <w:spacing w:after="0"/>
              <w:rPr>
                <w:sz w:val="20"/>
                <w:szCs w:val="20"/>
                <w:color w:val="auto"/>
              </w:rPr>
            </w:pPr>
            <w:r>
              <w:rPr>
                <w:rFonts w:ascii="Arial" w:cs="Arial" w:eastAsia="Arial" w:hAnsi="Arial"/>
                <w:sz w:val="14"/>
                <w:szCs w:val="14"/>
                <w:color w:val="auto"/>
              </w:rPr>
              <w:t>Fiscal 2023</w:t>
            </w:r>
          </w:p>
        </w:tc>
        <w:tc>
          <w:tcPr>
            <w:tcW w:w="4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Fiscal 2022</w:t>
            </w:r>
          </w:p>
        </w:tc>
      </w:tr>
      <w:tr>
        <w:trPr>
          <w:trHeight w:val="185"/>
        </w:trPr>
        <w:tc>
          <w:tcPr>
            <w:tcW w:w="6740" w:type="dxa"/>
            <w:vAlign w:val="bottom"/>
          </w:tcPr>
          <w:p>
            <w:pPr>
              <w:ind w:left="20"/>
              <w:spacing w:after="0"/>
              <w:rPr>
                <w:sz w:val="20"/>
                <w:szCs w:val="20"/>
                <w:color w:val="auto"/>
              </w:rPr>
            </w:pPr>
            <w:r>
              <w:rPr>
                <w:rFonts w:ascii="Arial" w:cs="Arial" w:eastAsia="Arial" w:hAnsi="Arial"/>
                <w:sz w:val="14"/>
                <w:szCs w:val="14"/>
                <w:color w:val="auto"/>
              </w:rPr>
              <w:t>Current:</w:t>
            </w:r>
          </w:p>
        </w:tc>
        <w:tc>
          <w:tcPr>
            <w:tcW w:w="3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r>
      <w:tr>
        <w:trPr>
          <w:trHeight w:val="207"/>
        </w:trPr>
        <w:tc>
          <w:tcPr>
            <w:tcW w:w="6740" w:type="dxa"/>
            <w:vAlign w:val="bottom"/>
            <w:shd w:val="clear" w:color="auto" w:fill="F5F5F5"/>
          </w:tcPr>
          <w:p>
            <w:pPr>
              <w:ind w:left="140"/>
              <w:spacing w:after="0"/>
              <w:rPr>
                <w:sz w:val="20"/>
                <w:szCs w:val="20"/>
                <w:color w:val="auto"/>
              </w:rPr>
            </w:pPr>
            <w:r>
              <w:rPr>
                <w:rFonts w:ascii="Arial" w:cs="Arial" w:eastAsia="Arial" w:hAnsi="Arial"/>
                <w:sz w:val="14"/>
                <w:szCs w:val="14"/>
                <w:color w:val="auto"/>
              </w:rPr>
              <w:t>Federal</w:t>
            </w:r>
          </w:p>
        </w:tc>
        <w:tc>
          <w:tcPr>
            <w:tcW w:w="380" w:type="dxa"/>
            <w:vAlign w:val="bottom"/>
            <w:shd w:val="clear" w:color="auto" w:fill="F5F5F5"/>
          </w:tcPr>
          <w:p>
            <w:pPr>
              <w:jc w:val="right"/>
              <w:ind w:right="22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150,061</w:t>
            </w:r>
          </w:p>
        </w:tc>
        <w:tc>
          <w:tcPr>
            <w:tcW w:w="100" w:type="dxa"/>
            <w:vAlign w:val="bottom"/>
            <w:shd w:val="clear" w:color="auto" w:fill="F5F5F5"/>
          </w:tcPr>
          <w:p>
            <w:pPr>
              <w:spacing w:after="0"/>
              <w:rPr>
                <w:sz w:val="17"/>
                <w:szCs w:val="17"/>
                <w:color w:val="auto"/>
              </w:rPr>
            </w:pPr>
          </w:p>
        </w:tc>
        <w:tc>
          <w:tcPr>
            <w:tcW w:w="400" w:type="dxa"/>
            <w:vAlign w:val="bottom"/>
            <w:shd w:val="clear" w:color="auto" w:fill="F5F5F5"/>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113,765</w:t>
            </w:r>
          </w:p>
        </w:tc>
        <w:tc>
          <w:tcPr>
            <w:tcW w:w="100" w:type="dxa"/>
            <w:vAlign w:val="bottom"/>
            <w:shd w:val="clear" w:color="auto" w:fill="F5F5F5"/>
          </w:tcPr>
          <w:p>
            <w:pPr>
              <w:spacing w:after="0"/>
              <w:rPr>
                <w:sz w:val="17"/>
                <w:szCs w:val="17"/>
                <w:color w:val="auto"/>
              </w:rPr>
            </w:pPr>
          </w:p>
        </w:tc>
        <w:tc>
          <w:tcPr>
            <w:tcW w:w="400" w:type="dxa"/>
            <w:vAlign w:val="bottom"/>
            <w:shd w:val="clear" w:color="auto" w:fill="F5F5F5"/>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F5F5F5"/>
          </w:tcPr>
          <w:p>
            <w:pPr>
              <w:jc w:val="right"/>
              <w:spacing w:after="0"/>
              <w:rPr>
                <w:sz w:val="20"/>
                <w:szCs w:val="20"/>
                <w:color w:val="auto"/>
              </w:rPr>
            </w:pPr>
            <w:r>
              <w:rPr>
                <w:rFonts w:ascii="Arial" w:cs="Arial" w:eastAsia="Arial" w:hAnsi="Arial"/>
                <w:sz w:val="14"/>
                <w:szCs w:val="14"/>
                <w:color w:val="auto"/>
              </w:rPr>
              <w:t>25,577</w:t>
            </w:r>
          </w:p>
        </w:tc>
      </w:tr>
      <w:tr>
        <w:trPr>
          <w:trHeight w:val="198"/>
        </w:trPr>
        <w:tc>
          <w:tcPr>
            <w:tcW w:w="6740" w:type="dxa"/>
            <w:vAlign w:val="bottom"/>
          </w:tcPr>
          <w:p>
            <w:pPr>
              <w:ind w:left="140"/>
              <w:spacing w:after="0"/>
              <w:rPr>
                <w:sz w:val="20"/>
                <w:szCs w:val="20"/>
                <w:color w:val="auto"/>
              </w:rPr>
            </w:pPr>
            <w:r>
              <w:rPr>
                <w:rFonts w:ascii="Arial" w:cs="Arial" w:eastAsia="Arial" w:hAnsi="Arial"/>
                <w:sz w:val="14"/>
                <w:szCs w:val="14"/>
                <w:color w:val="auto"/>
              </w:rPr>
              <w:t>State</w:t>
            </w: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40,942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32,299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10,371</w:t>
            </w:r>
          </w:p>
        </w:tc>
      </w:tr>
      <w:tr>
        <w:trPr>
          <w:trHeight w:val="207"/>
        </w:trPr>
        <w:tc>
          <w:tcPr>
            <w:tcW w:w="6740" w:type="dxa"/>
            <w:vAlign w:val="bottom"/>
            <w:shd w:val="clear" w:color="auto" w:fill="F5F5F5"/>
          </w:tcPr>
          <w:p>
            <w:pPr>
              <w:ind w:left="140"/>
              <w:spacing w:after="0"/>
              <w:rPr>
                <w:sz w:val="20"/>
                <w:szCs w:val="20"/>
                <w:color w:val="auto"/>
              </w:rPr>
            </w:pPr>
            <w:r>
              <w:rPr>
                <w:rFonts w:ascii="Arial" w:cs="Arial" w:eastAsia="Arial" w:hAnsi="Arial"/>
                <w:sz w:val="14"/>
                <w:szCs w:val="14"/>
                <w:color w:val="auto"/>
              </w:rPr>
              <w:t>Foreign</w:t>
            </w:r>
          </w:p>
        </w:tc>
        <w:tc>
          <w:tcPr>
            <w:tcW w:w="380" w:type="dxa"/>
            <w:vAlign w:val="bottom"/>
            <w:tcBorders>
              <w:bottom w:val="single" w:sz="8" w:color="auto"/>
            </w:tcBorders>
            <w:shd w:val="clear" w:color="auto" w:fill="F5F5F5"/>
          </w:tcPr>
          <w:p>
            <w:pPr>
              <w:spacing w:after="0"/>
              <w:rPr>
                <w:sz w:val="17"/>
                <w:szCs w:val="17"/>
                <w:color w:val="auto"/>
              </w:rPr>
            </w:pPr>
          </w:p>
        </w:tc>
        <w:tc>
          <w:tcPr>
            <w:tcW w:w="104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15,936</w:t>
            </w:r>
          </w:p>
        </w:tc>
        <w:tc>
          <w:tcPr>
            <w:tcW w:w="100" w:type="dxa"/>
            <w:vAlign w:val="bottom"/>
            <w:shd w:val="clear" w:color="auto" w:fill="F5F5F5"/>
          </w:tcPr>
          <w:p>
            <w:pPr>
              <w:spacing w:after="0"/>
              <w:rPr>
                <w:sz w:val="17"/>
                <w:szCs w:val="17"/>
                <w:color w:val="auto"/>
              </w:rPr>
            </w:pPr>
          </w:p>
        </w:tc>
        <w:tc>
          <w:tcPr>
            <w:tcW w:w="400" w:type="dxa"/>
            <w:vAlign w:val="bottom"/>
            <w:tcBorders>
              <w:bottom w:val="single" w:sz="8" w:color="auto"/>
            </w:tcBorders>
            <w:shd w:val="clear" w:color="auto" w:fill="F5F5F5"/>
          </w:tcPr>
          <w:p>
            <w:pPr>
              <w:spacing w:after="0"/>
              <w:rPr>
                <w:sz w:val="17"/>
                <w:szCs w:val="17"/>
                <w:color w:val="auto"/>
              </w:rPr>
            </w:pPr>
          </w:p>
        </w:tc>
        <w:tc>
          <w:tcPr>
            <w:tcW w:w="104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7,565</w:t>
            </w:r>
          </w:p>
        </w:tc>
        <w:tc>
          <w:tcPr>
            <w:tcW w:w="100" w:type="dxa"/>
            <w:vAlign w:val="bottom"/>
            <w:shd w:val="clear" w:color="auto" w:fill="F5F5F5"/>
          </w:tcPr>
          <w:p>
            <w:pPr>
              <w:spacing w:after="0"/>
              <w:rPr>
                <w:sz w:val="17"/>
                <w:szCs w:val="17"/>
                <w:color w:val="auto"/>
              </w:rPr>
            </w:pPr>
          </w:p>
        </w:tc>
        <w:tc>
          <w:tcPr>
            <w:tcW w:w="400" w:type="dxa"/>
            <w:vAlign w:val="bottom"/>
            <w:tcBorders>
              <w:bottom w:val="single" w:sz="8" w:color="auto"/>
            </w:tcBorders>
            <w:shd w:val="clear" w:color="auto" w:fill="F5F5F5"/>
          </w:tcPr>
          <w:p>
            <w:pPr>
              <w:spacing w:after="0"/>
              <w:rPr>
                <w:sz w:val="17"/>
                <w:szCs w:val="17"/>
                <w:color w:val="auto"/>
              </w:rPr>
            </w:pPr>
          </w:p>
        </w:tc>
        <w:tc>
          <w:tcPr>
            <w:tcW w:w="104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9,183</w:t>
            </w:r>
          </w:p>
        </w:tc>
      </w:tr>
      <w:tr>
        <w:trPr>
          <w:trHeight w:val="192"/>
        </w:trPr>
        <w:tc>
          <w:tcPr>
            <w:tcW w:w="6740" w:type="dxa"/>
            <w:vAlign w:val="bottom"/>
          </w:tcPr>
          <w:p>
            <w:pPr>
              <w:ind w:left="20"/>
              <w:spacing w:after="0"/>
              <w:rPr>
                <w:sz w:val="20"/>
                <w:szCs w:val="20"/>
                <w:color w:val="auto"/>
              </w:rPr>
            </w:pPr>
            <w:r>
              <w:rPr>
                <w:rFonts w:ascii="Arial" w:cs="Arial" w:eastAsia="Arial" w:hAnsi="Arial"/>
                <w:sz w:val="14"/>
                <w:szCs w:val="14"/>
                <w:color w:val="auto"/>
              </w:rPr>
              <w:t>Total current</w:t>
            </w:r>
          </w:p>
        </w:tc>
        <w:tc>
          <w:tcPr>
            <w:tcW w:w="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206,939</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153,629</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45,131</w:t>
            </w:r>
          </w:p>
        </w:tc>
      </w:tr>
      <w:tr>
        <w:trPr>
          <w:trHeight w:val="20"/>
        </w:trPr>
        <w:tc>
          <w:tcPr>
            <w:tcW w:w="6740" w:type="dxa"/>
            <w:vAlign w:val="bottom"/>
            <w:tcBorders>
              <w:bottom w:val="single" w:sz="8" w:color="F5F5F5"/>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5F5F5"/>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5F5F5"/>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33"/>
        </w:trPr>
        <w:tc>
          <w:tcPr>
            <w:tcW w:w="6740" w:type="dxa"/>
            <w:vAlign w:val="bottom"/>
            <w:shd w:val="clear" w:color="auto" w:fill="F5F5F5"/>
          </w:tcPr>
          <w:p>
            <w:pPr>
              <w:spacing w:after="0"/>
              <w:rPr>
                <w:sz w:val="11"/>
                <w:szCs w:val="11"/>
                <w:color w:val="auto"/>
              </w:rPr>
            </w:pPr>
          </w:p>
        </w:tc>
        <w:tc>
          <w:tcPr>
            <w:tcW w:w="380" w:type="dxa"/>
            <w:vAlign w:val="bottom"/>
            <w:shd w:val="clear" w:color="auto" w:fill="F5F5F5"/>
          </w:tcPr>
          <w:p>
            <w:pPr>
              <w:spacing w:after="0"/>
              <w:rPr>
                <w:sz w:val="11"/>
                <w:szCs w:val="11"/>
                <w:color w:val="auto"/>
              </w:rPr>
            </w:pPr>
          </w:p>
        </w:tc>
        <w:tc>
          <w:tcPr>
            <w:tcW w:w="1040" w:type="dxa"/>
            <w:vAlign w:val="bottom"/>
            <w:shd w:val="clear" w:color="auto" w:fill="F5F5F5"/>
          </w:tcPr>
          <w:p>
            <w:pPr>
              <w:spacing w:after="0"/>
              <w:rPr>
                <w:sz w:val="11"/>
                <w:szCs w:val="11"/>
                <w:color w:val="auto"/>
              </w:rPr>
            </w:pPr>
          </w:p>
        </w:tc>
        <w:tc>
          <w:tcPr>
            <w:tcW w:w="100" w:type="dxa"/>
            <w:vAlign w:val="bottom"/>
            <w:shd w:val="clear" w:color="auto" w:fill="F5F5F5"/>
          </w:tcPr>
          <w:p>
            <w:pPr>
              <w:spacing w:after="0"/>
              <w:rPr>
                <w:sz w:val="11"/>
                <w:szCs w:val="11"/>
                <w:color w:val="auto"/>
              </w:rPr>
            </w:pPr>
          </w:p>
        </w:tc>
        <w:tc>
          <w:tcPr>
            <w:tcW w:w="400" w:type="dxa"/>
            <w:vAlign w:val="bottom"/>
            <w:shd w:val="clear" w:color="auto" w:fill="F5F5F5"/>
          </w:tcPr>
          <w:p>
            <w:pPr>
              <w:spacing w:after="0"/>
              <w:rPr>
                <w:sz w:val="11"/>
                <w:szCs w:val="11"/>
                <w:color w:val="auto"/>
              </w:rPr>
            </w:pPr>
          </w:p>
        </w:tc>
        <w:tc>
          <w:tcPr>
            <w:tcW w:w="1040" w:type="dxa"/>
            <w:vAlign w:val="bottom"/>
            <w:shd w:val="clear" w:color="auto" w:fill="F5F5F5"/>
          </w:tcPr>
          <w:p>
            <w:pPr>
              <w:spacing w:after="0"/>
              <w:rPr>
                <w:sz w:val="11"/>
                <w:szCs w:val="11"/>
                <w:color w:val="auto"/>
              </w:rPr>
            </w:pPr>
          </w:p>
        </w:tc>
        <w:tc>
          <w:tcPr>
            <w:tcW w:w="100" w:type="dxa"/>
            <w:vAlign w:val="bottom"/>
            <w:shd w:val="clear" w:color="auto" w:fill="F5F5F5"/>
          </w:tcPr>
          <w:p>
            <w:pPr>
              <w:spacing w:after="0"/>
              <w:rPr>
                <w:sz w:val="11"/>
                <w:szCs w:val="11"/>
                <w:color w:val="auto"/>
              </w:rPr>
            </w:pPr>
          </w:p>
        </w:tc>
        <w:tc>
          <w:tcPr>
            <w:tcW w:w="400" w:type="dxa"/>
            <w:vAlign w:val="bottom"/>
            <w:shd w:val="clear" w:color="auto" w:fill="F5F5F5"/>
          </w:tcPr>
          <w:p>
            <w:pPr>
              <w:spacing w:after="0"/>
              <w:rPr>
                <w:sz w:val="11"/>
                <w:szCs w:val="11"/>
                <w:color w:val="auto"/>
              </w:rPr>
            </w:pPr>
          </w:p>
        </w:tc>
        <w:tc>
          <w:tcPr>
            <w:tcW w:w="1040" w:type="dxa"/>
            <w:vAlign w:val="bottom"/>
            <w:shd w:val="clear" w:color="auto" w:fill="F5F5F5"/>
          </w:tcPr>
          <w:p>
            <w:pPr>
              <w:spacing w:after="0"/>
              <w:rPr>
                <w:sz w:val="11"/>
                <w:szCs w:val="11"/>
                <w:color w:val="auto"/>
              </w:rPr>
            </w:pPr>
          </w:p>
        </w:tc>
      </w:tr>
      <w:tr>
        <w:trPr>
          <w:trHeight w:val="198"/>
        </w:trPr>
        <w:tc>
          <w:tcPr>
            <w:tcW w:w="6740" w:type="dxa"/>
            <w:vAlign w:val="bottom"/>
          </w:tcPr>
          <w:p>
            <w:pPr>
              <w:ind w:left="20"/>
              <w:spacing w:after="0"/>
              <w:rPr>
                <w:sz w:val="20"/>
                <w:szCs w:val="20"/>
                <w:color w:val="auto"/>
              </w:rPr>
            </w:pPr>
            <w:r>
              <w:rPr>
                <w:rFonts w:ascii="Arial" w:cs="Arial" w:eastAsia="Arial" w:hAnsi="Arial"/>
                <w:sz w:val="14"/>
                <w:szCs w:val="14"/>
                <w:color w:val="auto"/>
              </w:rPr>
              <w:t>Deferred:</w:t>
            </w: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7"/>
        </w:trPr>
        <w:tc>
          <w:tcPr>
            <w:tcW w:w="6740" w:type="dxa"/>
            <w:vAlign w:val="bottom"/>
            <w:shd w:val="clear" w:color="auto" w:fill="F5F5F5"/>
          </w:tcPr>
          <w:p>
            <w:pPr>
              <w:ind w:left="140"/>
              <w:spacing w:after="0"/>
              <w:rPr>
                <w:sz w:val="20"/>
                <w:szCs w:val="20"/>
                <w:color w:val="auto"/>
              </w:rPr>
            </w:pPr>
            <w:r>
              <w:rPr>
                <w:rFonts w:ascii="Arial" w:cs="Arial" w:eastAsia="Arial" w:hAnsi="Arial"/>
                <w:sz w:val="14"/>
                <w:szCs w:val="14"/>
                <w:color w:val="auto"/>
              </w:rPr>
              <w:t>Federal</w:t>
            </w:r>
          </w:p>
        </w:tc>
        <w:tc>
          <w:tcPr>
            <w:tcW w:w="380" w:type="dxa"/>
            <w:vAlign w:val="bottom"/>
            <w:shd w:val="clear" w:color="auto" w:fill="F5F5F5"/>
          </w:tcPr>
          <w:p>
            <w:pPr>
              <w:jc w:val="right"/>
              <w:ind w:right="22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(11,664)</w:t>
            </w:r>
          </w:p>
        </w:tc>
        <w:tc>
          <w:tcPr>
            <w:tcW w:w="100" w:type="dxa"/>
            <w:vAlign w:val="bottom"/>
            <w:shd w:val="clear" w:color="auto" w:fill="F5F5F5"/>
          </w:tcPr>
          <w:p>
            <w:pPr>
              <w:spacing w:after="0"/>
              <w:rPr>
                <w:sz w:val="17"/>
                <w:szCs w:val="17"/>
                <w:color w:val="auto"/>
              </w:rPr>
            </w:pPr>
          </w:p>
        </w:tc>
        <w:tc>
          <w:tcPr>
            <w:tcW w:w="400" w:type="dxa"/>
            <w:vAlign w:val="bottom"/>
            <w:shd w:val="clear" w:color="auto" w:fill="F5F5F5"/>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F5F5F5"/>
          </w:tcPr>
          <w:p>
            <w:pPr>
              <w:jc w:val="right"/>
              <w:spacing w:after="0"/>
              <w:rPr>
                <w:sz w:val="20"/>
                <w:szCs w:val="20"/>
                <w:color w:val="auto"/>
              </w:rPr>
            </w:pPr>
            <w:r>
              <w:rPr>
                <w:rFonts w:ascii="Arial" w:cs="Arial" w:eastAsia="Arial" w:hAnsi="Arial"/>
                <w:sz w:val="14"/>
                <w:szCs w:val="14"/>
                <w:color w:val="auto"/>
              </w:rPr>
              <w:t>(9,160)</w:t>
            </w:r>
          </w:p>
        </w:tc>
        <w:tc>
          <w:tcPr>
            <w:tcW w:w="100" w:type="dxa"/>
            <w:vAlign w:val="bottom"/>
            <w:shd w:val="clear" w:color="auto" w:fill="F5F5F5"/>
          </w:tcPr>
          <w:p>
            <w:pPr>
              <w:spacing w:after="0"/>
              <w:rPr>
                <w:sz w:val="17"/>
                <w:szCs w:val="17"/>
                <w:color w:val="auto"/>
              </w:rPr>
            </w:pPr>
          </w:p>
        </w:tc>
        <w:tc>
          <w:tcPr>
            <w:tcW w:w="400" w:type="dxa"/>
            <w:vAlign w:val="bottom"/>
            <w:shd w:val="clear" w:color="auto" w:fill="F5F5F5"/>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F5F5F5"/>
          </w:tcPr>
          <w:p>
            <w:pPr>
              <w:jc w:val="right"/>
              <w:spacing w:after="0"/>
              <w:rPr>
                <w:sz w:val="20"/>
                <w:szCs w:val="20"/>
                <w:color w:val="auto"/>
              </w:rPr>
            </w:pPr>
            <w:r>
              <w:rPr>
                <w:rFonts w:ascii="Arial" w:cs="Arial" w:eastAsia="Arial" w:hAnsi="Arial"/>
                <w:sz w:val="14"/>
                <w:szCs w:val="14"/>
                <w:color w:val="auto"/>
              </w:rPr>
              <w:t>4,586</w:t>
            </w:r>
          </w:p>
        </w:tc>
      </w:tr>
      <w:tr>
        <w:trPr>
          <w:trHeight w:val="198"/>
        </w:trPr>
        <w:tc>
          <w:tcPr>
            <w:tcW w:w="6740" w:type="dxa"/>
            <w:vAlign w:val="bottom"/>
          </w:tcPr>
          <w:p>
            <w:pPr>
              <w:ind w:left="140"/>
              <w:spacing w:after="0"/>
              <w:rPr>
                <w:sz w:val="20"/>
                <w:szCs w:val="20"/>
                <w:color w:val="auto"/>
              </w:rPr>
            </w:pPr>
            <w:r>
              <w:rPr>
                <w:rFonts w:ascii="Arial" w:cs="Arial" w:eastAsia="Arial" w:hAnsi="Arial"/>
                <w:sz w:val="14"/>
                <w:szCs w:val="14"/>
                <w:color w:val="auto"/>
              </w:rPr>
              <w:t>State</w:t>
            </w: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(834)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(1,196)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122</w:t>
            </w:r>
          </w:p>
        </w:tc>
      </w:tr>
      <w:tr>
        <w:trPr>
          <w:trHeight w:val="207"/>
        </w:trPr>
        <w:tc>
          <w:tcPr>
            <w:tcW w:w="6740" w:type="dxa"/>
            <w:vAlign w:val="bottom"/>
            <w:shd w:val="clear" w:color="auto" w:fill="F5F5F5"/>
          </w:tcPr>
          <w:p>
            <w:pPr>
              <w:ind w:left="140"/>
              <w:spacing w:after="0"/>
              <w:rPr>
                <w:sz w:val="20"/>
                <w:szCs w:val="20"/>
                <w:color w:val="auto"/>
              </w:rPr>
            </w:pPr>
            <w:r>
              <w:rPr>
                <w:rFonts w:ascii="Arial" w:cs="Arial" w:eastAsia="Arial" w:hAnsi="Arial"/>
                <w:sz w:val="14"/>
                <w:szCs w:val="14"/>
                <w:color w:val="auto"/>
              </w:rPr>
              <w:t>Foreign</w:t>
            </w:r>
          </w:p>
        </w:tc>
        <w:tc>
          <w:tcPr>
            <w:tcW w:w="380" w:type="dxa"/>
            <w:vAlign w:val="bottom"/>
            <w:tcBorders>
              <w:bottom w:val="single" w:sz="8" w:color="auto"/>
            </w:tcBorders>
            <w:shd w:val="clear" w:color="auto" w:fill="F5F5F5"/>
          </w:tcPr>
          <w:p>
            <w:pPr>
              <w:spacing w:after="0"/>
              <w:rPr>
                <w:sz w:val="17"/>
                <w:szCs w:val="17"/>
                <w:color w:val="auto"/>
              </w:rPr>
            </w:pPr>
          </w:p>
        </w:tc>
        <w:tc>
          <w:tcPr>
            <w:tcW w:w="104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220</w:t>
            </w:r>
          </w:p>
        </w:tc>
        <w:tc>
          <w:tcPr>
            <w:tcW w:w="100" w:type="dxa"/>
            <w:vAlign w:val="bottom"/>
            <w:shd w:val="clear" w:color="auto" w:fill="F5F5F5"/>
          </w:tcPr>
          <w:p>
            <w:pPr>
              <w:spacing w:after="0"/>
              <w:rPr>
                <w:sz w:val="17"/>
                <w:szCs w:val="17"/>
                <w:color w:val="auto"/>
              </w:rPr>
            </w:pPr>
          </w:p>
        </w:tc>
        <w:tc>
          <w:tcPr>
            <w:tcW w:w="400" w:type="dxa"/>
            <w:vAlign w:val="bottom"/>
            <w:tcBorders>
              <w:bottom w:val="single" w:sz="8" w:color="auto"/>
            </w:tcBorders>
            <w:shd w:val="clear" w:color="auto" w:fill="F5F5F5"/>
          </w:tcPr>
          <w:p>
            <w:pPr>
              <w:spacing w:after="0"/>
              <w:rPr>
                <w:sz w:val="17"/>
                <w:szCs w:val="17"/>
                <w:color w:val="auto"/>
              </w:rPr>
            </w:pPr>
          </w:p>
        </w:tc>
        <w:tc>
          <w:tcPr>
            <w:tcW w:w="104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5,613</w:t>
            </w:r>
          </w:p>
        </w:tc>
        <w:tc>
          <w:tcPr>
            <w:tcW w:w="100" w:type="dxa"/>
            <w:vAlign w:val="bottom"/>
            <w:shd w:val="clear" w:color="auto" w:fill="F5F5F5"/>
          </w:tcPr>
          <w:p>
            <w:pPr>
              <w:spacing w:after="0"/>
              <w:rPr>
                <w:sz w:val="17"/>
                <w:szCs w:val="17"/>
                <w:color w:val="auto"/>
              </w:rPr>
            </w:pPr>
          </w:p>
        </w:tc>
        <w:tc>
          <w:tcPr>
            <w:tcW w:w="400" w:type="dxa"/>
            <w:vAlign w:val="bottom"/>
            <w:tcBorders>
              <w:bottom w:val="single" w:sz="8" w:color="auto"/>
            </w:tcBorders>
            <w:shd w:val="clear" w:color="auto" w:fill="F5F5F5"/>
          </w:tcPr>
          <w:p>
            <w:pPr>
              <w:spacing w:after="0"/>
              <w:rPr>
                <w:sz w:val="17"/>
                <w:szCs w:val="17"/>
                <w:color w:val="auto"/>
              </w:rPr>
            </w:pPr>
          </w:p>
        </w:tc>
        <w:tc>
          <w:tcPr>
            <w:tcW w:w="104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6,792</w:t>
            </w:r>
          </w:p>
        </w:tc>
      </w:tr>
      <w:tr>
        <w:trPr>
          <w:trHeight w:val="192"/>
        </w:trPr>
        <w:tc>
          <w:tcPr>
            <w:tcW w:w="6740" w:type="dxa"/>
            <w:vAlign w:val="bottom"/>
            <w:tcBorders>
              <w:bottom w:val="single" w:sz="8" w:color="F5F5F5"/>
            </w:tcBorders>
          </w:tcPr>
          <w:p>
            <w:pPr>
              <w:ind w:left="20"/>
              <w:spacing w:after="0"/>
              <w:rPr>
                <w:sz w:val="20"/>
                <w:szCs w:val="20"/>
                <w:color w:val="auto"/>
              </w:rPr>
            </w:pPr>
            <w:r>
              <w:rPr>
                <w:rFonts w:ascii="Arial" w:cs="Arial" w:eastAsia="Arial" w:hAnsi="Arial"/>
                <w:sz w:val="14"/>
                <w:szCs w:val="14"/>
                <w:color w:val="auto"/>
              </w:rPr>
              <w:t>Total deferred</w:t>
            </w: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(12,278)</w:t>
            </w:r>
          </w:p>
        </w:tc>
        <w:tc>
          <w:tcPr>
            <w:tcW w:w="100" w:type="dxa"/>
            <w:vAlign w:val="bottom"/>
            <w:tcBorders>
              <w:bottom w:val="single" w:sz="8" w:color="F5F5F5"/>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(4,743)</w:t>
            </w:r>
          </w:p>
        </w:tc>
        <w:tc>
          <w:tcPr>
            <w:tcW w:w="100" w:type="dxa"/>
            <w:vAlign w:val="bottom"/>
            <w:tcBorders>
              <w:bottom w:val="single" w:sz="8" w:color="F5F5F5"/>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11,500</w:t>
            </w:r>
          </w:p>
        </w:tc>
      </w:tr>
      <w:tr>
        <w:trPr>
          <w:trHeight w:val="221"/>
        </w:trPr>
        <w:tc>
          <w:tcPr>
            <w:tcW w:w="6740" w:type="dxa"/>
            <w:vAlign w:val="bottom"/>
            <w:tcBorders>
              <w:bottom w:val="single" w:sz="8" w:color="F5F5F5"/>
            </w:tcBorders>
            <w:shd w:val="clear" w:color="auto" w:fill="F5F5F5"/>
          </w:tcPr>
          <w:p>
            <w:pPr>
              <w:ind w:left="20"/>
              <w:spacing w:after="0"/>
              <w:rPr>
                <w:sz w:val="20"/>
                <w:szCs w:val="20"/>
                <w:color w:val="auto"/>
              </w:rPr>
            </w:pPr>
            <w:r>
              <w:rPr>
                <w:rFonts w:ascii="Arial" w:cs="Arial" w:eastAsia="Arial" w:hAnsi="Arial"/>
                <w:sz w:val="14"/>
                <w:szCs w:val="14"/>
                <w:color w:val="auto"/>
              </w:rPr>
              <w:t>Income tax expense</w:t>
            </w:r>
          </w:p>
        </w:tc>
        <w:tc>
          <w:tcPr>
            <w:tcW w:w="380" w:type="dxa"/>
            <w:vAlign w:val="bottom"/>
            <w:tcBorders>
              <w:bottom w:val="single" w:sz="8" w:color="auto"/>
            </w:tcBorders>
            <w:shd w:val="clear" w:color="auto" w:fill="F5F5F5"/>
          </w:tcPr>
          <w:p>
            <w:pPr>
              <w:jc w:val="right"/>
              <w:ind w:right="22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194,661</w:t>
            </w:r>
          </w:p>
        </w:tc>
        <w:tc>
          <w:tcPr>
            <w:tcW w:w="100" w:type="dxa"/>
            <w:vAlign w:val="bottom"/>
            <w:tcBorders>
              <w:bottom w:val="single" w:sz="8" w:color="F5F5F5"/>
            </w:tcBorders>
            <w:shd w:val="clear" w:color="auto" w:fill="F5F5F5"/>
          </w:tcPr>
          <w:p>
            <w:pPr>
              <w:spacing w:after="0"/>
              <w:rPr>
                <w:sz w:val="18"/>
                <w:szCs w:val="18"/>
                <w:color w:val="auto"/>
              </w:rPr>
            </w:pPr>
          </w:p>
        </w:tc>
        <w:tc>
          <w:tcPr>
            <w:tcW w:w="400" w:type="dxa"/>
            <w:vAlign w:val="bottom"/>
            <w:tcBorders>
              <w:bottom w:val="single" w:sz="8" w:color="auto"/>
            </w:tcBorders>
            <w:shd w:val="clear" w:color="auto" w:fill="F5F5F5"/>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148,886</w:t>
            </w:r>
          </w:p>
        </w:tc>
        <w:tc>
          <w:tcPr>
            <w:tcW w:w="100" w:type="dxa"/>
            <w:vAlign w:val="bottom"/>
            <w:tcBorders>
              <w:bottom w:val="single" w:sz="8" w:color="F5F5F5"/>
            </w:tcBorders>
            <w:shd w:val="clear" w:color="auto" w:fill="F5F5F5"/>
          </w:tcPr>
          <w:p>
            <w:pPr>
              <w:spacing w:after="0"/>
              <w:rPr>
                <w:sz w:val="18"/>
                <w:szCs w:val="18"/>
                <w:color w:val="auto"/>
              </w:rPr>
            </w:pPr>
          </w:p>
        </w:tc>
        <w:tc>
          <w:tcPr>
            <w:tcW w:w="400" w:type="dxa"/>
            <w:vAlign w:val="bottom"/>
            <w:tcBorders>
              <w:bottom w:val="single" w:sz="8" w:color="auto"/>
            </w:tcBorders>
            <w:shd w:val="clear" w:color="auto" w:fill="F5F5F5"/>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56,631</w:t>
            </w:r>
          </w:p>
        </w:tc>
      </w:tr>
      <w:tr>
        <w:trPr>
          <w:trHeight w:val="20"/>
        </w:trPr>
        <w:tc>
          <w:tcPr>
            <w:tcW w:w="6740" w:type="dxa"/>
            <w:vAlign w:val="bottom"/>
            <w:tcBorders>
              <w:top w:val="single" w:sz="8" w:color="F5F5F5"/>
            </w:tcBorders>
          </w:tcPr>
          <w:p>
            <w:pPr>
              <w:spacing w:after="0" w:line="20" w:lineRule="exact"/>
              <w:rPr>
                <w:sz w:val="1"/>
                <w:szCs w:val="1"/>
                <w:color w:val="auto"/>
              </w:rPr>
            </w:pPr>
          </w:p>
        </w:tc>
        <w:tc>
          <w:tcPr>
            <w:tcW w:w="380" w:type="dxa"/>
            <w:vAlign w:val="bottom"/>
            <w:tcBorders>
              <w:top w:val="single" w:sz="8" w:color="F5F5F5"/>
              <w:bottom w:val="single" w:sz="8" w:color="auto"/>
            </w:tcBorders>
          </w:tcPr>
          <w:p>
            <w:pPr>
              <w:spacing w:after="0" w:line="20" w:lineRule="exact"/>
              <w:rPr>
                <w:sz w:val="1"/>
                <w:szCs w:val="1"/>
                <w:color w:val="auto"/>
              </w:rPr>
            </w:pPr>
          </w:p>
        </w:tc>
        <w:tc>
          <w:tcPr>
            <w:tcW w:w="1040" w:type="dxa"/>
            <w:vAlign w:val="bottom"/>
            <w:tcBorders>
              <w:top w:val="single" w:sz="8" w:color="F5F5F5"/>
              <w:bottom w:val="single" w:sz="8" w:color="auto"/>
            </w:tcBorders>
          </w:tcPr>
          <w:p>
            <w:pPr>
              <w:spacing w:after="0" w:line="20" w:lineRule="exact"/>
              <w:rPr>
                <w:sz w:val="1"/>
                <w:szCs w:val="1"/>
                <w:color w:val="auto"/>
              </w:rPr>
            </w:pPr>
          </w:p>
        </w:tc>
        <w:tc>
          <w:tcPr>
            <w:tcW w:w="100" w:type="dxa"/>
            <w:vAlign w:val="bottom"/>
            <w:tcBorders>
              <w:top w:val="single" w:sz="8" w:color="F5F5F5"/>
            </w:tcBorders>
          </w:tcPr>
          <w:p>
            <w:pPr>
              <w:spacing w:after="0" w:line="20" w:lineRule="exact"/>
              <w:rPr>
                <w:sz w:val="1"/>
                <w:szCs w:val="1"/>
                <w:color w:val="auto"/>
              </w:rPr>
            </w:pPr>
          </w:p>
        </w:tc>
        <w:tc>
          <w:tcPr>
            <w:tcW w:w="400" w:type="dxa"/>
            <w:vAlign w:val="bottom"/>
            <w:tcBorders>
              <w:top w:val="single" w:sz="8" w:color="F5F5F5"/>
              <w:bottom w:val="single" w:sz="8" w:color="auto"/>
            </w:tcBorders>
          </w:tcPr>
          <w:p>
            <w:pPr>
              <w:spacing w:after="0" w:line="20" w:lineRule="exact"/>
              <w:rPr>
                <w:sz w:val="1"/>
                <w:szCs w:val="1"/>
                <w:color w:val="auto"/>
              </w:rPr>
            </w:pPr>
          </w:p>
        </w:tc>
        <w:tc>
          <w:tcPr>
            <w:tcW w:w="1040" w:type="dxa"/>
            <w:vAlign w:val="bottom"/>
            <w:tcBorders>
              <w:top w:val="single" w:sz="8" w:color="F5F5F5"/>
              <w:bottom w:val="single" w:sz="8" w:color="auto"/>
            </w:tcBorders>
          </w:tcPr>
          <w:p>
            <w:pPr>
              <w:spacing w:after="0" w:line="20" w:lineRule="exact"/>
              <w:rPr>
                <w:sz w:val="1"/>
                <w:szCs w:val="1"/>
                <w:color w:val="auto"/>
              </w:rPr>
            </w:pPr>
          </w:p>
        </w:tc>
        <w:tc>
          <w:tcPr>
            <w:tcW w:w="100" w:type="dxa"/>
            <w:vAlign w:val="bottom"/>
            <w:tcBorders>
              <w:top w:val="single" w:sz="8" w:color="F5F5F5"/>
            </w:tcBorders>
          </w:tcPr>
          <w:p>
            <w:pPr>
              <w:spacing w:after="0" w:line="20" w:lineRule="exact"/>
              <w:rPr>
                <w:sz w:val="1"/>
                <w:szCs w:val="1"/>
                <w:color w:val="auto"/>
              </w:rPr>
            </w:pPr>
          </w:p>
        </w:tc>
        <w:tc>
          <w:tcPr>
            <w:tcW w:w="400" w:type="dxa"/>
            <w:vAlign w:val="bottom"/>
            <w:tcBorders>
              <w:top w:val="single" w:sz="8" w:color="F5F5F5"/>
              <w:bottom w:val="single" w:sz="8" w:color="auto"/>
            </w:tcBorders>
          </w:tcPr>
          <w:p>
            <w:pPr>
              <w:spacing w:after="0" w:line="20" w:lineRule="exact"/>
              <w:rPr>
                <w:sz w:val="1"/>
                <w:szCs w:val="1"/>
                <w:color w:val="auto"/>
              </w:rPr>
            </w:pPr>
          </w:p>
        </w:tc>
        <w:tc>
          <w:tcPr>
            <w:tcW w:w="1040" w:type="dxa"/>
            <w:vAlign w:val="bottom"/>
            <w:tcBorders>
              <w:top w:val="single" w:sz="8" w:color="F5F5F5"/>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Company’s earnings and profits from its foreign subsidiaries could be repatriated to the U.S., without incurring additional federal income tax. The Company determined that the balance of the Company’s undistributed earnings and profits from its foreign subsidiaries as of February 2, 2019, are considered indefinitely reinvested outside of the U.S., and if these funds were to be repatriated to the U.S., the Company would expect to incur an insignificant amount of state income taxes and foreign withholding taxes. The Company accrues for both state income taxes and foreign withholding taxes with respect to earnings and profits earned after February 2, 2019, in such a manner that these funds may be repatriated without incurring additional tax expense.</w:t>
      </w: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color w:val="auto"/>
        </w:rPr>
        <w:t>Reconciliation between the statutory federal income tax rate and the effective tax rate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460" w:type="dxa"/>
            <w:vAlign w:val="bottom"/>
          </w:tcPr>
          <w:p>
            <w:pPr>
              <w:spacing w:after="0"/>
              <w:rPr>
                <w:sz w:val="16"/>
                <w:szCs w:val="16"/>
                <w:color w:val="auto"/>
              </w:rPr>
            </w:pPr>
          </w:p>
        </w:tc>
        <w:tc>
          <w:tcPr>
            <w:tcW w:w="1620" w:type="dxa"/>
            <w:vAlign w:val="bottom"/>
            <w:gridSpan w:val="2"/>
          </w:tcPr>
          <w:p>
            <w:pPr>
              <w:ind w:left="760"/>
              <w:spacing w:after="0"/>
              <w:rPr>
                <w:sz w:val="20"/>
                <w:szCs w:val="20"/>
                <w:color w:val="auto"/>
              </w:rPr>
            </w:pPr>
            <w:r>
              <w:rPr>
                <w:rFonts w:ascii="Arial" w:cs="Arial" w:eastAsia="Arial" w:hAnsi="Arial"/>
                <w:sz w:val="14"/>
                <w:szCs w:val="14"/>
                <w:color w:val="auto"/>
              </w:rPr>
              <w:t>Fiscal 2024</w:t>
            </w:r>
          </w:p>
        </w:tc>
        <w:tc>
          <w:tcPr>
            <w:tcW w:w="1620" w:type="dxa"/>
            <w:vAlign w:val="bottom"/>
            <w:gridSpan w:val="2"/>
          </w:tcPr>
          <w:p>
            <w:pPr>
              <w:ind w:left="760"/>
              <w:spacing w:after="0"/>
              <w:rPr>
                <w:sz w:val="20"/>
                <w:szCs w:val="20"/>
                <w:color w:val="auto"/>
              </w:rPr>
            </w:pPr>
            <w:r>
              <w:rPr>
                <w:rFonts w:ascii="Arial" w:cs="Arial" w:eastAsia="Arial" w:hAnsi="Arial"/>
                <w:sz w:val="14"/>
                <w:szCs w:val="14"/>
                <w:color w:val="auto"/>
              </w:rPr>
              <w:t>Fiscal 2023</w:t>
            </w:r>
          </w:p>
        </w:tc>
        <w:tc>
          <w:tcPr>
            <w:tcW w:w="1520" w:type="dxa"/>
            <w:vAlign w:val="bottom"/>
          </w:tcPr>
          <w:p>
            <w:pPr>
              <w:jc w:val="right"/>
              <w:spacing w:after="0"/>
              <w:rPr>
                <w:sz w:val="20"/>
                <w:szCs w:val="20"/>
                <w:color w:val="auto"/>
              </w:rPr>
            </w:pPr>
            <w:r>
              <w:rPr>
                <w:rFonts w:ascii="Arial" w:cs="Arial" w:eastAsia="Arial" w:hAnsi="Arial"/>
                <w:sz w:val="14"/>
                <w:szCs w:val="14"/>
                <w:color w:val="auto"/>
              </w:rPr>
              <w:t>Fiscal 2022</w:t>
            </w:r>
          </w:p>
        </w:tc>
      </w:tr>
      <w:tr>
        <w:trPr>
          <w:trHeight w:val="200"/>
        </w:trPr>
        <w:tc>
          <w:tcPr>
            <w:tcW w:w="6460" w:type="dxa"/>
            <w:vAlign w:val="bottom"/>
            <w:tcBorders>
              <w:top w:val="single" w:sz="8" w:color="F5F5F5"/>
            </w:tcBorders>
            <w:shd w:val="clear" w:color="auto" w:fill="F5F5F5"/>
          </w:tcPr>
          <w:p>
            <w:pPr>
              <w:ind w:left="20"/>
              <w:spacing w:after="0"/>
              <w:rPr>
                <w:sz w:val="20"/>
                <w:szCs w:val="20"/>
                <w:color w:val="auto"/>
              </w:rPr>
            </w:pPr>
            <w:r>
              <w:rPr>
                <w:rFonts w:ascii="Arial" w:cs="Arial" w:eastAsia="Arial" w:hAnsi="Arial"/>
                <w:sz w:val="14"/>
                <w:szCs w:val="14"/>
                <w:color w:val="auto"/>
              </w:rPr>
              <w:t>U.S. Federal income tax rate</w:t>
            </w:r>
          </w:p>
        </w:tc>
        <w:tc>
          <w:tcPr>
            <w:tcW w:w="152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21.0 %</w:t>
            </w:r>
          </w:p>
        </w:tc>
        <w:tc>
          <w:tcPr>
            <w:tcW w:w="100" w:type="dxa"/>
            <w:vAlign w:val="bottom"/>
            <w:tcBorders>
              <w:top w:val="single" w:sz="8" w:color="F5F5F5"/>
            </w:tcBorders>
            <w:shd w:val="clear" w:color="auto" w:fill="F5F5F5"/>
          </w:tcPr>
          <w:p>
            <w:pPr>
              <w:spacing w:after="0"/>
              <w:rPr>
                <w:sz w:val="17"/>
                <w:szCs w:val="17"/>
                <w:color w:val="auto"/>
              </w:rPr>
            </w:pPr>
          </w:p>
        </w:tc>
        <w:tc>
          <w:tcPr>
            <w:tcW w:w="152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21.0 %</w:t>
            </w:r>
          </w:p>
        </w:tc>
        <w:tc>
          <w:tcPr>
            <w:tcW w:w="100" w:type="dxa"/>
            <w:vAlign w:val="bottom"/>
            <w:tcBorders>
              <w:top w:val="single" w:sz="8" w:color="F5F5F5"/>
            </w:tcBorders>
            <w:shd w:val="clear" w:color="auto" w:fill="F5F5F5"/>
          </w:tcPr>
          <w:p>
            <w:pPr>
              <w:spacing w:after="0"/>
              <w:rPr>
                <w:sz w:val="17"/>
                <w:szCs w:val="17"/>
                <w:color w:val="auto"/>
              </w:rPr>
            </w:pPr>
          </w:p>
        </w:tc>
        <w:tc>
          <w:tcPr>
            <w:tcW w:w="152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21.0 %</w:t>
            </w:r>
          </w:p>
        </w:tc>
      </w:tr>
      <w:tr>
        <w:trPr>
          <w:trHeight w:val="199"/>
        </w:trPr>
        <w:tc>
          <w:tcPr>
            <w:tcW w:w="6460" w:type="dxa"/>
            <w:vAlign w:val="bottom"/>
          </w:tcPr>
          <w:p>
            <w:pPr>
              <w:ind w:left="20"/>
              <w:spacing w:after="0"/>
              <w:rPr>
                <w:sz w:val="20"/>
                <w:szCs w:val="20"/>
                <w:color w:val="auto"/>
              </w:rPr>
            </w:pPr>
            <w:r>
              <w:rPr>
                <w:rFonts w:ascii="Arial" w:cs="Arial" w:eastAsia="Arial" w:hAnsi="Arial"/>
                <w:sz w:val="14"/>
                <w:szCs w:val="14"/>
                <w:color w:val="auto"/>
              </w:rPr>
              <w:t>State income tax, net of U.S. federal income tax effect</w:t>
            </w:r>
          </w:p>
        </w:tc>
        <w:tc>
          <w:tcPr>
            <w:tcW w:w="1520" w:type="dxa"/>
            <w:vAlign w:val="bottom"/>
          </w:tcPr>
          <w:p>
            <w:pPr>
              <w:jc w:val="right"/>
              <w:ind w:right="128"/>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7"/>
                <w:szCs w:val="17"/>
                <w:color w:val="auto"/>
              </w:rPr>
            </w:pPr>
          </w:p>
        </w:tc>
        <w:tc>
          <w:tcPr>
            <w:tcW w:w="1520" w:type="dxa"/>
            <w:vAlign w:val="bottom"/>
          </w:tcPr>
          <w:p>
            <w:pPr>
              <w:jc w:val="right"/>
              <w:ind w:right="128"/>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7"/>
                <w:szCs w:val="17"/>
                <w:color w:val="auto"/>
              </w:rPr>
            </w:pPr>
          </w:p>
        </w:tc>
        <w:tc>
          <w:tcPr>
            <w:tcW w:w="1520" w:type="dxa"/>
            <w:vAlign w:val="bottom"/>
          </w:tcPr>
          <w:p>
            <w:pPr>
              <w:jc w:val="right"/>
              <w:ind w:right="128"/>
              <w:spacing w:after="0"/>
              <w:rPr>
                <w:sz w:val="20"/>
                <w:szCs w:val="20"/>
                <w:color w:val="auto"/>
              </w:rPr>
            </w:pPr>
            <w:r>
              <w:rPr>
                <w:rFonts w:ascii="Arial" w:cs="Arial" w:eastAsia="Arial" w:hAnsi="Arial"/>
                <w:sz w:val="14"/>
                <w:szCs w:val="14"/>
                <w:color w:val="auto"/>
              </w:rPr>
              <w:t>12.4</w:t>
            </w:r>
          </w:p>
        </w:tc>
      </w:tr>
      <w:tr>
        <w:trPr>
          <w:trHeight w:val="206"/>
        </w:trPr>
        <w:tc>
          <w:tcPr>
            <w:tcW w:w="6460" w:type="dxa"/>
            <w:vAlign w:val="bottom"/>
            <w:shd w:val="clear" w:color="auto" w:fill="F5F5F5"/>
          </w:tcPr>
          <w:p>
            <w:pPr>
              <w:ind w:left="20"/>
              <w:spacing w:after="0"/>
              <w:rPr>
                <w:sz w:val="20"/>
                <w:szCs w:val="20"/>
                <w:color w:val="auto"/>
              </w:rPr>
            </w:pPr>
            <w:r>
              <w:rPr>
                <w:rFonts w:ascii="Arial" w:cs="Arial" w:eastAsia="Arial" w:hAnsi="Arial"/>
                <w:sz w:val="14"/>
                <w:szCs w:val="14"/>
                <w:color w:val="auto"/>
              </w:rPr>
              <w:t>Foreign taxation of non-U.S. operations</w:t>
            </w:r>
          </w:p>
        </w:tc>
        <w:tc>
          <w:tcPr>
            <w:tcW w:w="1520" w:type="dxa"/>
            <w:vAlign w:val="bottom"/>
            <w:shd w:val="clear" w:color="auto" w:fill="F5F5F5"/>
          </w:tcPr>
          <w:p>
            <w:pPr>
              <w:jc w:val="right"/>
              <w:ind w:right="12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F5F5F5"/>
          </w:tcPr>
          <w:p>
            <w:pPr>
              <w:spacing w:after="0"/>
              <w:rPr>
                <w:sz w:val="17"/>
                <w:szCs w:val="17"/>
                <w:color w:val="auto"/>
              </w:rPr>
            </w:pPr>
          </w:p>
        </w:tc>
        <w:tc>
          <w:tcPr>
            <w:tcW w:w="1520" w:type="dxa"/>
            <w:vAlign w:val="bottom"/>
            <w:shd w:val="clear" w:color="auto" w:fill="F5F5F5"/>
          </w:tcPr>
          <w:p>
            <w:pPr>
              <w:jc w:val="right"/>
              <w:ind w:right="12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F5F5F5"/>
          </w:tcPr>
          <w:p>
            <w:pPr>
              <w:spacing w:after="0"/>
              <w:rPr>
                <w:sz w:val="17"/>
                <w:szCs w:val="17"/>
                <w:color w:val="auto"/>
              </w:rPr>
            </w:pPr>
          </w:p>
        </w:tc>
        <w:tc>
          <w:tcPr>
            <w:tcW w:w="1520" w:type="dxa"/>
            <w:vAlign w:val="bottom"/>
            <w:shd w:val="clear" w:color="auto" w:fill="F5F5F5"/>
          </w:tcPr>
          <w:p>
            <w:pPr>
              <w:jc w:val="right"/>
              <w:ind w:right="128"/>
              <w:spacing w:after="0"/>
              <w:rPr>
                <w:sz w:val="20"/>
                <w:szCs w:val="20"/>
                <w:color w:val="auto"/>
              </w:rPr>
            </w:pPr>
            <w:r>
              <w:rPr>
                <w:rFonts w:ascii="Arial" w:cs="Arial" w:eastAsia="Arial" w:hAnsi="Arial"/>
                <w:sz w:val="14"/>
                <w:szCs w:val="14"/>
                <w:color w:val="auto"/>
              </w:rPr>
              <w:t>16.2</w:t>
            </w:r>
          </w:p>
        </w:tc>
      </w:tr>
      <w:tr>
        <w:trPr>
          <w:trHeight w:val="199"/>
        </w:trPr>
        <w:tc>
          <w:tcPr>
            <w:tcW w:w="6460" w:type="dxa"/>
            <w:vAlign w:val="bottom"/>
          </w:tcPr>
          <w:p>
            <w:pPr>
              <w:ind w:left="20"/>
              <w:spacing w:after="0"/>
              <w:rPr>
                <w:sz w:val="20"/>
                <w:szCs w:val="20"/>
                <w:color w:val="auto"/>
              </w:rPr>
            </w:pPr>
            <w:r>
              <w:rPr>
                <w:rFonts w:ascii="Arial" w:cs="Arial" w:eastAsia="Arial" w:hAnsi="Arial"/>
                <w:sz w:val="14"/>
                <w:szCs w:val="14"/>
                <w:color w:val="auto"/>
              </w:rPr>
              <w:t>Internal Revenue Code Section 162(m)</w:t>
            </w:r>
          </w:p>
        </w:tc>
        <w:tc>
          <w:tcPr>
            <w:tcW w:w="1520" w:type="dxa"/>
            <w:vAlign w:val="bottom"/>
          </w:tcPr>
          <w:p>
            <w:pPr>
              <w:jc w:val="right"/>
              <w:ind w:right="128"/>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7"/>
                <w:szCs w:val="17"/>
                <w:color w:val="auto"/>
              </w:rPr>
            </w:pPr>
          </w:p>
        </w:tc>
        <w:tc>
          <w:tcPr>
            <w:tcW w:w="1520" w:type="dxa"/>
            <w:vAlign w:val="bottom"/>
          </w:tcPr>
          <w:p>
            <w:pPr>
              <w:jc w:val="right"/>
              <w:ind w:right="12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1520" w:type="dxa"/>
            <w:vAlign w:val="bottom"/>
          </w:tcPr>
          <w:p>
            <w:pPr>
              <w:jc w:val="right"/>
              <w:ind w:right="128"/>
              <w:spacing w:after="0"/>
              <w:rPr>
                <w:sz w:val="20"/>
                <w:szCs w:val="20"/>
                <w:color w:val="auto"/>
              </w:rPr>
            </w:pPr>
            <w:r>
              <w:rPr>
                <w:rFonts w:ascii="Arial" w:cs="Arial" w:eastAsia="Arial" w:hAnsi="Arial"/>
                <w:sz w:val="14"/>
                <w:szCs w:val="14"/>
                <w:color w:val="auto"/>
              </w:rPr>
              <w:t>4.6</w:t>
            </w:r>
          </w:p>
        </w:tc>
      </w:tr>
      <w:tr>
        <w:trPr>
          <w:trHeight w:val="206"/>
        </w:trPr>
        <w:tc>
          <w:tcPr>
            <w:tcW w:w="6460" w:type="dxa"/>
            <w:vAlign w:val="bottom"/>
            <w:shd w:val="clear" w:color="auto" w:fill="F5F5F5"/>
          </w:tcPr>
          <w:p>
            <w:pPr>
              <w:ind w:left="20"/>
              <w:spacing w:after="0"/>
              <w:rPr>
                <w:sz w:val="20"/>
                <w:szCs w:val="20"/>
                <w:color w:val="auto"/>
              </w:rPr>
            </w:pPr>
            <w:r>
              <w:rPr>
                <w:rFonts w:ascii="Arial" w:cs="Arial" w:eastAsia="Arial" w:hAnsi="Arial"/>
                <w:sz w:val="14"/>
                <w:szCs w:val="14"/>
                <w:color w:val="auto"/>
              </w:rPr>
              <w:t>Net change in valuation allowances</w:t>
            </w:r>
          </w:p>
        </w:tc>
        <w:tc>
          <w:tcPr>
            <w:tcW w:w="1520" w:type="dxa"/>
            <w:vAlign w:val="bottom"/>
            <w:shd w:val="clear" w:color="auto" w:fill="F5F5F5"/>
          </w:tcPr>
          <w:p>
            <w:pPr>
              <w:jc w:val="right"/>
              <w:ind w:right="128"/>
              <w:spacing w:after="0"/>
              <w:rPr>
                <w:sz w:val="20"/>
                <w:szCs w:val="20"/>
                <w:color w:val="auto"/>
              </w:rPr>
            </w:pPr>
            <w:r>
              <w:rPr>
                <w:rFonts w:ascii="Arial" w:cs="Arial" w:eastAsia="Arial" w:hAnsi="Arial"/>
                <w:sz w:val="14"/>
                <w:szCs w:val="14"/>
                <w:color w:val="auto"/>
              </w:rPr>
              <w:t>0.6</w:t>
            </w:r>
          </w:p>
        </w:tc>
        <w:tc>
          <w:tcPr>
            <w:tcW w:w="100" w:type="dxa"/>
            <w:vAlign w:val="bottom"/>
            <w:shd w:val="clear" w:color="auto" w:fill="F5F5F5"/>
          </w:tcPr>
          <w:p>
            <w:pPr>
              <w:spacing w:after="0"/>
              <w:rPr>
                <w:sz w:val="17"/>
                <w:szCs w:val="17"/>
                <w:color w:val="auto"/>
              </w:rPr>
            </w:pPr>
          </w:p>
        </w:tc>
        <w:tc>
          <w:tcPr>
            <w:tcW w:w="1520" w:type="dxa"/>
            <w:vAlign w:val="bottom"/>
            <w:shd w:val="clear" w:color="auto" w:fill="F5F5F5"/>
          </w:tcPr>
          <w:p>
            <w:pPr>
              <w:jc w:val="right"/>
              <w:ind w:right="128"/>
              <w:spacing w:after="0"/>
              <w:rPr>
                <w:sz w:val="20"/>
                <w:szCs w:val="20"/>
                <w:color w:val="auto"/>
              </w:rPr>
            </w:pPr>
            <w:r>
              <w:rPr>
                <w:rFonts w:ascii="Arial" w:cs="Arial" w:eastAsia="Arial" w:hAnsi="Arial"/>
                <w:sz w:val="14"/>
                <w:szCs w:val="14"/>
                <w:color w:val="auto"/>
              </w:rPr>
              <w:t>3.4</w:t>
            </w:r>
          </w:p>
        </w:tc>
        <w:tc>
          <w:tcPr>
            <w:tcW w:w="100" w:type="dxa"/>
            <w:vAlign w:val="bottom"/>
            <w:shd w:val="clear" w:color="auto" w:fill="F5F5F5"/>
          </w:tcPr>
          <w:p>
            <w:pPr>
              <w:spacing w:after="0"/>
              <w:rPr>
                <w:sz w:val="17"/>
                <w:szCs w:val="17"/>
                <w:color w:val="auto"/>
              </w:rPr>
            </w:pPr>
          </w:p>
        </w:tc>
        <w:tc>
          <w:tcPr>
            <w:tcW w:w="1520" w:type="dxa"/>
            <w:vAlign w:val="bottom"/>
            <w:shd w:val="clear" w:color="auto" w:fill="F5F5F5"/>
          </w:tcPr>
          <w:p>
            <w:pPr>
              <w:jc w:val="right"/>
              <w:ind w:right="128"/>
              <w:spacing w:after="0"/>
              <w:rPr>
                <w:sz w:val="20"/>
                <w:szCs w:val="20"/>
                <w:color w:val="auto"/>
              </w:rPr>
            </w:pPr>
            <w:r>
              <w:rPr>
                <w:rFonts w:ascii="Arial" w:cs="Arial" w:eastAsia="Arial" w:hAnsi="Arial"/>
                <w:sz w:val="14"/>
                <w:szCs w:val="14"/>
                <w:color w:val="auto"/>
              </w:rPr>
              <w:t>30.7</w:t>
            </w:r>
          </w:p>
        </w:tc>
      </w:tr>
      <w:tr>
        <w:trPr>
          <w:trHeight w:val="198"/>
        </w:trPr>
        <w:tc>
          <w:tcPr>
            <w:tcW w:w="6460" w:type="dxa"/>
            <w:vAlign w:val="bottom"/>
          </w:tcPr>
          <w:p>
            <w:pPr>
              <w:ind w:left="20"/>
              <w:spacing w:after="0"/>
              <w:rPr>
                <w:sz w:val="20"/>
                <w:szCs w:val="20"/>
                <w:color w:val="auto"/>
              </w:rPr>
            </w:pPr>
            <w:r>
              <w:rPr>
                <w:rFonts w:ascii="Arial" w:cs="Arial" w:eastAsia="Arial" w:hAnsi="Arial"/>
                <w:sz w:val="14"/>
                <w:szCs w:val="14"/>
                <w:color w:val="auto"/>
              </w:rPr>
              <w:t>Additional U.S. taxation of non-U.S. operations</w:t>
            </w:r>
          </w:p>
        </w:tc>
        <w:tc>
          <w:tcPr>
            <w:tcW w:w="1520" w:type="dxa"/>
            <w:vAlign w:val="bottom"/>
          </w:tcPr>
          <w:p>
            <w:pPr>
              <w:jc w:val="right"/>
              <w:ind w:right="12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7"/>
                <w:szCs w:val="17"/>
                <w:color w:val="auto"/>
              </w:rPr>
            </w:pPr>
          </w:p>
        </w:tc>
        <w:tc>
          <w:tcPr>
            <w:tcW w:w="1520" w:type="dxa"/>
            <w:vAlign w:val="bottom"/>
          </w:tcPr>
          <w:p>
            <w:pPr>
              <w:jc w:val="right"/>
              <w:ind w:right="12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7"/>
                <w:szCs w:val="17"/>
                <w:color w:val="auto"/>
              </w:rPr>
            </w:pPr>
          </w:p>
        </w:tc>
        <w:tc>
          <w:tcPr>
            <w:tcW w:w="1520" w:type="dxa"/>
            <w:vAlign w:val="bottom"/>
          </w:tcPr>
          <w:p>
            <w:pPr>
              <w:jc w:val="right"/>
              <w:ind w:right="128"/>
              <w:spacing w:after="0"/>
              <w:rPr>
                <w:sz w:val="20"/>
                <w:szCs w:val="20"/>
                <w:color w:val="auto"/>
              </w:rPr>
            </w:pPr>
            <w:r>
              <w:rPr>
                <w:rFonts w:ascii="Arial" w:cs="Arial" w:eastAsia="Arial" w:hAnsi="Arial"/>
                <w:sz w:val="14"/>
                <w:szCs w:val="14"/>
                <w:color w:val="auto"/>
              </w:rPr>
              <w:t>1.3</w:t>
            </w:r>
          </w:p>
        </w:tc>
      </w:tr>
      <w:tr>
        <w:trPr>
          <w:trHeight w:val="207"/>
        </w:trPr>
        <w:tc>
          <w:tcPr>
            <w:tcW w:w="6460" w:type="dxa"/>
            <w:vAlign w:val="bottom"/>
            <w:shd w:val="clear" w:color="auto" w:fill="F5F5F5"/>
          </w:tcPr>
          <w:p>
            <w:pPr>
              <w:ind w:left="20"/>
              <w:spacing w:after="0"/>
              <w:rPr>
                <w:sz w:val="20"/>
                <w:szCs w:val="20"/>
                <w:color w:val="auto"/>
              </w:rPr>
            </w:pPr>
            <w:r>
              <w:rPr>
                <w:rFonts w:ascii="Arial" w:cs="Arial" w:eastAsia="Arial" w:hAnsi="Arial"/>
                <w:sz w:val="14"/>
                <w:szCs w:val="14"/>
                <w:color w:val="auto"/>
              </w:rPr>
              <w:t>Credit for increasing research activities</w:t>
            </w:r>
          </w:p>
        </w:tc>
        <w:tc>
          <w:tcPr>
            <w:tcW w:w="1520" w:type="dxa"/>
            <w:vAlign w:val="bottom"/>
            <w:shd w:val="clear" w:color="auto" w:fill="F5F5F5"/>
          </w:tcPr>
          <w:p>
            <w:pPr>
              <w:jc w:val="right"/>
              <w:ind w:right="8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F5F5F5"/>
          </w:tcPr>
          <w:p>
            <w:pPr>
              <w:spacing w:after="0"/>
              <w:rPr>
                <w:sz w:val="17"/>
                <w:szCs w:val="17"/>
                <w:color w:val="auto"/>
              </w:rPr>
            </w:pPr>
          </w:p>
        </w:tc>
        <w:tc>
          <w:tcPr>
            <w:tcW w:w="1520" w:type="dxa"/>
            <w:vAlign w:val="bottom"/>
            <w:shd w:val="clear" w:color="auto" w:fill="F5F5F5"/>
          </w:tcPr>
          <w:p>
            <w:pPr>
              <w:jc w:val="right"/>
              <w:ind w:right="88"/>
              <w:spacing w:after="0"/>
              <w:rPr>
                <w:sz w:val="20"/>
                <w:szCs w:val="20"/>
                <w:color w:val="auto"/>
              </w:rPr>
            </w:pPr>
            <w:r>
              <w:rPr>
                <w:rFonts w:ascii="Arial" w:cs="Arial" w:eastAsia="Arial" w:hAnsi="Arial"/>
                <w:sz w:val="14"/>
                <w:szCs w:val="14"/>
                <w:color w:val="auto"/>
              </w:rPr>
              <w:t>(0.5)</w:t>
            </w:r>
          </w:p>
        </w:tc>
        <w:tc>
          <w:tcPr>
            <w:tcW w:w="100" w:type="dxa"/>
            <w:vAlign w:val="bottom"/>
            <w:shd w:val="clear" w:color="auto" w:fill="F5F5F5"/>
          </w:tcPr>
          <w:p>
            <w:pPr>
              <w:spacing w:after="0"/>
              <w:rPr>
                <w:sz w:val="17"/>
                <w:szCs w:val="17"/>
                <w:color w:val="auto"/>
              </w:rPr>
            </w:pPr>
          </w:p>
        </w:tc>
        <w:tc>
          <w:tcPr>
            <w:tcW w:w="1520" w:type="dxa"/>
            <w:vAlign w:val="bottom"/>
            <w:shd w:val="clear" w:color="auto" w:fill="F5F5F5"/>
          </w:tcPr>
          <w:p>
            <w:pPr>
              <w:jc w:val="right"/>
              <w:ind w:right="88"/>
              <w:spacing w:after="0"/>
              <w:rPr>
                <w:sz w:val="20"/>
                <w:szCs w:val="20"/>
                <w:color w:val="auto"/>
              </w:rPr>
            </w:pPr>
            <w:r>
              <w:rPr>
                <w:rFonts w:ascii="Arial" w:cs="Arial" w:eastAsia="Arial" w:hAnsi="Arial"/>
                <w:sz w:val="14"/>
                <w:szCs w:val="14"/>
                <w:color w:val="auto"/>
              </w:rPr>
              <w:t>(2.5)</w:t>
            </w:r>
          </w:p>
        </w:tc>
      </w:tr>
      <w:tr>
        <w:trPr>
          <w:trHeight w:val="198"/>
        </w:trPr>
        <w:tc>
          <w:tcPr>
            <w:tcW w:w="6460" w:type="dxa"/>
            <w:vAlign w:val="bottom"/>
          </w:tcPr>
          <w:p>
            <w:pPr>
              <w:ind w:left="20"/>
              <w:spacing w:after="0"/>
              <w:rPr>
                <w:sz w:val="20"/>
                <w:szCs w:val="20"/>
                <w:color w:val="auto"/>
              </w:rPr>
            </w:pPr>
            <w:r>
              <w:rPr>
                <w:rFonts w:ascii="Arial" w:cs="Arial" w:eastAsia="Arial" w:hAnsi="Arial"/>
                <w:sz w:val="14"/>
                <w:szCs w:val="14"/>
                <w:color w:val="auto"/>
              </w:rPr>
              <w:t>Audit and other adjustments to prior years' accruals, net</w:t>
            </w:r>
          </w:p>
        </w:tc>
        <w:tc>
          <w:tcPr>
            <w:tcW w:w="1520" w:type="dxa"/>
            <w:vAlign w:val="bottom"/>
          </w:tcPr>
          <w:p>
            <w:pPr>
              <w:jc w:val="right"/>
              <w:ind w:right="8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7"/>
                <w:szCs w:val="17"/>
                <w:color w:val="auto"/>
              </w:rPr>
            </w:pPr>
          </w:p>
        </w:tc>
        <w:tc>
          <w:tcPr>
            <w:tcW w:w="1520" w:type="dxa"/>
            <w:vAlign w:val="bottom"/>
          </w:tcPr>
          <w:p>
            <w:pPr>
              <w:jc w:val="right"/>
              <w:ind w:right="8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7"/>
                <w:szCs w:val="17"/>
                <w:color w:val="auto"/>
              </w:rPr>
            </w:pPr>
          </w:p>
        </w:tc>
        <w:tc>
          <w:tcPr>
            <w:tcW w:w="1520" w:type="dxa"/>
            <w:vAlign w:val="bottom"/>
          </w:tcPr>
          <w:p>
            <w:pPr>
              <w:jc w:val="right"/>
              <w:ind w:right="128"/>
              <w:spacing w:after="0"/>
              <w:rPr>
                <w:sz w:val="20"/>
                <w:szCs w:val="20"/>
                <w:color w:val="auto"/>
              </w:rPr>
            </w:pPr>
            <w:r>
              <w:rPr>
                <w:rFonts w:ascii="Arial" w:cs="Arial" w:eastAsia="Arial" w:hAnsi="Arial"/>
                <w:sz w:val="14"/>
                <w:szCs w:val="14"/>
                <w:color w:val="auto"/>
              </w:rPr>
              <w:t>5.9</w:t>
            </w:r>
          </w:p>
        </w:tc>
      </w:tr>
      <w:tr>
        <w:trPr>
          <w:trHeight w:val="207"/>
        </w:trPr>
        <w:tc>
          <w:tcPr>
            <w:tcW w:w="6460" w:type="dxa"/>
            <w:vAlign w:val="bottom"/>
            <w:shd w:val="clear" w:color="auto" w:fill="F5F5F5"/>
          </w:tcPr>
          <w:p>
            <w:pPr>
              <w:ind w:left="20"/>
              <w:spacing w:after="0"/>
              <w:rPr>
                <w:sz w:val="20"/>
                <w:szCs w:val="20"/>
                <w:color w:val="auto"/>
              </w:rPr>
            </w:pPr>
            <w:r>
              <w:rPr>
                <w:rFonts w:ascii="Arial" w:cs="Arial" w:eastAsia="Arial" w:hAnsi="Arial"/>
                <w:sz w:val="14"/>
                <w:szCs w:val="14"/>
                <w:color w:val="auto"/>
              </w:rPr>
              <w:t>Net income attributable to noncontrolling interests</w:t>
            </w:r>
          </w:p>
        </w:tc>
        <w:tc>
          <w:tcPr>
            <w:tcW w:w="1520" w:type="dxa"/>
            <w:vAlign w:val="bottom"/>
            <w:shd w:val="clear" w:color="auto" w:fill="F5F5F5"/>
          </w:tcPr>
          <w:p>
            <w:pPr>
              <w:jc w:val="right"/>
              <w:ind w:right="88"/>
              <w:spacing w:after="0"/>
              <w:rPr>
                <w:sz w:val="20"/>
                <w:szCs w:val="20"/>
                <w:color w:val="auto"/>
              </w:rPr>
            </w:pPr>
            <w:r>
              <w:rPr>
                <w:rFonts w:ascii="Arial" w:cs="Arial" w:eastAsia="Arial" w:hAnsi="Arial"/>
                <w:sz w:val="14"/>
                <w:szCs w:val="14"/>
                <w:color w:val="auto"/>
              </w:rPr>
              <w:t>(0.2)</w:t>
            </w:r>
          </w:p>
        </w:tc>
        <w:tc>
          <w:tcPr>
            <w:tcW w:w="100" w:type="dxa"/>
            <w:vAlign w:val="bottom"/>
            <w:shd w:val="clear" w:color="auto" w:fill="F5F5F5"/>
          </w:tcPr>
          <w:p>
            <w:pPr>
              <w:spacing w:after="0"/>
              <w:rPr>
                <w:sz w:val="17"/>
                <w:szCs w:val="17"/>
                <w:color w:val="auto"/>
              </w:rPr>
            </w:pPr>
          </w:p>
        </w:tc>
        <w:tc>
          <w:tcPr>
            <w:tcW w:w="1520" w:type="dxa"/>
            <w:vAlign w:val="bottom"/>
            <w:shd w:val="clear" w:color="auto" w:fill="F5F5F5"/>
          </w:tcPr>
          <w:p>
            <w:pPr>
              <w:jc w:val="right"/>
              <w:ind w:right="88"/>
              <w:spacing w:after="0"/>
              <w:rPr>
                <w:sz w:val="20"/>
                <w:szCs w:val="20"/>
                <w:color w:val="auto"/>
              </w:rPr>
            </w:pPr>
            <w:r>
              <w:rPr>
                <w:rFonts w:ascii="Arial" w:cs="Arial" w:eastAsia="Arial" w:hAnsi="Arial"/>
                <w:sz w:val="14"/>
                <w:szCs w:val="14"/>
                <w:color w:val="auto"/>
              </w:rPr>
              <w:t>(0.3)</w:t>
            </w:r>
          </w:p>
        </w:tc>
        <w:tc>
          <w:tcPr>
            <w:tcW w:w="100" w:type="dxa"/>
            <w:vAlign w:val="bottom"/>
            <w:shd w:val="clear" w:color="auto" w:fill="F5F5F5"/>
          </w:tcPr>
          <w:p>
            <w:pPr>
              <w:spacing w:after="0"/>
              <w:rPr>
                <w:sz w:val="17"/>
                <w:szCs w:val="17"/>
                <w:color w:val="auto"/>
              </w:rPr>
            </w:pPr>
          </w:p>
        </w:tc>
        <w:tc>
          <w:tcPr>
            <w:tcW w:w="1520" w:type="dxa"/>
            <w:vAlign w:val="bottom"/>
            <w:shd w:val="clear" w:color="auto" w:fill="F5F5F5"/>
          </w:tcPr>
          <w:p>
            <w:pPr>
              <w:jc w:val="right"/>
              <w:ind w:right="88"/>
              <w:spacing w:after="0"/>
              <w:rPr>
                <w:sz w:val="20"/>
                <w:szCs w:val="20"/>
                <w:color w:val="auto"/>
              </w:rPr>
            </w:pPr>
            <w:r>
              <w:rPr>
                <w:rFonts w:ascii="Arial" w:cs="Arial" w:eastAsia="Arial" w:hAnsi="Arial"/>
                <w:sz w:val="14"/>
                <w:szCs w:val="14"/>
                <w:color w:val="auto"/>
              </w:rPr>
              <w:t>(2.4)</w:t>
            </w:r>
          </w:p>
        </w:tc>
      </w:tr>
      <w:tr>
        <w:trPr>
          <w:trHeight w:val="198"/>
        </w:trPr>
        <w:tc>
          <w:tcPr>
            <w:tcW w:w="6460" w:type="dxa"/>
            <w:vAlign w:val="bottom"/>
          </w:tcPr>
          <w:p>
            <w:pPr>
              <w:ind w:left="20"/>
              <w:spacing w:after="0"/>
              <w:rPr>
                <w:sz w:val="20"/>
                <w:szCs w:val="20"/>
                <w:color w:val="auto"/>
              </w:rPr>
            </w:pPr>
            <w:r>
              <w:rPr>
                <w:rFonts w:ascii="Arial" w:cs="Arial" w:eastAsia="Arial" w:hAnsi="Arial"/>
                <w:sz w:val="14"/>
                <w:szCs w:val="14"/>
                <w:color w:val="auto"/>
              </w:rPr>
              <w:t xml:space="preserve">Tax benefit recognized on share-based compensation expense </w:t>
            </w:r>
            <w:r>
              <w:rPr>
                <w:rFonts w:ascii="Arial" w:cs="Arial" w:eastAsia="Arial" w:hAnsi="Arial"/>
                <w:sz w:val="9"/>
                <w:szCs w:val="9"/>
                <w:color w:val="auto"/>
              </w:rPr>
              <w:t>(2)</w:t>
            </w:r>
          </w:p>
        </w:tc>
        <w:tc>
          <w:tcPr>
            <w:tcW w:w="1520" w:type="dxa"/>
            <w:vAlign w:val="bottom"/>
          </w:tcPr>
          <w:p>
            <w:pPr>
              <w:jc w:val="right"/>
              <w:ind w:right="8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7"/>
                <w:szCs w:val="17"/>
                <w:color w:val="auto"/>
              </w:rPr>
            </w:pPr>
          </w:p>
        </w:tc>
        <w:tc>
          <w:tcPr>
            <w:tcW w:w="1520" w:type="dxa"/>
            <w:vAlign w:val="bottom"/>
          </w:tcPr>
          <w:p>
            <w:pPr>
              <w:jc w:val="right"/>
              <w:ind w:right="88"/>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7"/>
                <w:szCs w:val="17"/>
                <w:color w:val="auto"/>
              </w:rPr>
            </w:pPr>
          </w:p>
        </w:tc>
        <w:tc>
          <w:tcPr>
            <w:tcW w:w="1520" w:type="dxa"/>
            <w:vAlign w:val="bottom"/>
          </w:tcPr>
          <w:p>
            <w:pPr>
              <w:jc w:val="right"/>
              <w:ind w:right="88"/>
              <w:spacing w:after="0"/>
              <w:rPr>
                <w:sz w:val="20"/>
                <w:szCs w:val="20"/>
                <w:color w:val="auto"/>
              </w:rPr>
            </w:pPr>
            <w:r>
              <w:rPr>
                <w:rFonts w:ascii="Arial" w:cs="Arial" w:eastAsia="Arial" w:hAnsi="Arial"/>
                <w:sz w:val="14"/>
                <w:szCs w:val="14"/>
                <w:color w:val="auto"/>
              </w:rPr>
              <w:t>(2.6)</w:t>
            </w:r>
          </w:p>
        </w:tc>
      </w:tr>
      <w:tr>
        <w:trPr>
          <w:trHeight w:val="207"/>
        </w:trPr>
        <w:tc>
          <w:tcPr>
            <w:tcW w:w="6460" w:type="dxa"/>
            <w:vAlign w:val="bottom"/>
            <w:shd w:val="clear" w:color="auto" w:fill="F5F5F5"/>
          </w:tcPr>
          <w:p>
            <w:pPr>
              <w:ind w:left="20"/>
              <w:spacing w:after="0"/>
              <w:rPr>
                <w:sz w:val="20"/>
                <w:szCs w:val="20"/>
                <w:color w:val="auto"/>
              </w:rPr>
            </w:pPr>
            <w:r>
              <w:rPr>
                <w:rFonts w:ascii="Arial" w:cs="Arial" w:eastAsia="Arial" w:hAnsi="Arial"/>
                <w:sz w:val="14"/>
                <w:szCs w:val="14"/>
                <w:color w:val="auto"/>
              </w:rPr>
              <w:t>Other items, net</w:t>
            </w:r>
          </w:p>
        </w:tc>
        <w:tc>
          <w:tcPr>
            <w:tcW w:w="1620" w:type="dxa"/>
            <w:vAlign w:val="bottom"/>
            <w:gridSpan w:val="2"/>
            <w:shd w:val="clear" w:color="auto" w:fill="F5F5F5"/>
          </w:tcPr>
          <w:p>
            <w:pPr>
              <w:jc w:val="right"/>
              <w:ind w:right="300"/>
              <w:spacing w:after="0"/>
              <w:rPr>
                <w:sz w:val="20"/>
                <w:szCs w:val="20"/>
                <w:color w:val="auto"/>
              </w:rPr>
            </w:pPr>
            <w:r>
              <w:rPr>
                <w:rFonts w:ascii="Arial" w:cs="Arial" w:eastAsia="Arial" w:hAnsi="Arial"/>
                <w:sz w:val="14"/>
                <w:szCs w:val="14"/>
                <w:color w:val="auto"/>
              </w:rPr>
              <w:t>—</w:t>
            </w:r>
          </w:p>
        </w:tc>
        <w:tc>
          <w:tcPr>
            <w:tcW w:w="1620" w:type="dxa"/>
            <w:vAlign w:val="bottom"/>
            <w:gridSpan w:val="2"/>
            <w:shd w:val="clear" w:color="auto" w:fill="F5F5F5"/>
          </w:tcPr>
          <w:p>
            <w:pPr>
              <w:jc w:val="right"/>
              <w:ind w:right="300"/>
              <w:spacing w:after="0"/>
              <w:rPr>
                <w:sz w:val="20"/>
                <w:szCs w:val="20"/>
                <w:color w:val="auto"/>
              </w:rPr>
            </w:pPr>
            <w:r>
              <w:rPr>
                <w:rFonts w:ascii="Arial" w:cs="Arial" w:eastAsia="Arial" w:hAnsi="Arial"/>
                <w:sz w:val="14"/>
                <w:szCs w:val="14"/>
                <w:color w:val="auto"/>
              </w:rPr>
              <w:t>—</w:t>
            </w:r>
          </w:p>
        </w:tc>
        <w:tc>
          <w:tcPr>
            <w:tcW w:w="1520" w:type="dxa"/>
            <w:vAlign w:val="bottom"/>
            <w:shd w:val="clear" w:color="auto" w:fill="F5F5F5"/>
          </w:tcPr>
          <w:p>
            <w:pPr>
              <w:jc w:val="right"/>
              <w:ind w:right="88"/>
              <w:spacing w:after="0"/>
              <w:rPr>
                <w:sz w:val="20"/>
                <w:szCs w:val="20"/>
                <w:color w:val="auto"/>
              </w:rPr>
            </w:pPr>
            <w:r>
              <w:rPr>
                <w:rFonts w:ascii="Arial" w:cs="Arial" w:eastAsia="Arial" w:hAnsi="Arial"/>
                <w:sz w:val="14"/>
                <w:szCs w:val="14"/>
                <w:color w:val="auto"/>
              </w:rPr>
              <w:t>(0.1)</w:t>
            </w:r>
          </w:p>
        </w:tc>
      </w:tr>
      <w:tr>
        <w:trPr>
          <w:trHeight w:val="192"/>
        </w:trPr>
        <w:tc>
          <w:tcPr>
            <w:tcW w:w="6460" w:type="dxa"/>
            <w:vAlign w:val="bottom"/>
          </w:tcPr>
          <w:p>
            <w:pPr>
              <w:ind w:left="20"/>
              <w:spacing w:after="0"/>
              <w:rPr>
                <w:sz w:val="20"/>
                <w:szCs w:val="20"/>
                <w:color w:val="auto"/>
              </w:rPr>
            </w:pPr>
            <w:r>
              <w:rPr>
                <w:rFonts w:ascii="Arial" w:cs="Arial" w:eastAsia="Arial" w:hAnsi="Arial"/>
                <w:sz w:val="14"/>
                <w:szCs w:val="14"/>
                <w:color w:val="auto"/>
              </w:rPr>
              <w:t>Total</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25.3 %</w:t>
            </w:r>
          </w:p>
        </w:tc>
        <w:tc>
          <w:tcPr>
            <w:tcW w:w="100" w:type="dxa"/>
            <w:vAlign w:val="bottom"/>
          </w:tcPr>
          <w:p>
            <w:pPr>
              <w:spacing w:after="0"/>
              <w:rPr>
                <w:sz w:val="16"/>
                <w:szCs w:val="16"/>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30.7 %</w:t>
            </w:r>
          </w:p>
        </w:tc>
        <w:tc>
          <w:tcPr>
            <w:tcW w:w="100" w:type="dxa"/>
            <w:vAlign w:val="bottom"/>
          </w:tcPr>
          <w:p>
            <w:pPr>
              <w:spacing w:after="0"/>
              <w:rPr>
                <w:sz w:val="16"/>
                <w:szCs w:val="16"/>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84.5 %</w:t>
            </w:r>
          </w:p>
        </w:tc>
      </w:tr>
      <w:tr>
        <w:trPr>
          <w:trHeight w:val="24"/>
        </w:trPr>
        <w:tc>
          <w:tcPr>
            <w:tcW w:w="646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bl>
    <w:p>
      <w:pPr>
        <w:spacing w:after="0" w:line="49" w:lineRule="exact"/>
        <w:rPr>
          <w:sz w:val="20"/>
          <w:szCs w:val="20"/>
          <w:color w:val="auto"/>
        </w:rPr>
      </w:pPr>
    </w:p>
    <w:p>
      <w:pPr>
        <w:ind w:left="340" w:hanging="332"/>
        <w:spacing w:after="0"/>
        <w:tabs>
          <w:tab w:leader="none" w:pos="340" w:val="left"/>
        </w:tabs>
        <w:numPr>
          <w:ilvl w:val="0"/>
          <w:numId w:val="65"/>
        </w:numPr>
        <w:rPr>
          <w:rFonts w:ascii="Arial" w:cs="Arial" w:eastAsia="Arial" w:hAnsi="Arial"/>
          <w:sz w:val="18"/>
          <w:szCs w:val="18"/>
          <w:color w:val="auto"/>
          <w:vertAlign w:val="superscript"/>
        </w:rPr>
      </w:pPr>
      <w:r>
        <w:rPr>
          <w:rFonts w:ascii="Arial" w:cs="Arial" w:eastAsia="Arial" w:hAnsi="Arial"/>
          <w:sz w:val="13"/>
          <w:szCs w:val="13"/>
          <w:color w:val="auto"/>
        </w:rPr>
        <w:t>U.S. branch operations in Puerto Rico were subject to tax at the full U.S. tax rates. As a result, income from these operations do not create reconciling items.</w:t>
      </w:r>
    </w:p>
    <w:p>
      <w:pPr>
        <w:ind w:left="340" w:hanging="332"/>
        <w:spacing w:after="0" w:line="219" w:lineRule="auto"/>
        <w:tabs>
          <w:tab w:leader="none" w:pos="339" w:val="left"/>
        </w:tabs>
        <w:numPr>
          <w:ilvl w:val="0"/>
          <w:numId w:val="65"/>
        </w:numPr>
        <w:rPr>
          <w:rFonts w:ascii="Arial" w:cs="Arial" w:eastAsia="Arial" w:hAnsi="Arial"/>
          <w:sz w:val="18"/>
          <w:szCs w:val="18"/>
          <w:color w:val="auto"/>
          <w:vertAlign w:val="superscript"/>
        </w:rPr>
      </w:pPr>
      <w:r>
        <w:rPr>
          <w:rFonts w:ascii="Arial" w:cs="Arial" w:eastAsia="Arial" w:hAnsi="Arial"/>
          <w:sz w:val="13"/>
          <w:szCs w:val="13"/>
          <w:color w:val="auto"/>
        </w:rPr>
        <w:t>Refer to Note 13, “</w:t>
      </w:r>
      <w:r>
        <w:rPr>
          <w:rFonts w:ascii="Arial" w:cs="Arial" w:eastAsia="Arial" w:hAnsi="Arial"/>
          <w:sz w:val="13"/>
          <w:szCs w:val="13"/>
          <w:i w:val="1"/>
          <w:iCs w:val="1"/>
          <w:u w:val="single" w:color="auto"/>
          <w:color w:val="0000FF"/>
        </w:rPr>
        <w:t>SHARE-BASED COMPENSATION</w:t>
      </w:r>
      <w:r>
        <w:rPr>
          <w:rFonts w:ascii="Arial" w:cs="Arial" w:eastAsia="Arial" w:hAnsi="Arial"/>
          <w:sz w:val="13"/>
          <w:szCs w:val="13"/>
          <w:color w:val="auto"/>
        </w:rPr>
        <w:t>,” for details on discrete income tax benefits and charges related to share-based compensation awards during Fiscal 2024, Fiscal 2023, and Fiscal 2022.</w:t>
      </w:r>
    </w:p>
    <w:p>
      <w:pPr>
        <w:spacing w:after="0" w:line="22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For certain years, the impact of various tax items on the Company's effective tax rate were amplified on a percentage basis at lower levels of consolidated pre-tax income (loss) in absolute dollars. The effective tax rate remains sensitive to jurisdictional mix. The taxation of non-U.S. operations line items in the table above excludes items related to the Company's non-U.S. operations reported separately in the appropriate corresponding line items.</w:t>
      </w:r>
    </w:p>
    <w:p>
      <w:pPr>
        <w:spacing w:after="0" w:line="191"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For Fiscal 2024, Fiscal 2023, and Fiscal 2022, the impact of taxation of non-U.S. operations on the Company's effective income tax rate was related to the Company's jurisdictional mix driven primarily by the Company’s operations within Switzerland.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67</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sz w:val="20"/>
          <w:szCs w:val="20"/>
          <w:color w:val="auto"/>
        </w:rPr>
      </w:pPr>
      <w:r>
        <w:rPr>
          <w:rFonts w:ascii="Arial" w:cs="Arial" w:eastAsia="Arial" w:hAnsi="Arial"/>
          <w:sz w:val="16"/>
          <w:szCs w:val="16"/>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Abercrombie &amp; Fitch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Components of Deferred Income Tax Assets and Deferred Income Tax Liabilities</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The effect of temporary differences that gives rise to deferred income tax assets (liabilities)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6"/>
                <w:szCs w:val="16"/>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color w:val="auto"/>
              </w:rPr>
              <w:t>February 1, 2025</w:t>
            </w: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February 3, 2024</w:t>
            </w:r>
          </w:p>
        </w:tc>
      </w:tr>
      <w:tr>
        <w:trPr>
          <w:trHeight w:val="188"/>
        </w:trPr>
        <w:tc>
          <w:tcPr>
            <w:tcW w:w="7980" w:type="dxa"/>
            <w:vAlign w:val="bottom"/>
          </w:tcPr>
          <w:p>
            <w:pPr>
              <w:ind w:left="20"/>
              <w:spacing w:after="0"/>
              <w:rPr>
                <w:sz w:val="20"/>
                <w:szCs w:val="20"/>
                <w:color w:val="auto"/>
              </w:rPr>
            </w:pPr>
            <w:r>
              <w:rPr>
                <w:rFonts w:ascii="Arial" w:cs="Arial" w:eastAsia="Arial" w:hAnsi="Arial"/>
                <w:sz w:val="14"/>
                <w:szCs w:val="14"/>
                <w:b w:val="1"/>
                <w:bCs w:val="1"/>
                <w:color w:val="auto"/>
              </w:rPr>
              <w:t>Deferred income tax assets:</w:t>
            </w:r>
          </w:p>
        </w:tc>
        <w:tc>
          <w:tcPr>
            <w:tcW w:w="2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r>
      <w:tr>
        <w:trPr>
          <w:trHeight w:val="204"/>
        </w:trPr>
        <w:tc>
          <w:tcPr>
            <w:tcW w:w="7980" w:type="dxa"/>
            <w:vAlign w:val="bottom"/>
            <w:shd w:val="clear" w:color="auto" w:fill="F5F5F5"/>
          </w:tcPr>
          <w:p>
            <w:pPr>
              <w:ind w:left="140"/>
              <w:spacing w:after="0"/>
              <w:rPr>
                <w:sz w:val="20"/>
                <w:szCs w:val="20"/>
                <w:color w:val="auto"/>
              </w:rPr>
            </w:pPr>
            <w:r>
              <w:rPr>
                <w:rFonts w:ascii="Arial" w:cs="Arial" w:eastAsia="Arial" w:hAnsi="Arial"/>
                <w:sz w:val="14"/>
                <w:szCs w:val="14"/>
                <w:color w:val="auto"/>
              </w:rPr>
              <w:t>Operating lease liabilities</w:t>
            </w:r>
          </w:p>
        </w:tc>
        <w:tc>
          <w:tcPr>
            <w:tcW w:w="280" w:type="dxa"/>
            <w:vAlign w:val="bottom"/>
            <w:shd w:val="clear" w:color="auto" w:fill="F5F5F5"/>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241,873</w:t>
            </w:r>
          </w:p>
        </w:tc>
        <w:tc>
          <w:tcPr>
            <w:tcW w:w="100" w:type="dxa"/>
            <w:vAlign w:val="bottom"/>
            <w:shd w:val="clear" w:color="auto" w:fill="F5F5F5"/>
          </w:tcPr>
          <w:p>
            <w:pPr>
              <w:spacing w:after="0"/>
              <w:rPr>
                <w:sz w:val="17"/>
                <w:szCs w:val="17"/>
                <w:color w:val="auto"/>
              </w:rPr>
            </w:pPr>
          </w:p>
        </w:tc>
        <w:tc>
          <w:tcPr>
            <w:tcW w:w="280" w:type="dxa"/>
            <w:vAlign w:val="bottom"/>
            <w:shd w:val="clear" w:color="auto" w:fill="F5F5F5"/>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211,863</w:t>
            </w:r>
          </w:p>
        </w:tc>
      </w:tr>
      <w:tr>
        <w:trPr>
          <w:trHeight w:val="198"/>
        </w:trPr>
        <w:tc>
          <w:tcPr>
            <w:tcW w:w="7980" w:type="dxa"/>
            <w:vAlign w:val="bottom"/>
          </w:tcPr>
          <w:p>
            <w:pPr>
              <w:ind w:left="140"/>
              <w:spacing w:after="0"/>
              <w:rPr>
                <w:sz w:val="20"/>
                <w:szCs w:val="20"/>
                <w:color w:val="auto"/>
              </w:rPr>
            </w:pPr>
            <w:r>
              <w:rPr>
                <w:rFonts w:ascii="Arial" w:cs="Arial" w:eastAsia="Arial" w:hAnsi="Arial"/>
                <w:sz w:val="14"/>
                <w:szCs w:val="14"/>
                <w:color w:val="auto"/>
              </w:rPr>
              <w:t>Intangibles, foreign step-up in basis</w:t>
            </w:r>
          </w:p>
        </w:tc>
        <w:tc>
          <w:tcPr>
            <w:tcW w:w="280" w:type="dxa"/>
            <w:vAlign w:val="bottom"/>
          </w:tcPr>
          <w:p>
            <w:pPr>
              <w:spacing w:after="0"/>
              <w:rPr>
                <w:sz w:val="17"/>
                <w:szCs w:val="17"/>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58,755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62,464</w:t>
            </w:r>
          </w:p>
        </w:tc>
      </w:tr>
      <w:tr>
        <w:trPr>
          <w:trHeight w:val="207"/>
        </w:trPr>
        <w:tc>
          <w:tcPr>
            <w:tcW w:w="7980" w:type="dxa"/>
            <w:vAlign w:val="bottom"/>
            <w:shd w:val="clear" w:color="auto" w:fill="F5F5F5"/>
          </w:tcPr>
          <w:p>
            <w:pPr>
              <w:ind w:left="140"/>
              <w:spacing w:after="0"/>
              <w:rPr>
                <w:sz w:val="20"/>
                <w:szCs w:val="20"/>
                <w:color w:val="auto"/>
              </w:rPr>
            </w:pPr>
            <w:r>
              <w:rPr>
                <w:rFonts w:ascii="Arial" w:cs="Arial" w:eastAsia="Arial" w:hAnsi="Arial"/>
                <w:sz w:val="14"/>
                <w:szCs w:val="14"/>
                <w:color w:val="auto"/>
              </w:rPr>
              <w:t>Net operating losses (NOL), tax credit and other carryforwards</w:t>
            </w:r>
          </w:p>
        </w:tc>
        <w:tc>
          <w:tcPr>
            <w:tcW w:w="280" w:type="dxa"/>
            <w:vAlign w:val="bottom"/>
            <w:shd w:val="clear" w:color="auto" w:fill="F5F5F5"/>
          </w:tcPr>
          <w:p>
            <w:pPr>
              <w:spacing w:after="0"/>
              <w:rPr>
                <w:sz w:val="17"/>
                <w:szCs w:val="17"/>
                <w:color w:val="auto"/>
              </w:rPr>
            </w:pPr>
          </w:p>
        </w:tc>
        <w:tc>
          <w:tcPr>
            <w:tcW w:w="130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91,995</w:t>
            </w:r>
          </w:p>
        </w:tc>
        <w:tc>
          <w:tcPr>
            <w:tcW w:w="100" w:type="dxa"/>
            <w:vAlign w:val="bottom"/>
            <w:shd w:val="clear" w:color="auto" w:fill="F5F5F5"/>
          </w:tcPr>
          <w:p>
            <w:pPr>
              <w:spacing w:after="0"/>
              <w:rPr>
                <w:sz w:val="17"/>
                <w:szCs w:val="17"/>
                <w:color w:val="auto"/>
              </w:rPr>
            </w:pPr>
          </w:p>
        </w:tc>
        <w:tc>
          <w:tcPr>
            <w:tcW w:w="280" w:type="dxa"/>
            <w:vAlign w:val="bottom"/>
            <w:shd w:val="clear" w:color="auto" w:fill="F5F5F5"/>
          </w:tcPr>
          <w:p>
            <w:pPr>
              <w:spacing w:after="0"/>
              <w:rPr>
                <w:sz w:val="17"/>
                <w:szCs w:val="17"/>
                <w:color w:val="auto"/>
              </w:rPr>
            </w:pPr>
          </w:p>
        </w:tc>
        <w:tc>
          <w:tcPr>
            <w:tcW w:w="13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84,872</w:t>
            </w:r>
          </w:p>
        </w:tc>
      </w:tr>
      <w:tr>
        <w:trPr>
          <w:trHeight w:val="198"/>
        </w:trPr>
        <w:tc>
          <w:tcPr>
            <w:tcW w:w="7980" w:type="dxa"/>
            <w:vAlign w:val="bottom"/>
          </w:tcPr>
          <w:p>
            <w:pPr>
              <w:ind w:left="140"/>
              <w:spacing w:after="0"/>
              <w:rPr>
                <w:sz w:val="20"/>
                <w:szCs w:val="20"/>
                <w:color w:val="auto"/>
              </w:rPr>
            </w:pPr>
            <w:r>
              <w:rPr>
                <w:rFonts w:ascii="Arial" w:cs="Arial" w:eastAsia="Arial" w:hAnsi="Arial"/>
                <w:sz w:val="14"/>
                <w:szCs w:val="14"/>
                <w:color w:val="auto"/>
              </w:rPr>
              <w:t>Accrued expenses and reserves</w:t>
            </w:r>
          </w:p>
        </w:tc>
        <w:tc>
          <w:tcPr>
            <w:tcW w:w="280" w:type="dxa"/>
            <w:vAlign w:val="bottom"/>
          </w:tcPr>
          <w:p>
            <w:pPr>
              <w:spacing w:after="0"/>
              <w:rPr>
                <w:sz w:val="17"/>
                <w:szCs w:val="17"/>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35,402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35,866</w:t>
            </w:r>
          </w:p>
        </w:tc>
      </w:tr>
      <w:tr>
        <w:trPr>
          <w:trHeight w:val="207"/>
        </w:trPr>
        <w:tc>
          <w:tcPr>
            <w:tcW w:w="7980" w:type="dxa"/>
            <w:vAlign w:val="bottom"/>
            <w:shd w:val="clear" w:color="auto" w:fill="F5F5F5"/>
          </w:tcPr>
          <w:p>
            <w:pPr>
              <w:ind w:left="140"/>
              <w:spacing w:after="0"/>
              <w:rPr>
                <w:sz w:val="20"/>
                <w:szCs w:val="20"/>
                <w:color w:val="auto"/>
              </w:rPr>
            </w:pPr>
            <w:r>
              <w:rPr>
                <w:rFonts w:ascii="Arial" w:cs="Arial" w:eastAsia="Arial" w:hAnsi="Arial"/>
                <w:sz w:val="14"/>
                <w:szCs w:val="14"/>
                <w:color w:val="auto"/>
              </w:rPr>
              <w:t>Deferred compensation</w:t>
            </w:r>
          </w:p>
        </w:tc>
        <w:tc>
          <w:tcPr>
            <w:tcW w:w="280" w:type="dxa"/>
            <w:vAlign w:val="bottom"/>
            <w:shd w:val="clear" w:color="auto" w:fill="F5F5F5"/>
          </w:tcPr>
          <w:p>
            <w:pPr>
              <w:spacing w:after="0"/>
              <w:rPr>
                <w:sz w:val="17"/>
                <w:szCs w:val="17"/>
                <w:color w:val="auto"/>
              </w:rPr>
            </w:pPr>
          </w:p>
        </w:tc>
        <w:tc>
          <w:tcPr>
            <w:tcW w:w="130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18,275</w:t>
            </w:r>
          </w:p>
        </w:tc>
        <w:tc>
          <w:tcPr>
            <w:tcW w:w="100" w:type="dxa"/>
            <w:vAlign w:val="bottom"/>
            <w:shd w:val="clear" w:color="auto" w:fill="F5F5F5"/>
          </w:tcPr>
          <w:p>
            <w:pPr>
              <w:spacing w:after="0"/>
              <w:rPr>
                <w:sz w:val="17"/>
                <w:szCs w:val="17"/>
                <w:color w:val="auto"/>
              </w:rPr>
            </w:pPr>
          </w:p>
        </w:tc>
        <w:tc>
          <w:tcPr>
            <w:tcW w:w="280" w:type="dxa"/>
            <w:vAlign w:val="bottom"/>
            <w:shd w:val="clear" w:color="auto" w:fill="F5F5F5"/>
          </w:tcPr>
          <w:p>
            <w:pPr>
              <w:spacing w:after="0"/>
              <w:rPr>
                <w:sz w:val="17"/>
                <w:szCs w:val="17"/>
                <w:color w:val="auto"/>
              </w:rPr>
            </w:pPr>
          </w:p>
        </w:tc>
        <w:tc>
          <w:tcPr>
            <w:tcW w:w="13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15,717</w:t>
            </w:r>
          </w:p>
        </w:tc>
      </w:tr>
      <w:tr>
        <w:trPr>
          <w:trHeight w:val="198"/>
        </w:trPr>
        <w:tc>
          <w:tcPr>
            <w:tcW w:w="7980" w:type="dxa"/>
            <w:vAlign w:val="bottom"/>
          </w:tcPr>
          <w:p>
            <w:pPr>
              <w:ind w:left="140"/>
              <w:spacing w:after="0"/>
              <w:rPr>
                <w:sz w:val="20"/>
                <w:szCs w:val="20"/>
                <w:color w:val="auto"/>
              </w:rPr>
            </w:pPr>
            <w:r>
              <w:rPr>
                <w:rFonts w:ascii="Arial" w:cs="Arial" w:eastAsia="Arial" w:hAnsi="Arial"/>
                <w:sz w:val="14"/>
                <w:szCs w:val="14"/>
                <w:color w:val="auto"/>
              </w:rPr>
              <w:t>Inventory</w:t>
            </w:r>
          </w:p>
        </w:tc>
        <w:tc>
          <w:tcPr>
            <w:tcW w:w="280" w:type="dxa"/>
            <w:vAlign w:val="bottom"/>
          </w:tcPr>
          <w:p>
            <w:pPr>
              <w:spacing w:after="0"/>
              <w:rPr>
                <w:sz w:val="17"/>
                <w:szCs w:val="17"/>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9,996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5,518</w:t>
            </w:r>
          </w:p>
        </w:tc>
      </w:tr>
      <w:tr>
        <w:trPr>
          <w:trHeight w:val="207"/>
        </w:trPr>
        <w:tc>
          <w:tcPr>
            <w:tcW w:w="7980" w:type="dxa"/>
            <w:vAlign w:val="bottom"/>
            <w:shd w:val="clear" w:color="auto" w:fill="F5F5F5"/>
          </w:tcPr>
          <w:p>
            <w:pPr>
              <w:ind w:left="140"/>
              <w:spacing w:after="0"/>
              <w:rPr>
                <w:sz w:val="20"/>
                <w:szCs w:val="20"/>
                <w:color w:val="auto"/>
              </w:rPr>
            </w:pPr>
            <w:r>
              <w:rPr>
                <w:rFonts w:ascii="Arial" w:cs="Arial" w:eastAsia="Arial" w:hAnsi="Arial"/>
                <w:sz w:val="14"/>
                <w:szCs w:val="14"/>
                <w:color w:val="auto"/>
              </w:rPr>
              <w:t>Property and equipment and intangibles</w:t>
            </w:r>
          </w:p>
        </w:tc>
        <w:tc>
          <w:tcPr>
            <w:tcW w:w="280" w:type="dxa"/>
            <w:vAlign w:val="bottom"/>
            <w:shd w:val="clear" w:color="auto" w:fill="F5F5F5"/>
          </w:tcPr>
          <w:p>
            <w:pPr>
              <w:spacing w:after="0"/>
              <w:rPr>
                <w:sz w:val="17"/>
                <w:szCs w:val="17"/>
                <w:color w:val="auto"/>
              </w:rPr>
            </w:pPr>
          </w:p>
        </w:tc>
        <w:tc>
          <w:tcPr>
            <w:tcW w:w="130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1,129</w:t>
            </w:r>
          </w:p>
        </w:tc>
        <w:tc>
          <w:tcPr>
            <w:tcW w:w="100" w:type="dxa"/>
            <w:vAlign w:val="bottom"/>
            <w:shd w:val="clear" w:color="auto" w:fill="F5F5F5"/>
          </w:tcPr>
          <w:p>
            <w:pPr>
              <w:spacing w:after="0"/>
              <w:rPr>
                <w:sz w:val="17"/>
                <w:szCs w:val="17"/>
                <w:color w:val="auto"/>
              </w:rPr>
            </w:pPr>
          </w:p>
        </w:tc>
        <w:tc>
          <w:tcPr>
            <w:tcW w:w="280" w:type="dxa"/>
            <w:vAlign w:val="bottom"/>
            <w:shd w:val="clear" w:color="auto" w:fill="F5F5F5"/>
          </w:tcPr>
          <w:p>
            <w:pPr>
              <w:spacing w:after="0"/>
              <w:rPr>
                <w:sz w:val="17"/>
                <w:szCs w:val="17"/>
                <w:color w:val="auto"/>
              </w:rPr>
            </w:pPr>
          </w:p>
        </w:tc>
        <w:tc>
          <w:tcPr>
            <w:tcW w:w="13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7980" w:type="dxa"/>
            <w:vAlign w:val="bottom"/>
          </w:tcPr>
          <w:p>
            <w:pPr>
              <w:ind w:left="140"/>
              <w:spacing w:after="0"/>
              <w:rPr>
                <w:sz w:val="20"/>
                <w:szCs w:val="20"/>
                <w:color w:val="auto"/>
              </w:rPr>
            </w:pPr>
            <w:r>
              <w:rPr>
                <w:rFonts w:ascii="Arial" w:cs="Arial" w:eastAsia="Arial" w:hAnsi="Arial"/>
                <w:sz w:val="14"/>
                <w:szCs w:val="14"/>
                <w:color w:val="auto"/>
              </w:rPr>
              <w:t>Rent</w:t>
            </w:r>
          </w:p>
        </w:tc>
        <w:tc>
          <w:tcPr>
            <w:tcW w:w="280" w:type="dxa"/>
            <w:vAlign w:val="bottom"/>
          </w:tcPr>
          <w:p>
            <w:pPr>
              <w:spacing w:after="0"/>
              <w:rPr>
                <w:sz w:val="17"/>
                <w:szCs w:val="17"/>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509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1,874</w:t>
            </w:r>
          </w:p>
        </w:tc>
      </w:tr>
      <w:tr>
        <w:trPr>
          <w:trHeight w:val="207"/>
        </w:trPr>
        <w:tc>
          <w:tcPr>
            <w:tcW w:w="7980" w:type="dxa"/>
            <w:vAlign w:val="bottom"/>
            <w:shd w:val="clear" w:color="auto" w:fill="F5F5F5"/>
          </w:tcPr>
          <w:p>
            <w:pPr>
              <w:ind w:left="140"/>
              <w:spacing w:after="0"/>
              <w:rPr>
                <w:sz w:val="20"/>
                <w:szCs w:val="20"/>
                <w:color w:val="auto"/>
              </w:rPr>
            </w:pPr>
            <w:r>
              <w:rPr>
                <w:rFonts w:ascii="Arial" w:cs="Arial" w:eastAsia="Arial" w:hAnsi="Arial"/>
                <w:sz w:val="14"/>
                <w:szCs w:val="14"/>
                <w:color w:val="auto"/>
              </w:rPr>
              <w:t>Other</w:t>
            </w:r>
          </w:p>
        </w:tc>
        <w:tc>
          <w:tcPr>
            <w:tcW w:w="280" w:type="dxa"/>
            <w:vAlign w:val="bottom"/>
            <w:shd w:val="clear" w:color="auto" w:fill="F5F5F5"/>
          </w:tcPr>
          <w:p>
            <w:pPr>
              <w:spacing w:after="0"/>
              <w:rPr>
                <w:sz w:val="17"/>
                <w:szCs w:val="17"/>
                <w:color w:val="auto"/>
              </w:rPr>
            </w:pPr>
          </w:p>
        </w:tc>
        <w:tc>
          <w:tcPr>
            <w:tcW w:w="130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4,971</w:t>
            </w:r>
          </w:p>
        </w:tc>
        <w:tc>
          <w:tcPr>
            <w:tcW w:w="100" w:type="dxa"/>
            <w:vAlign w:val="bottom"/>
            <w:shd w:val="clear" w:color="auto" w:fill="F5F5F5"/>
          </w:tcPr>
          <w:p>
            <w:pPr>
              <w:spacing w:after="0"/>
              <w:rPr>
                <w:sz w:val="17"/>
                <w:szCs w:val="17"/>
                <w:color w:val="auto"/>
              </w:rPr>
            </w:pPr>
          </w:p>
        </w:tc>
        <w:tc>
          <w:tcPr>
            <w:tcW w:w="280" w:type="dxa"/>
            <w:vAlign w:val="bottom"/>
            <w:shd w:val="clear" w:color="auto" w:fill="F5F5F5"/>
          </w:tcPr>
          <w:p>
            <w:pPr>
              <w:spacing w:after="0"/>
              <w:rPr>
                <w:sz w:val="17"/>
                <w:szCs w:val="17"/>
                <w:color w:val="auto"/>
              </w:rPr>
            </w:pPr>
          </w:p>
        </w:tc>
        <w:tc>
          <w:tcPr>
            <w:tcW w:w="13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1,683</w:t>
            </w:r>
          </w:p>
        </w:tc>
      </w:tr>
      <w:tr>
        <w:trPr>
          <w:trHeight w:val="198"/>
        </w:trPr>
        <w:tc>
          <w:tcPr>
            <w:tcW w:w="7980" w:type="dxa"/>
            <w:vAlign w:val="bottom"/>
            <w:tcBorders>
              <w:bottom w:val="single" w:sz="8" w:color="F5F5F5"/>
            </w:tcBorders>
          </w:tcPr>
          <w:p>
            <w:pPr>
              <w:ind w:left="140"/>
              <w:spacing w:after="0"/>
              <w:rPr>
                <w:sz w:val="20"/>
                <w:szCs w:val="20"/>
                <w:color w:val="auto"/>
              </w:rPr>
            </w:pPr>
            <w:r>
              <w:rPr>
                <w:rFonts w:ascii="Arial" w:cs="Arial" w:eastAsia="Arial" w:hAnsi="Arial"/>
                <w:sz w:val="14"/>
                <w:szCs w:val="14"/>
                <w:color w:val="auto"/>
              </w:rPr>
              <w:t>Valuation allowances</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(151,810)</w:t>
            </w:r>
          </w:p>
        </w:tc>
        <w:tc>
          <w:tcPr>
            <w:tcW w:w="100" w:type="dxa"/>
            <w:vAlign w:val="bottom"/>
            <w:tcBorders>
              <w:bottom w:val="single" w:sz="8" w:color="F5F5F5"/>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(146,973)</w:t>
            </w:r>
          </w:p>
        </w:tc>
      </w:tr>
      <w:tr>
        <w:trPr>
          <w:trHeight w:val="221"/>
        </w:trPr>
        <w:tc>
          <w:tcPr>
            <w:tcW w:w="7980" w:type="dxa"/>
            <w:vAlign w:val="bottom"/>
            <w:tcBorders>
              <w:bottom w:val="single" w:sz="8" w:color="F5F5F5"/>
            </w:tcBorders>
            <w:shd w:val="clear" w:color="auto" w:fill="F5F5F5"/>
          </w:tcPr>
          <w:p>
            <w:pPr>
              <w:ind w:left="360"/>
              <w:spacing w:after="0"/>
              <w:rPr>
                <w:sz w:val="20"/>
                <w:szCs w:val="20"/>
                <w:color w:val="auto"/>
              </w:rPr>
            </w:pPr>
            <w:r>
              <w:rPr>
                <w:rFonts w:ascii="Arial" w:cs="Arial" w:eastAsia="Arial" w:hAnsi="Arial"/>
                <w:sz w:val="14"/>
                <w:szCs w:val="14"/>
                <w:color w:val="auto"/>
              </w:rPr>
              <w:t>Total deferred income tax assets</w:t>
            </w:r>
          </w:p>
        </w:tc>
        <w:tc>
          <w:tcPr>
            <w:tcW w:w="280" w:type="dxa"/>
            <w:vAlign w:val="bottom"/>
            <w:tcBorders>
              <w:bottom w:val="single" w:sz="8" w:color="auto"/>
            </w:tcBorders>
            <w:shd w:val="clear" w:color="auto" w:fill="F5F5F5"/>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311,095</w:t>
            </w:r>
          </w:p>
        </w:tc>
        <w:tc>
          <w:tcPr>
            <w:tcW w:w="100" w:type="dxa"/>
            <w:vAlign w:val="bottom"/>
            <w:tcBorders>
              <w:bottom w:val="single" w:sz="8" w:color="F5F5F5"/>
            </w:tcBorders>
            <w:shd w:val="clear" w:color="auto" w:fill="F5F5F5"/>
          </w:tcPr>
          <w:p>
            <w:pPr>
              <w:spacing w:after="0"/>
              <w:rPr>
                <w:sz w:val="18"/>
                <w:szCs w:val="18"/>
                <w:color w:val="auto"/>
              </w:rPr>
            </w:pPr>
          </w:p>
        </w:tc>
        <w:tc>
          <w:tcPr>
            <w:tcW w:w="280" w:type="dxa"/>
            <w:vAlign w:val="bottom"/>
            <w:tcBorders>
              <w:bottom w:val="single" w:sz="8" w:color="auto"/>
            </w:tcBorders>
            <w:shd w:val="clear" w:color="auto" w:fill="F5F5F5"/>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272,884</w:t>
            </w:r>
          </w:p>
        </w:tc>
      </w:tr>
      <w:tr>
        <w:trPr>
          <w:trHeight w:val="20"/>
        </w:trPr>
        <w:tc>
          <w:tcPr>
            <w:tcW w:w="7980" w:type="dxa"/>
            <w:vAlign w:val="bottom"/>
            <w:tcBorders>
              <w:top w:val="single" w:sz="8" w:color="F5F5F5"/>
            </w:tcBorders>
          </w:tcPr>
          <w:p>
            <w:pPr>
              <w:spacing w:after="0" w:line="20" w:lineRule="exact"/>
              <w:rPr>
                <w:sz w:val="1"/>
                <w:szCs w:val="1"/>
                <w:color w:val="auto"/>
              </w:rPr>
            </w:pPr>
          </w:p>
        </w:tc>
        <w:tc>
          <w:tcPr>
            <w:tcW w:w="280" w:type="dxa"/>
            <w:vAlign w:val="bottom"/>
            <w:tcBorders>
              <w:top w:val="single" w:sz="8" w:color="F5F5F5"/>
              <w:bottom w:val="single" w:sz="8" w:color="auto"/>
            </w:tcBorders>
          </w:tcPr>
          <w:p>
            <w:pPr>
              <w:spacing w:after="0" w:line="20" w:lineRule="exact"/>
              <w:rPr>
                <w:sz w:val="1"/>
                <w:szCs w:val="1"/>
                <w:color w:val="auto"/>
              </w:rPr>
            </w:pPr>
          </w:p>
        </w:tc>
        <w:tc>
          <w:tcPr>
            <w:tcW w:w="1300" w:type="dxa"/>
            <w:vAlign w:val="bottom"/>
            <w:tcBorders>
              <w:top w:val="single" w:sz="8" w:color="F5F5F5"/>
              <w:bottom w:val="single" w:sz="8" w:color="auto"/>
            </w:tcBorders>
          </w:tcPr>
          <w:p>
            <w:pPr>
              <w:spacing w:after="0" w:line="20" w:lineRule="exact"/>
              <w:rPr>
                <w:sz w:val="1"/>
                <w:szCs w:val="1"/>
                <w:color w:val="auto"/>
              </w:rPr>
            </w:pPr>
          </w:p>
        </w:tc>
        <w:tc>
          <w:tcPr>
            <w:tcW w:w="100" w:type="dxa"/>
            <w:vAlign w:val="bottom"/>
            <w:tcBorders>
              <w:top w:val="single" w:sz="8" w:color="F5F5F5"/>
            </w:tcBorders>
          </w:tcPr>
          <w:p>
            <w:pPr>
              <w:spacing w:after="0" w:line="20" w:lineRule="exact"/>
              <w:rPr>
                <w:sz w:val="1"/>
                <w:szCs w:val="1"/>
                <w:color w:val="auto"/>
              </w:rPr>
            </w:pPr>
          </w:p>
        </w:tc>
        <w:tc>
          <w:tcPr>
            <w:tcW w:w="280" w:type="dxa"/>
            <w:vAlign w:val="bottom"/>
            <w:tcBorders>
              <w:top w:val="single" w:sz="8" w:color="F5F5F5"/>
              <w:bottom w:val="single" w:sz="8" w:color="auto"/>
            </w:tcBorders>
          </w:tcPr>
          <w:p>
            <w:pPr>
              <w:spacing w:after="0" w:line="20" w:lineRule="exact"/>
              <w:rPr>
                <w:sz w:val="1"/>
                <w:szCs w:val="1"/>
                <w:color w:val="auto"/>
              </w:rPr>
            </w:pPr>
          </w:p>
        </w:tc>
        <w:tc>
          <w:tcPr>
            <w:tcW w:w="1300" w:type="dxa"/>
            <w:vAlign w:val="bottom"/>
            <w:tcBorders>
              <w:top w:val="single" w:sz="8" w:color="F5F5F5"/>
              <w:bottom w:val="single" w:sz="8" w:color="auto"/>
            </w:tcBorders>
          </w:tcPr>
          <w:p>
            <w:pPr>
              <w:spacing w:after="0" w:line="20" w:lineRule="exact"/>
              <w:rPr>
                <w:sz w:val="1"/>
                <w:szCs w:val="1"/>
                <w:color w:val="auto"/>
              </w:rPr>
            </w:pPr>
          </w:p>
        </w:tc>
      </w:tr>
      <w:tr>
        <w:trPr>
          <w:trHeight w:val="167"/>
        </w:trPr>
        <w:tc>
          <w:tcPr>
            <w:tcW w:w="7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03"/>
        </w:trPr>
        <w:tc>
          <w:tcPr>
            <w:tcW w:w="7980" w:type="dxa"/>
            <w:vAlign w:val="bottom"/>
            <w:shd w:val="clear" w:color="auto" w:fill="F5F5F5"/>
          </w:tcPr>
          <w:p>
            <w:pPr>
              <w:ind w:left="20"/>
              <w:spacing w:after="0"/>
              <w:rPr>
                <w:sz w:val="20"/>
                <w:szCs w:val="20"/>
                <w:color w:val="auto"/>
              </w:rPr>
            </w:pPr>
            <w:r>
              <w:rPr>
                <w:rFonts w:ascii="Arial" w:cs="Arial" w:eastAsia="Arial" w:hAnsi="Arial"/>
                <w:sz w:val="14"/>
                <w:szCs w:val="14"/>
                <w:b w:val="1"/>
                <w:bCs w:val="1"/>
                <w:color w:val="auto"/>
              </w:rPr>
              <w:t>Deferred income tax liabilities:</w:t>
            </w:r>
          </w:p>
        </w:tc>
        <w:tc>
          <w:tcPr>
            <w:tcW w:w="280" w:type="dxa"/>
            <w:vAlign w:val="bottom"/>
            <w:shd w:val="clear" w:color="auto" w:fill="F5F5F5"/>
          </w:tcPr>
          <w:p>
            <w:pPr>
              <w:spacing w:after="0"/>
              <w:rPr>
                <w:sz w:val="17"/>
                <w:szCs w:val="17"/>
                <w:color w:val="auto"/>
              </w:rPr>
            </w:pPr>
          </w:p>
        </w:tc>
        <w:tc>
          <w:tcPr>
            <w:tcW w:w="1300" w:type="dxa"/>
            <w:vAlign w:val="bottom"/>
            <w:shd w:val="clear" w:color="auto" w:fill="F5F5F5"/>
          </w:tcPr>
          <w:p>
            <w:pPr>
              <w:spacing w:after="0"/>
              <w:rPr>
                <w:sz w:val="17"/>
                <w:szCs w:val="17"/>
                <w:color w:val="auto"/>
              </w:rPr>
            </w:pPr>
          </w:p>
        </w:tc>
        <w:tc>
          <w:tcPr>
            <w:tcW w:w="100" w:type="dxa"/>
            <w:vAlign w:val="bottom"/>
            <w:shd w:val="clear" w:color="auto" w:fill="F5F5F5"/>
          </w:tcPr>
          <w:p>
            <w:pPr>
              <w:spacing w:after="0"/>
              <w:rPr>
                <w:sz w:val="17"/>
                <w:szCs w:val="17"/>
                <w:color w:val="auto"/>
              </w:rPr>
            </w:pPr>
          </w:p>
        </w:tc>
        <w:tc>
          <w:tcPr>
            <w:tcW w:w="280" w:type="dxa"/>
            <w:vAlign w:val="bottom"/>
            <w:shd w:val="clear" w:color="auto" w:fill="F5F5F5"/>
          </w:tcPr>
          <w:p>
            <w:pPr>
              <w:spacing w:after="0"/>
              <w:rPr>
                <w:sz w:val="17"/>
                <w:szCs w:val="17"/>
                <w:color w:val="auto"/>
              </w:rPr>
            </w:pPr>
          </w:p>
        </w:tc>
        <w:tc>
          <w:tcPr>
            <w:tcW w:w="1300" w:type="dxa"/>
            <w:vAlign w:val="bottom"/>
            <w:shd w:val="clear" w:color="auto" w:fill="F5F5F5"/>
          </w:tcPr>
          <w:p>
            <w:pPr>
              <w:spacing w:after="0"/>
              <w:rPr>
                <w:sz w:val="17"/>
                <w:szCs w:val="17"/>
                <w:color w:val="auto"/>
              </w:rPr>
            </w:pPr>
          </w:p>
        </w:tc>
      </w:tr>
      <w:tr>
        <w:trPr>
          <w:trHeight w:val="199"/>
        </w:trPr>
        <w:tc>
          <w:tcPr>
            <w:tcW w:w="7980" w:type="dxa"/>
            <w:vAlign w:val="bottom"/>
          </w:tcPr>
          <w:p>
            <w:pPr>
              <w:ind w:left="140"/>
              <w:spacing w:after="0"/>
              <w:rPr>
                <w:sz w:val="20"/>
                <w:szCs w:val="20"/>
                <w:color w:val="auto"/>
              </w:rPr>
            </w:pPr>
            <w:r>
              <w:rPr>
                <w:rFonts w:ascii="Arial" w:cs="Arial" w:eastAsia="Arial" w:hAnsi="Arial"/>
                <w:sz w:val="14"/>
                <w:szCs w:val="14"/>
                <w:color w:val="auto"/>
              </w:rPr>
              <w:t>Operating lease right-of-use assets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(223,384)</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(192,020)</w:t>
            </w:r>
          </w:p>
        </w:tc>
      </w:tr>
      <w:tr>
        <w:trPr>
          <w:trHeight w:val="206"/>
        </w:trPr>
        <w:tc>
          <w:tcPr>
            <w:tcW w:w="7980" w:type="dxa"/>
            <w:vAlign w:val="bottom"/>
            <w:shd w:val="clear" w:color="auto" w:fill="F5F5F5"/>
          </w:tcPr>
          <w:p>
            <w:pPr>
              <w:ind w:left="140"/>
              <w:spacing w:after="0"/>
              <w:rPr>
                <w:sz w:val="20"/>
                <w:szCs w:val="20"/>
                <w:color w:val="auto"/>
              </w:rPr>
            </w:pPr>
            <w:r>
              <w:rPr>
                <w:rFonts w:ascii="Arial" w:cs="Arial" w:eastAsia="Arial" w:hAnsi="Arial"/>
                <w:sz w:val="14"/>
                <w:szCs w:val="14"/>
                <w:color w:val="auto"/>
              </w:rPr>
              <w:t>Prepaid expenses</w:t>
            </w:r>
          </w:p>
        </w:tc>
        <w:tc>
          <w:tcPr>
            <w:tcW w:w="280" w:type="dxa"/>
            <w:vAlign w:val="bottom"/>
            <w:shd w:val="clear" w:color="auto" w:fill="F5F5F5"/>
          </w:tcPr>
          <w:p>
            <w:pPr>
              <w:spacing w:after="0"/>
              <w:rPr>
                <w:sz w:val="17"/>
                <w:szCs w:val="17"/>
                <w:color w:val="auto"/>
              </w:rPr>
            </w:pPr>
          </w:p>
        </w:tc>
        <w:tc>
          <w:tcPr>
            <w:tcW w:w="13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(2,809)</w:t>
            </w:r>
          </w:p>
        </w:tc>
        <w:tc>
          <w:tcPr>
            <w:tcW w:w="100" w:type="dxa"/>
            <w:vAlign w:val="bottom"/>
            <w:shd w:val="clear" w:color="auto" w:fill="F5F5F5"/>
          </w:tcPr>
          <w:p>
            <w:pPr>
              <w:spacing w:after="0"/>
              <w:rPr>
                <w:sz w:val="17"/>
                <w:szCs w:val="17"/>
                <w:color w:val="auto"/>
              </w:rPr>
            </w:pPr>
          </w:p>
        </w:tc>
        <w:tc>
          <w:tcPr>
            <w:tcW w:w="280" w:type="dxa"/>
            <w:vAlign w:val="bottom"/>
            <w:shd w:val="clear" w:color="auto" w:fill="F5F5F5"/>
          </w:tcPr>
          <w:p>
            <w:pPr>
              <w:spacing w:after="0"/>
              <w:rPr>
                <w:sz w:val="17"/>
                <w:szCs w:val="17"/>
                <w:color w:val="auto"/>
              </w:rPr>
            </w:pPr>
          </w:p>
        </w:tc>
        <w:tc>
          <w:tcPr>
            <w:tcW w:w="13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(1,832)</w:t>
            </w:r>
          </w:p>
        </w:tc>
      </w:tr>
      <w:tr>
        <w:trPr>
          <w:trHeight w:val="199"/>
        </w:trPr>
        <w:tc>
          <w:tcPr>
            <w:tcW w:w="7980" w:type="dxa"/>
            <w:vAlign w:val="bottom"/>
          </w:tcPr>
          <w:p>
            <w:pPr>
              <w:ind w:left="140"/>
              <w:spacing w:after="0"/>
              <w:rPr>
                <w:sz w:val="20"/>
                <w:szCs w:val="20"/>
                <w:color w:val="auto"/>
              </w:rPr>
            </w:pPr>
            <w:r>
              <w:rPr>
                <w:rFonts w:ascii="Arial" w:cs="Arial" w:eastAsia="Arial" w:hAnsi="Arial"/>
                <w:sz w:val="14"/>
                <w:szCs w:val="14"/>
                <w:color w:val="auto"/>
              </w:rPr>
              <w:t>Store supplies</w:t>
            </w: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(1,835)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(2,100)</w:t>
            </w:r>
          </w:p>
        </w:tc>
      </w:tr>
      <w:tr>
        <w:trPr>
          <w:trHeight w:val="206"/>
        </w:trPr>
        <w:tc>
          <w:tcPr>
            <w:tcW w:w="7980" w:type="dxa"/>
            <w:vAlign w:val="bottom"/>
            <w:shd w:val="clear" w:color="auto" w:fill="F5F5F5"/>
          </w:tcPr>
          <w:p>
            <w:pPr>
              <w:ind w:left="140"/>
              <w:spacing w:after="0"/>
              <w:rPr>
                <w:sz w:val="20"/>
                <w:szCs w:val="20"/>
                <w:color w:val="auto"/>
              </w:rPr>
            </w:pPr>
            <w:r>
              <w:rPr>
                <w:rFonts w:ascii="Arial" w:cs="Arial" w:eastAsia="Arial" w:hAnsi="Arial"/>
                <w:sz w:val="14"/>
                <w:szCs w:val="14"/>
                <w:color w:val="auto"/>
              </w:rPr>
              <w:t>Undistributed profits of non-U.S. subsidiaries</w:t>
            </w:r>
          </w:p>
        </w:tc>
        <w:tc>
          <w:tcPr>
            <w:tcW w:w="280" w:type="dxa"/>
            <w:vAlign w:val="bottom"/>
            <w:shd w:val="clear" w:color="auto" w:fill="F5F5F5"/>
          </w:tcPr>
          <w:p>
            <w:pPr>
              <w:spacing w:after="0"/>
              <w:rPr>
                <w:sz w:val="17"/>
                <w:szCs w:val="17"/>
                <w:color w:val="auto"/>
              </w:rPr>
            </w:pPr>
          </w:p>
        </w:tc>
        <w:tc>
          <w:tcPr>
            <w:tcW w:w="13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(1,400)</w:t>
            </w:r>
          </w:p>
        </w:tc>
        <w:tc>
          <w:tcPr>
            <w:tcW w:w="100" w:type="dxa"/>
            <w:vAlign w:val="bottom"/>
            <w:shd w:val="clear" w:color="auto" w:fill="F5F5F5"/>
          </w:tcPr>
          <w:p>
            <w:pPr>
              <w:spacing w:after="0"/>
              <w:rPr>
                <w:sz w:val="17"/>
                <w:szCs w:val="17"/>
                <w:color w:val="auto"/>
              </w:rPr>
            </w:pPr>
          </w:p>
        </w:tc>
        <w:tc>
          <w:tcPr>
            <w:tcW w:w="280" w:type="dxa"/>
            <w:vAlign w:val="bottom"/>
            <w:shd w:val="clear" w:color="auto" w:fill="F5F5F5"/>
          </w:tcPr>
          <w:p>
            <w:pPr>
              <w:spacing w:after="0"/>
              <w:rPr>
                <w:sz w:val="17"/>
                <w:szCs w:val="17"/>
                <w:color w:val="auto"/>
              </w:rPr>
            </w:pPr>
          </w:p>
        </w:tc>
        <w:tc>
          <w:tcPr>
            <w:tcW w:w="13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(1,271)</w:t>
            </w:r>
          </w:p>
        </w:tc>
      </w:tr>
      <w:tr>
        <w:trPr>
          <w:trHeight w:val="203"/>
        </w:trPr>
        <w:tc>
          <w:tcPr>
            <w:tcW w:w="7980" w:type="dxa"/>
            <w:vAlign w:val="bottom"/>
          </w:tcPr>
          <w:p>
            <w:pPr>
              <w:ind w:left="140"/>
              <w:spacing w:after="0" w:line="202" w:lineRule="exact"/>
              <w:rPr>
                <w:sz w:val="20"/>
                <w:szCs w:val="20"/>
                <w:color w:val="auto"/>
              </w:rPr>
            </w:pPr>
            <w:r>
              <w:rPr>
                <w:rFonts w:ascii="Arial" w:cs="Arial" w:eastAsia="Arial" w:hAnsi="Arial"/>
                <w:sz w:val="14"/>
                <w:szCs w:val="14"/>
                <w:color w:val="auto"/>
              </w:rPr>
              <w:t xml:space="preserve">U.S. offset to foreign deferred tax assets, excluding intangibles, foreign step-up in basis </w:t>
            </w:r>
            <w:r>
              <w:rPr>
                <w:rFonts w:ascii="Arial" w:cs="Arial" w:eastAsia="Arial" w:hAnsi="Arial"/>
                <w:sz w:val="18"/>
                <w:szCs w:val="18"/>
                <w:color w:val="auto"/>
                <w:vertAlign w:val="superscript"/>
              </w:rPr>
              <w:t>(1)</w:t>
            </w: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(187)</w:t>
            </w:r>
          </w:p>
        </w:tc>
      </w:tr>
      <w:tr>
        <w:trPr>
          <w:trHeight w:val="203"/>
        </w:trPr>
        <w:tc>
          <w:tcPr>
            <w:tcW w:w="7980" w:type="dxa"/>
            <w:vAlign w:val="bottom"/>
            <w:shd w:val="clear" w:color="auto" w:fill="F5F5F5"/>
          </w:tcPr>
          <w:p>
            <w:pPr>
              <w:ind w:left="140"/>
              <w:spacing w:after="0"/>
              <w:rPr>
                <w:sz w:val="20"/>
                <w:szCs w:val="20"/>
                <w:color w:val="auto"/>
              </w:rPr>
            </w:pPr>
            <w:r>
              <w:rPr>
                <w:rFonts w:ascii="Arial" w:cs="Arial" w:eastAsia="Arial" w:hAnsi="Arial"/>
                <w:sz w:val="14"/>
                <w:szCs w:val="14"/>
                <w:color w:val="auto"/>
              </w:rPr>
              <w:t>Property and equipment and intangibles</w:t>
            </w:r>
          </w:p>
        </w:tc>
        <w:tc>
          <w:tcPr>
            <w:tcW w:w="280" w:type="dxa"/>
            <w:vAlign w:val="bottom"/>
            <w:shd w:val="clear" w:color="auto" w:fill="F5F5F5"/>
          </w:tcPr>
          <w:p>
            <w:pPr>
              <w:spacing w:after="0"/>
              <w:rPr>
                <w:sz w:val="17"/>
                <w:szCs w:val="17"/>
                <w:color w:val="auto"/>
              </w:rPr>
            </w:pPr>
          </w:p>
        </w:tc>
        <w:tc>
          <w:tcPr>
            <w:tcW w:w="1400" w:type="dxa"/>
            <w:vAlign w:val="bottom"/>
            <w:gridSpan w:val="2"/>
            <w:shd w:val="clear" w:color="auto" w:fill="F5F5F5"/>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F5F5F5"/>
          </w:tcPr>
          <w:p>
            <w:pPr>
              <w:spacing w:after="0"/>
              <w:rPr>
                <w:sz w:val="17"/>
                <w:szCs w:val="17"/>
                <w:color w:val="auto"/>
              </w:rPr>
            </w:pPr>
          </w:p>
        </w:tc>
        <w:tc>
          <w:tcPr>
            <w:tcW w:w="13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(7,472)</w:t>
            </w:r>
          </w:p>
        </w:tc>
      </w:tr>
      <w:tr>
        <w:trPr>
          <w:trHeight w:val="198"/>
        </w:trPr>
        <w:tc>
          <w:tcPr>
            <w:tcW w:w="7980" w:type="dxa"/>
            <w:vAlign w:val="bottom"/>
            <w:tcBorders>
              <w:bottom w:val="single" w:sz="8" w:color="F5F5F5"/>
            </w:tcBorders>
          </w:tcPr>
          <w:p>
            <w:pPr>
              <w:ind w:left="140"/>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(2,215)</w:t>
            </w:r>
          </w:p>
        </w:tc>
        <w:tc>
          <w:tcPr>
            <w:tcW w:w="100" w:type="dxa"/>
            <w:vAlign w:val="bottom"/>
            <w:tcBorders>
              <w:bottom w:val="single" w:sz="8" w:color="F5F5F5"/>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(781)</w:t>
            </w:r>
          </w:p>
        </w:tc>
      </w:tr>
      <w:tr>
        <w:trPr>
          <w:trHeight w:val="200"/>
        </w:trPr>
        <w:tc>
          <w:tcPr>
            <w:tcW w:w="7980" w:type="dxa"/>
            <w:vAlign w:val="bottom"/>
            <w:shd w:val="clear" w:color="auto" w:fill="F5F5F5"/>
          </w:tcPr>
          <w:p>
            <w:pPr>
              <w:ind w:left="360"/>
              <w:spacing w:after="0"/>
              <w:rPr>
                <w:sz w:val="20"/>
                <w:szCs w:val="20"/>
                <w:color w:val="auto"/>
              </w:rPr>
            </w:pPr>
            <w:r>
              <w:rPr>
                <w:rFonts w:ascii="Arial" w:cs="Arial" w:eastAsia="Arial" w:hAnsi="Arial"/>
                <w:sz w:val="14"/>
                <w:szCs w:val="14"/>
                <w:color w:val="auto"/>
              </w:rPr>
              <w:t>Total deferred income tax liabilities</w:t>
            </w:r>
          </w:p>
        </w:tc>
        <w:tc>
          <w:tcPr>
            <w:tcW w:w="280" w:type="dxa"/>
            <w:vAlign w:val="bottom"/>
            <w:tcBorders>
              <w:bottom w:val="single" w:sz="8" w:color="auto"/>
            </w:tcBorders>
            <w:shd w:val="clear" w:color="auto" w:fill="F5F5F5"/>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(231,768)</w:t>
            </w:r>
          </w:p>
        </w:tc>
        <w:tc>
          <w:tcPr>
            <w:tcW w:w="100" w:type="dxa"/>
            <w:vAlign w:val="bottom"/>
            <w:shd w:val="clear" w:color="auto" w:fill="F5F5F5"/>
          </w:tcPr>
          <w:p>
            <w:pPr>
              <w:spacing w:after="0"/>
              <w:rPr>
                <w:sz w:val="17"/>
                <w:szCs w:val="17"/>
                <w:color w:val="auto"/>
              </w:rPr>
            </w:pPr>
          </w:p>
        </w:tc>
        <w:tc>
          <w:tcPr>
            <w:tcW w:w="280" w:type="dxa"/>
            <w:vAlign w:val="bottom"/>
            <w:tcBorders>
              <w:bottom w:val="single" w:sz="8" w:color="auto"/>
            </w:tcBorders>
            <w:shd w:val="clear" w:color="auto" w:fill="F5F5F5"/>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(205,663)</w:t>
            </w:r>
          </w:p>
        </w:tc>
      </w:tr>
      <w:tr>
        <w:trPr>
          <w:trHeight w:val="196"/>
        </w:trPr>
        <w:tc>
          <w:tcPr>
            <w:tcW w:w="7980" w:type="dxa"/>
            <w:vAlign w:val="bottom"/>
          </w:tcPr>
          <w:p>
            <w:pPr>
              <w:ind w:left="140"/>
              <w:spacing w:after="0" w:line="196" w:lineRule="exact"/>
              <w:rPr>
                <w:sz w:val="20"/>
                <w:szCs w:val="20"/>
                <w:color w:val="auto"/>
              </w:rPr>
            </w:pPr>
            <w:r>
              <w:rPr>
                <w:rFonts w:ascii="Arial" w:cs="Arial" w:eastAsia="Arial" w:hAnsi="Arial"/>
                <w:sz w:val="14"/>
                <w:szCs w:val="14"/>
                <w:color w:val="auto"/>
              </w:rPr>
              <w:t xml:space="preserve">Net deferred income tax assets </w:t>
            </w:r>
            <w:r>
              <w:rPr>
                <w:rFonts w:ascii="Arial" w:cs="Arial" w:eastAsia="Arial" w:hAnsi="Arial"/>
                <w:sz w:val="18"/>
                <w:szCs w:val="18"/>
                <w:color w:val="auto"/>
                <w:vertAlign w:val="superscript"/>
              </w:rPr>
              <w:t>(1)</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79,327</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67,221</w:t>
            </w:r>
          </w:p>
        </w:tc>
      </w:tr>
      <w:tr>
        <w:trPr>
          <w:trHeight w:val="20"/>
        </w:trPr>
        <w:tc>
          <w:tcPr>
            <w:tcW w:w="7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ind w:left="340" w:hanging="332"/>
        <w:spacing w:after="0" w:line="227" w:lineRule="auto"/>
        <w:tabs>
          <w:tab w:leader="none" w:pos="339" w:val="left"/>
        </w:tabs>
        <w:numPr>
          <w:ilvl w:val="0"/>
          <w:numId w:val="66"/>
        </w:numPr>
        <w:rPr>
          <w:rFonts w:ascii="Arial" w:cs="Arial" w:eastAsia="Arial" w:hAnsi="Arial"/>
          <w:sz w:val="18"/>
          <w:szCs w:val="18"/>
          <w:color w:val="auto"/>
          <w:vertAlign w:val="superscript"/>
        </w:rPr>
      </w:pPr>
      <w:r>
        <w:rPr>
          <w:rFonts w:ascii="Arial" w:cs="Arial" w:eastAsia="Arial" w:hAnsi="Arial"/>
          <w:sz w:val="13"/>
          <w:szCs w:val="13"/>
          <w:color w:val="auto"/>
        </w:rPr>
        <w:t>This table does not reflect deferred taxes classified within AOCL. As of February 1, 2025 and February 3, 2024, AOCL included deferred tax liabilities of $1.0 million and deferred tax liabilities of $0.1 million, respectively.</w:t>
      </w:r>
    </w:p>
    <w:p>
      <w:pPr>
        <w:spacing w:after="0" w:line="22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 of February 1, 2025, the Company had deferred tax assets related to foreign and state NOL and credit carryforwards of $91.9 million and $0.1 million, respectively, that could be utilized to reduce future years’ tax liabilities. If not utilized, a portion of the foreign NOL carryforwards will begin to expire in Fiscal 2026 and a portion of state NOL carryforwards will begin to expire in Fiscal 2029. Some foreign NOLs have an indefinite carryforward period. As of February 1, 2025, the Company did not have any deferred tax assets related to federal NOL and credit carryforwards that could be utilized to reduce future years’ tax liabilities.</w:t>
      </w:r>
    </w:p>
    <w:p>
      <w:pPr>
        <w:spacing w:after="0" w:line="19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valuation allowances for Fiscal 2024 and 2023 were $151.8 million and $147.0 million, respectively. The valuation allowances as of Fiscal 2024 have been established against deferred tax assets, primarily in Switzerland. All valuation allowances have been reflected through the Consolidated Statements of Operations and Comprehensive Income (Loss). The valuation allowances will remain until there is sufficient positive evidence to release them, such positive evidence would include having positive income within the jurisdiction. In such case, the Company will record an adjustment in the period in which a determination is made. The Company continues to review the need for valuation allowances on a quarterly basis.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Share-based Compensation</w:t>
      </w:r>
    </w:p>
    <w:p>
      <w:pPr>
        <w:spacing w:after="0" w:line="260"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Refer to Note 13, “</w:t>
      </w:r>
      <w:r>
        <w:rPr>
          <w:rFonts w:ascii="Arial" w:cs="Arial" w:eastAsia="Arial" w:hAnsi="Arial"/>
          <w:sz w:val="16"/>
          <w:szCs w:val="16"/>
          <w:i w:val="1"/>
          <w:iCs w:val="1"/>
          <w:u w:val="single" w:color="auto"/>
          <w:color w:val="0000FF"/>
        </w:rPr>
        <w:t>SHARE-BASED COMPENSATION</w:t>
      </w:r>
      <w:r>
        <w:rPr>
          <w:rFonts w:ascii="Arial" w:cs="Arial" w:eastAsia="Arial" w:hAnsi="Arial"/>
          <w:sz w:val="16"/>
          <w:szCs w:val="16"/>
          <w:color w:val="auto"/>
        </w:rPr>
        <w:t>,” for details on income tax benefits and charges related to share-based compensation awards during Fiscal 2024, Fiscal 2023 and Fiscal 2022.</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68</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sz w:val="20"/>
          <w:szCs w:val="20"/>
          <w:color w:val="auto"/>
        </w:rPr>
      </w:pPr>
      <w:r>
        <w:rPr>
          <w:rFonts w:ascii="Arial" w:cs="Arial" w:eastAsia="Arial" w:hAnsi="Arial"/>
          <w:sz w:val="16"/>
          <w:szCs w:val="16"/>
          <w:u w:val="single" w:color="auto"/>
          <w:color w:val="0000FF"/>
        </w:rPr>
        <w:t>Table of Contents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Abercrombie &amp; Fitch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78971"/>
        </w:rPr>
        <w:t>Other</w:t>
      </w:r>
    </w:p>
    <w:p>
      <w:pPr>
        <w:spacing w:after="0" w:line="24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amount of uncertain tax positions as of February 1, 2025, February 3, 2024 and January 28, 2023, which would impact the Company’s effective tax rate if recognized and a reconciliation of the beginning and ending amounts of uncertain tax positions, excluding accrued interest and penalties, are as follows: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6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400" w:type="dxa"/>
            <w:vAlign w:val="bottom"/>
          </w:tcPr>
          <w:p>
            <w:pPr>
              <w:spacing w:after="0"/>
              <w:rPr>
                <w:sz w:val="16"/>
                <w:szCs w:val="16"/>
                <w:color w:val="auto"/>
              </w:rPr>
            </w:pPr>
          </w:p>
        </w:tc>
        <w:tc>
          <w:tcPr>
            <w:tcW w:w="1140" w:type="dxa"/>
            <w:vAlign w:val="bottom"/>
            <w:gridSpan w:val="2"/>
          </w:tcPr>
          <w:p>
            <w:pPr>
              <w:ind w:left="280"/>
              <w:spacing w:after="0"/>
              <w:rPr>
                <w:sz w:val="20"/>
                <w:szCs w:val="20"/>
                <w:color w:val="auto"/>
              </w:rPr>
            </w:pPr>
            <w:r>
              <w:rPr>
                <w:rFonts w:ascii="Arial" w:cs="Arial" w:eastAsia="Arial" w:hAnsi="Arial"/>
                <w:sz w:val="14"/>
                <w:szCs w:val="14"/>
                <w:color w:val="auto"/>
              </w:rPr>
              <w:t>Fiscal 2024</w:t>
            </w:r>
          </w:p>
        </w:tc>
        <w:tc>
          <w:tcPr>
            <w:tcW w:w="380" w:type="dxa"/>
            <w:vAlign w:val="bottom"/>
          </w:tcPr>
          <w:p>
            <w:pPr>
              <w:spacing w:after="0"/>
              <w:rPr>
                <w:sz w:val="16"/>
                <w:szCs w:val="16"/>
                <w:color w:val="auto"/>
              </w:rPr>
            </w:pPr>
          </w:p>
        </w:tc>
        <w:tc>
          <w:tcPr>
            <w:tcW w:w="1160" w:type="dxa"/>
            <w:vAlign w:val="bottom"/>
            <w:gridSpan w:val="2"/>
          </w:tcPr>
          <w:p>
            <w:pPr>
              <w:ind w:left="300"/>
              <w:spacing w:after="0"/>
              <w:rPr>
                <w:sz w:val="20"/>
                <w:szCs w:val="20"/>
                <w:color w:val="auto"/>
              </w:rPr>
            </w:pPr>
            <w:r>
              <w:rPr>
                <w:rFonts w:ascii="Arial" w:cs="Arial" w:eastAsia="Arial" w:hAnsi="Arial"/>
                <w:sz w:val="14"/>
                <w:szCs w:val="14"/>
                <w:color w:val="auto"/>
              </w:rPr>
              <w:t>Fiscal 2023</w:t>
            </w:r>
          </w:p>
        </w:tc>
        <w:tc>
          <w:tcPr>
            <w:tcW w:w="3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Fiscal 2022</w:t>
            </w:r>
          </w:p>
        </w:tc>
      </w:tr>
      <w:tr>
        <w:trPr>
          <w:trHeight w:val="200"/>
        </w:trPr>
        <w:tc>
          <w:tcPr>
            <w:tcW w:w="6620" w:type="dxa"/>
            <w:vAlign w:val="bottom"/>
            <w:tcBorders>
              <w:top w:val="single" w:sz="8" w:color="F5F5F5"/>
            </w:tcBorders>
            <w:shd w:val="clear" w:color="auto" w:fill="F5F5F5"/>
          </w:tcPr>
          <w:p>
            <w:pPr>
              <w:ind w:left="20"/>
              <w:spacing w:after="0"/>
              <w:rPr>
                <w:sz w:val="20"/>
                <w:szCs w:val="20"/>
                <w:color w:val="auto"/>
              </w:rPr>
            </w:pPr>
            <w:r>
              <w:rPr>
                <w:rFonts w:ascii="Arial" w:cs="Arial" w:eastAsia="Arial" w:hAnsi="Arial"/>
                <w:sz w:val="14"/>
                <w:szCs w:val="14"/>
                <w:color w:val="auto"/>
              </w:rPr>
              <w:t>Uncertain tax positions, beginning of the year</w:t>
            </w:r>
          </w:p>
        </w:tc>
        <w:tc>
          <w:tcPr>
            <w:tcW w:w="400" w:type="dxa"/>
            <w:vAlign w:val="bottom"/>
            <w:tcBorders>
              <w:top w:val="single" w:sz="8" w:color="auto"/>
            </w:tcBorders>
            <w:shd w:val="clear" w:color="auto" w:fill="F5F5F5"/>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2,751</w:t>
            </w:r>
          </w:p>
        </w:tc>
        <w:tc>
          <w:tcPr>
            <w:tcW w:w="100" w:type="dxa"/>
            <w:vAlign w:val="bottom"/>
            <w:tcBorders>
              <w:top w:val="single" w:sz="8" w:color="F5F5F5"/>
            </w:tcBorders>
            <w:shd w:val="clear" w:color="auto" w:fill="F5F5F5"/>
          </w:tcPr>
          <w:p>
            <w:pPr>
              <w:spacing w:after="0"/>
              <w:rPr>
                <w:sz w:val="17"/>
                <w:szCs w:val="17"/>
                <w:color w:val="auto"/>
              </w:rPr>
            </w:pPr>
          </w:p>
        </w:tc>
        <w:tc>
          <w:tcPr>
            <w:tcW w:w="380" w:type="dxa"/>
            <w:vAlign w:val="bottom"/>
            <w:tcBorders>
              <w:top w:val="single" w:sz="8" w:color="auto"/>
            </w:tcBorders>
            <w:shd w:val="clear" w:color="auto" w:fill="F5F5F5"/>
          </w:tcPr>
          <w:p>
            <w:pPr>
              <w:jc w:val="right"/>
              <w:ind w:right="20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2,293</w:t>
            </w:r>
          </w:p>
        </w:tc>
        <w:tc>
          <w:tcPr>
            <w:tcW w:w="100" w:type="dxa"/>
            <w:vAlign w:val="bottom"/>
            <w:tcBorders>
              <w:top w:val="single" w:sz="8" w:color="F5F5F5"/>
            </w:tcBorders>
            <w:shd w:val="clear" w:color="auto" w:fill="F5F5F5"/>
          </w:tcPr>
          <w:p>
            <w:pPr>
              <w:spacing w:after="0"/>
              <w:rPr>
                <w:sz w:val="17"/>
                <w:szCs w:val="17"/>
                <w:color w:val="auto"/>
              </w:rPr>
            </w:pPr>
          </w:p>
        </w:tc>
        <w:tc>
          <w:tcPr>
            <w:tcW w:w="380" w:type="dxa"/>
            <w:vAlign w:val="bottom"/>
            <w:tcBorders>
              <w:top w:val="single" w:sz="8" w:color="auto"/>
            </w:tcBorders>
            <w:shd w:val="clear" w:color="auto" w:fill="F5F5F5"/>
          </w:tcPr>
          <w:p>
            <w:pPr>
              <w:jc w:val="right"/>
              <w:ind w:right="20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1,114</w:t>
            </w:r>
          </w:p>
        </w:tc>
      </w:tr>
      <w:tr>
        <w:trPr>
          <w:trHeight w:val="198"/>
        </w:trPr>
        <w:tc>
          <w:tcPr>
            <w:tcW w:w="6620" w:type="dxa"/>
            <w:vAlign w:val="bottom"/>
          </w:tcPr>
          <w:p>
            <w:pPr>
              <w:ind w:left="20"/>
              <w:spacing w:after="0"/>
              <w:rPr>
                <w:sz w:val="20"/>
                <w:szCs w:val="20"/>
                <w:color w:val="auto"/>
              </w:rPr>
            </w:pPr>
            <w:r>
              <w:rPr>
                <w:rFonts w:ascii="Arial" w:cs="Arial" w:eastAsia="Arial" w:hAnsi="Arial"/>
                <w:sz w:val="14"/>
                <w:szCs w:val="14"/>
                <w:color w:val="auto"/>
              </w:rPr>
              <w:t>Gross addition for tax positions of the current year</w:t>
            </w:r>
          </w:p>
        </w:tc>
        <w:tc>
          <w:tcPr>
            <w:tcW w:w="40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611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572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339</w:t>
            </w:r>
          </w:p>
        </w:tc>
      </w:tr>
      <w:tr>
        <w:trPr>
          <w:trHeight w:val="207"/>
        </w:trPr>
        <w:tc>
          <w:tcPr>
            <w:tcW w:w="6620" w:type="dxa"/>
            <w:vAlign w:val="bottom"/>
            <w:shd w:val="clear" w:color="auto" w:fill="F5F5F5"/>
          </w:tcPr>
          <w:p>
            <w:pPr>
              <w:ind w:left="20"/>
              <w:spacing w:after="0"/>
              <w:rPr>
                <w:sz w:val="20"/>
                <w:szCs w:val="20"/>
                <w:color w:val="auto"/>
              </w:rPr>
            </w:pPr>
            <w:r>
              <w:rPr>
                <w:rFonts w:ascii="Arial" w:cs="Arial" w:eastAsia="Arial" w:hAnsi="Arial"/>
                <w:sz w:val="14"/>
                <w:szCs w:val="14"/>
                <w:color w:val="auto"/>
              </w:rPr>
              <w:t>Gross addition for tax positions of prior years</w:t>
            </w:r>
          </w:p>
        </w:tc>
        <w:tc>
          <w:tcPr>
            <w:tcW w:w="400" w:type="dxa"/>
            <w:vAlign w:val="bottom"/>
            <w:shd w:val="clear" w:color="auto" w:fill="F5F5F5"/>
          </w:tcPr>
          <w:p>
            <w:pPr>
              <w:spacing w:after="0"/>
              <w:rPr>
                <w:sz w:val="17"/>
                <w:szCs w:val="17"/>
                <w:color w:val="auto"/>
              </w:rPr>
            </w:pPr>
          </w:p>
        </w:tc>
        <w:tc>
          <w:tcPr>
            <w:tcW w:w="104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1,725</w:t>
            </w:r>
          </w:p>
        </w:tc>
        <w:tc>
          <w:tcPr>
            <w:tcW w:w="100" w:type="dxa"/>
            <w:vAlign w:val="bottom"/>
            <w:shd w:val="clear" w:color="auto" w:fill="F5F5F5"/>
          </w:tcPr>
          <w:p>
            <w:pPr>
              <w:spacing w:after="0"/>
              <w:rPr>
                <w:sz w:val="17"/>
                <w:szCs w:val="17"/>
                <w:color w:val="auto"/>
              </w:rPr>
            </w:pPr>
          </w:p>
        </w:tc>
        <w:tc>
          <w:tcPr>
            <w:tcW w:w="380" w:type="dxa"/>
            <w:vAlign w:val="bottom"/>
            <w:shd w:val="clear" w:color="auto" w:fill="F5F5F5"/>
          </w:tcPr>
          <w:p>
            <w:pPr>
              <w:spacing w:after="0"/>
              <w:rPr>
                <w:sz w:val="17"/>
                <w:szCs w:val="17"/>
                <w:color w:val="auto"/>
              </w:rPr>
            </w:pPr>
          </w:p>
        </w:tc>
        <w:tc>
          <w:tcPr>
            <w:tcW w:w="106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75</w:t>
            </w:r>
          </w:p>
        </w:tc>
        <w:tc>
          <w:tcPr>
            <w:tcW w:w="100" w:type="dxa"/>
            <w:vAlign w:val="bottom"/>
            <w:shd w:val="clear" w:color="auto" w:fill="F5F5F5"/>
          </w:tcPr>
          <w:p>
            <w:pPr>
              <w:spacing w:after="0"/>
              <w:rPr>
                <w:sz w:val="17"/>
                <w:szCs w:val="17"/>
                <w:color w:val="auto"/>
              </w:rPr>
            </w:pPr>
          </w:p>
        </w:tc>
        <w:tc>
          <w:tcPr>
            <w:tcW w:w="380" w:type="dxa"/>
            <w:vAlign w:val="bottom"/>
            <w:shd w:val="clear" w:color="auto" w:fill="F5F5F5"/>
          </w:tcPr>
          <w:p>
            <w:pPr>
              <w:spacing w:after="0"/>
              <w:rPr>
                <w:sz w:val="17"/>
                <w:szCs w:val="17"/>
                <w:color w:val="auto"/>
              </w:rPr>
            </w:pPr>
          </w:p>
        </w:tc>
        <w:tc>
          <w:tcPr>
            <w:tcW w:w="106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907</w:t>
            </w:r>
          </w:p>
        </w:tc>
      </w:tr>
      <w:tr>
        <w:trPr>
          <w:trHeight w:val="198"/>
        </w:trPr>
        <w:tc>
          <w:tcPr>
            <w:tcW w:w="6620" w:type="dxa"/>
            <w:vAlign w:val="bottom"/>
          </w:tcPr>
          <w:p>
            <w:pPr>
              <w:ind w:left="20"/>
              <w:spacing w:after="0"/>
              <w:rPr>
                <w:sz w:val="20"/>
                <w:szCs w:val="20"/>
                <w:color w:val="auto"/>
              </w:rPr>
            </w:pPr>
            <w:r>
              <w:rPr>
                <w:rFonts w:ascii="Arial" w:cs="Arial" w:eastAsia="Arial" w:hAnsi="Arial"/>
                <w:sz w:val="14"/>
                <w:szCs w:val="14"/>
                <w:color w:val="auto"/>
              </w:rPr>
              <w:t>Reductions of tax positions of prior years for:</w:t>
            </w: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7"/>
        </w:trPr>
        <w:tc>
          <w:tcPr>
            <w:tcW w:w="6620" w:type="dxa"/>
            <w:vAlign w:val="bottom"/>
            <w:shd w:val="clear" w:color="auto" w:fill="F5F5F5"/>
          </w:tcPr>
          <w:p>
            <w:pPr>
              <w:ind w:left="140"/>
              <w:spacing w:after="0"/>
              <w:rPr>
                <w:sz w:val="20"/>
                <w:szCs w:val="20"/>
                <w:color w:val="auto"/>
              </w:rPr>
            </w:pPr>
            <w:r>
              <w:rPr>
                <w:rFonts w:ascii="Arial" w:cs="Arial" w:eastAsia="Arial" w:hAnsi="Arial"/>
                <w:sz w:val="14"/>
                <w:szCs w:val="14"/>
                <w:color w:val="auto"/>
              </w:rPr>
              <w:t>Lapses of applicable statutes of limitations</w:t>
            </w:r>
          </w:p>
        </w:tc>
        <w:tc>
          <w:tcPr>
            <w:tcW w:w="400" w:type="dxa"/>
            <w:vAlign w:val="bottom"/>
            <w:shd w:val="clear" w:color="auto" w:fill="F5F5F5"/>
          </w:tcPr>
          <w:p>
            <w:pPr>
              <w:spacing w:after="0"/>
              <w:rPr>
                <w:sz w:val="17"/>
                <w:szCs w:val="17"/>
                <w:color w:val="auto"/>
              </w:rPr>
            </w:pPr>
          </w:p>
        </w:tc>
        <w:tc>
          <w:tcPr>
            <w:tcW w:w="104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F5F5F5"/>
          </w:tcPr>
          <w:p>
            <w:pPr>
              <w:spacing w:after="0"/>
              <w:rPr>
                <w:sz w:val="17"/>
                <w:szCs w:val="17"/>
                <w:color w:val="auto"/>
              </w:rPr>
            </w:pPr>
          </w:p>
        </w:tc>
        <w:tc>
          <w:tcPr>
            <w:tcW w:w="380" w:type="dxa"/>
            <w:vAlign w:val="bottom"/>
            <w:shd w:val="clear" w:color="auto" w:fill="F5F5F5"/>
          </w:tcPr>
          <w:p>
            <w:pPr>
              <w:spacing w:after="0"/>
              <w:rPr>
                <w:sz w:val="17"/>
                <w:szCs w:val="17"/>
                <w:color w:val="auto"/>
              </w:rPr>
            </w:pPr>
          </w:p>
        </w:tc>
        <w:tc>
          <w:tcPr>
            <w:tcW w:w="1060" w:type="dxa"/>
            <w:vAlign w:val="bottom"/>
            <w:shd w:val="clear" w:color="auto" w:fill="F5F5F5"/>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F5F5F5"/>
          </w:tcPr>
          <w:p>
            <w:pPr>
              <w:spacing w:after="0"/>
              <w:rPr>
                <w:sz w:val="17"/>
                <w:szCs w:val="17"/>
                <w:color w:val="auto"/>
              </w:rPr>
            </w:pPr>
          </w:p>
        </w:tc>
        <w:tc>
          <w:tcPr>
            <w:tcW w:w="380" w:type="dxa"/>
            <w:vAlign w:val="bottom"/>
            <w:shd w:val="clear" w:color="auto" w:fill="F5F5F5"/>
          </w:tcPr>
          <w:p>
            <w:pPr>
              <w:spacing w:after="0"/>
              <w:rPr>
                <w:sz w:val="17"/>
                <w:szCs w:val="17"/>
                <w:color w:val="auto"/>
              </w:rPr>
            </w:pPr>
          </w:p>
        </w:tc>
        <w:tc>
          <w:tcPr>
            <w:tcW w:w="1060" w:type="dxa"/>
            <w:vAlign w:val="bottom"/>
            <w:shd w:val="clear" w:color="auto" w:fill="F5F5F5"/>
          </w:tcPr>
          <w:p>
            <w:pPr>
              <w:jc w:val="right"/>
              <w:spacing w:after="0"/>
              <w:rPr>
                <w:sz w:val="20"/>
                <w:szCs w:val="20"/>
                <w:color w:val="auto"/>
              </w:rPr>
            </w:pPr>
            <w:r>
              <w:rPr>
                <w:rFonts w:ascii="Arial" w:cs="Arial" w:eastAsia="Arial" w:hAnsi="Arial"/>
                <w:sz w:val="14"/>
                <w:szCs w:val="14"/>
                <w:color w:val="auto"/>
              </w:rPr>
              <w:t>(66)</w:t>
            </w:r>
          </w:p>
        </w:tc>
      </w:tr>
      <w:tr>
        <w:trPr>
          <w:trHeight w:val="198"/>
        </w:trPr>
        <w:tc>
          <w:tcPr>
            <w:tcW w:w="6620" w:type="dxa"/>
            <w:vAlign w:val="bottom"/>
            <w:tcBorders>
              <w:bottom w:val="single" w:sz="8" w:color="F5F5F5"/>
            </w:tcBorders>
          </w:tcPr>
          <w:p>
            <w:pPr>
              <w:ind w:left="140"/>
              <w:spacing w:after="0"/>
              <w:rPr>
                <w:sz w:val="20"/>
                <w:szCs w:val="20"/>
                <w:color w:val="auto"/>
              </w:rPr>
            </w:pPr>
            <w:r>
              <w:rPr>
                <w:rFonts w:ascii="Arial" w:cs="Arial" w:eastAsia="Arial" w:hAnsi="Arial"/>
                <w:sz w:val="14"/>
                <w:szCs w:val="14"/>
                <w:color w:val="auto"/>
              </w:rPr>
              <w:t>Settlements during the period</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w:t>
            </w:r>
          </w:p>
        </w:tc>
        <w:tc>
          <w:tcPr>
            <w:tcW w:w="100" w:type="dxa"/>
            <w:vAlign w:val="bottom"/>
            <w:tcBorders>
              <w:bottom w:val="single" w:sz="8" w:color="F5F5F5"/>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w:t>
            </w:r>
          </w:p>
        </w:tc>
        <w:tc>
          <w:tcPr>
            <w:tcW w:w="100" w:type="dxa"/>
            <w:vAlign w:val="bottom"/>
            <w:tcBorders>
              <w:bottom w:val="single" w:sz="8" w:color="F5F5F5"/>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221"/>
        </w:trPr>
        <w:tc>
          <w:tcPr>
            <w:tcW w:w="6620" w:type="dxa"/>
            <w:vAlign w:val="bottom"/>
            <w:tcBorders>
              <w:bottom w:val="single" w:sz="8" w:color="F5F5F5"/>
            </w:tcBorders>
            <w:shd w:val="clear" w:color="auto" w:fill="F5F5F5"/>
          </w:tcPr>
          <w:p>
            <w:pPr>
              <w:ind w:left="20"/>
              <w:spacing w:after="0"/>
              <w:rPr>
                <w:sz w:val="20"/>
                <w:szCs w:val="20"/>
                <w:color w:val="auto"/>
              </w:rPr>
            </w:pPr>
            <w:r>
              <w:rPr>
                <w:rFonts w:ascii="Arial" w:cs="Arial" w:eastAsia="Arial" w:hAnsi="Arial"/>
                <w:sz w:val="14"/>
                <w:szCs w:val="14"/>
                <w:color w:val="auto"/>
              </w:rPr>
              <w:t>Uncertain tax positions, end of year</w:t>
            </w:r>
          </w:p>
        </w:tc>
        <w:tc>
          <w:tcPr>
            <w:tcW w:w="400" w:type="dxa"/>
            <w:vAlign w:val="bottom"/>
            <w:tcBorders>
              <w:bottom w:val="single" w:sz="8" w:color="auto"/>
            </w:tcBorders>
            <w:shd w:val="clear" w:color="auto" w:fill="F5F5F5"/>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4,582</w:t>
            </w:r>
          </w:p>
        </w:tc>
        <w:tc>
          <w:tcPr>
            <w:tcW w:w="100" w:type="dxa"/>
            <w:vAlign w:val="bottom"/>
            <w:tcBorders>
              <w:bottom w:val="single" w:sz="8" w:color="F5F5F5"/>
            </w:tcBorders>
            <w:shd w:val="clear" w:color="auto" w:fill="F5F5F5"/>
          </w:tcPr>
          <w:p>
            <w:pPr>
              <w:spacing w:after="0"/>
              <w:rPr>
                <w:sz w:val="18"/>
                <w:szCs w:val="18"/>
                <w:color w:val="auto"/>
              </w:rPr>
            </w:pPr>
          </w:p>
        </w:tc>
        <w:tc>
          <w:tcPr>
            <w:tcW w:w="380" w:type="dxa"/>
            <w:vAlign w:val="bottom"/>
            <w:tcBorders>
              <w:bottom w:val="single" w:sz="8" w:color="auto"/>
            </w:tcBorders>
            <w:shd w:val="clear" w:color="auto" w:fill="F5F5F5"/>
          </w:tcPr>
          <w:p>
            <w:pPr>
              <w:jc w:val="right"/>
              <w:ind w:right="20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2,751</w:t>
            </w:r>
          </w:p>
        </w:tc>
        <w:tc>
          <w:tcPr>
            <w:tcW w:w="100" w:type="dxa"/>
            <w:vAlign w:val="bottom"/>
            <w:tcBorders>
              <w:bottom w:val="single" w:sz="8" w:color="F5F5F5"/>
            </w:tcBorders>
            <w:shd w:val="clear" w:color="auto" w:fill="F5F5F5"/>
          </w:tcPr>
          <w:p>
            <w:pPr>
              <w:spacing w:after="0"/>
              <w:rPr>
                <w:sz w:val="18"/>
                <w:szCs w:val="18"/>
                <w:color w:val="auto"/>
              </w:rPr>
            </w:pPr>
          </w:p>
        </w:tc>
        <w:tc>
          <w:tcPr>
            <w:tcW w:w="380" w:type="dxa"/>
            <w:vAlign w:val="bottom"/>
            <w:tcBorders>
              <w:bottom w:val="single" w:sz="8" w:color="auto"/>
            </w:tcBorders>
            <w:shd w:val="clear" w:color="auto" w:fill="F5F5F5"/>
          </w:tcPr>
          <w:p>
            <w:pPr>
              <w:jc w:val="right"/>
              <w:ind w:right="20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2,293</w:t>
            </w:r>
          </w:p>
        </w:tc>
      </w:tr>
      <w:tr>
        <w:trPr>
          <w:trHeight w:val="20"/>
        </w:trPr>
        <w:tc>
          <w:tcPr>
            <w:tcW w:w="6620" w:type="dxa"/>
            <w:vAlign w:val="bottom"/>
            <w:tcBorders>
              <w:top w:val="single" w:sz="8" w:color="F5F5F5"/>
            </w:tcBorders>
          </w:tcPr>
          <w:p>
            <w:pPr>
              <w:spacing w:after="0" w:line="20" w:lineRule="exact"/>
              <w:rPr>
                <w:sz w:val="1"/>
                <w:szCs w:val="1"/>
                <w:color w:val="auto"/>
              </w:rPr>
            </w:pPr>
          </w:p>
        </w:tc>
        <w:tc>
          <w:tcPr>
            <w:tcW w:w="400" w:type="dxa"/>
            <w:vAlign w:val="bottom"/>
            <w:tcBorders>
              <w:top w:val="single" w:sz="8" w:color="F5F5F5"/>
              <w:bottom w:val="single" w:sz="8" w:color="auto"/>
            </w:tcBorders>
          </w:tcPr>
          <w:p>
            <w:pPr>
              <w:spacing w:after="0" w:line="20" w:lineRule="exact"/>
              <w:rPr>
                <w:sz w:val="1"/>
                <w:szCs w:val="1"/>
                <w:color w:val="auto"/>
              </w:rPr>
            </w:pPr>
          </w:p>
        </w:tc>
        <w:tc>
          <w:tcPr>
            <w:tcW w:w="1040" w:type="dxa"/>
            <w:vAlign w:val="bottom"/>
            <w:tcBorders>
              <w:top w:val="single" w:sz="8" w:color="F5F5F5"/>
              <w:bottom w:val="single" w:sz="8" w:color="auto"/>
            </w:tcBorders>
          </w:tcPr>
          <w:p>
            <w:pPr>
              <w:spacing w:after="0" w:line="20" w:lineRule="exact"/>
              <w:rPr>
                <w:sz w:val="1"/>
                <w:szCs w:val="1"/>
                <w:color w:val="auto"/>
              </w:rPr>
            </w:pPr>
          </w:p>
        </w:tc>
        <w:tc>
          <w:tcPr>
            <w:tcW w:w="100" w:type="dxa"/>
            <w:vAlign w:val="bottom"/>
            <w:tcBorders>
              <w:top w:val="single" w:sz="8" w:color="F5F5F5"/>
            </w:tcBorders>
          </w:tcPr>
          <w:p>
            <w:pPr>
              <w:spacing w:after="0" w:line="20" w:lineRule="exact"/>
              <w:rPr>
                <w:sz w:val="1"/>
                <w:szCs w:val="1"/>
                <w:color w:val="auto"/>
              </w:rPr>
            </w:pPr>
          </w:p>
        </w:tc>
        <w:tc>
          <w:tcPr>
            <w:tcW w:w="380" w:type="dxa"/>
            <w:vAlign w:val="bottom"/>
            <w:tcBorders>
              <w:top w:val="single" w:sz="8" w:color="F5F5F5"/>
              <w:bottom w:val="single" w:sz="8" w:color="auto"/>
            </w:tcBorders>
          </w:tcPr>
          <w:p>
            <w:pPr>
              <w:spacing w:after="0" w:line="20" w:lineRule="exact"/>
              <w:rPr>
                <w:sz w:val="1"/>
                <w:szCs w:val="1"/>
                <w:color w:val="auto"/>
              </w:rPr>
            </w:pPr>
          </w:p>
        </w:tc>
        <w:tc>
          <w:tcPr>
            <w:tcW w:w="1060" w:type="dxa"/>
            <w:vAlign w:val="bottom"/>
            <w:tcBorders>
              <w:top w:val="single" w:sz="8" w:color="F5F5F5"/>
              <w:bottom w:val="single" w:sz="8" w:color="auto"/>
            </w:tcBorders>
          </w:tcPr>
          <w:p>
            <w:pPr>
              <w:spacing w:after="0" w:line="20" w:lineRule="exact"/>
              <w:rPr>
                <w:sz w:val="1"/>
                <w:szCs w:val="1"/>
                <w:color w:val="auto"/>
              </w:rPr>
            </w:pPr>
          </w:p>
        </w:tc>
        <w:tc>
          <w:tcPr>
            <w:tcW w:w="100" w:type="dxa"/>
            <w:vAlign w:val="bottom"/>
            <w:tcBorders>
              <w:top w:val="single" w:sz="8" w:color="F5F5F5"/>
            </w:tcBorders>
          </w:tcPr>
          <w:p>
            <w:pPr>
              <w:spacing w:after="0" w:line="20" w:lineRule="exact"/>
              <w:rPr>
                <w:sz w:val="1"/>
                <w:szCs w:val="1"/>
                <w:color w:val="auto"/>
              </w:rPr>
            </w:pPr>
          </w:p>
        </w:tc>
        <w:tc>
          <w:tcPr>
            <w:tcW w:w="380" w:type="dxa"/>
            <w:vAlign w:val="bottom"/>
            <w:tcBorders>
              <w:top w:val="single" w:sz="8" w:color="F5F5F5"/>
              <w:bottom w:val="single" w:sz="8" w:color="auto"/>
            </w:tcBorders>
          </w:tcPr>
          <w:p>
            <w:pPr>
              <w:spacing w:after="0" w:line="20" w:lineRule="exact"/>
              <w:rPr>
                <w:sz w:val="1"/>
                <w:szCs w:val="1"/>
                <w:color w:val="auto"/>
              </w:rPr>
            </w:pPr>
          </w:p>
        </w:tc>
        <w:tc>
          <w:tcPr>
            <w:tcW w:w="1060" w:type="dxa"/>
            <w:vAlign w:val="bottom"/>
            <w:tcBorders>
              <w:top w:val="single" w:sz="8" w:color="F5F5F5"/>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IRS is currently conducting an examination of the Company’s U.S. federal income tax returns for Fiscal 2024 and 2023 as part of the IRS’ Compliance Assurance Process program. The IRS examinations for Fiscal 2022 and prior years have been completed. State and foreign returns are generally subject to examination for a period of three to five years after the filing of the respective return. The Company typically has various state and foreign income tax returns in the process of examination, administrative appeals or litigation. The outcome of the examinations is not expected to have a material impact on the Company’s financial statements. The Company believes that some of these audits and negotiations will conclude within the next 12 months and that it is reasonably possible the amount of uncertain income tax positions, including interest, may change by an immaterial amount due to settlement of audits and expiration of statues of limitations.</w:t>
      </w:r>
    </w:p>
    <w:p>
      <w:pPr>
        <w:spacing w:after="0" w:line="20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Company does not expect material adjustments to the total amount of uncertain tax positions within the next 12 months, but the outcome of tax matters is uncertain and unforeseen results can occur.</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Refer to Note 2, </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0000FF"/>
        </w:rPr>
        <w:t>SUMMARY OF SIGNIFICANT ACCOUNTING POLICIES - Income Taxes</w:t>
      </w:r>
      <w:r>
        <w:rPr>
          <w:rFonts w:ascii="Arial" w:cs="Arial" w:eastAsia="Arial" w:hAnsi="Arial"/>
          <w:sz w:val="16"/>
          <w:szCs w:val="16"/>
          <w:color w:val="auto"/>
        </w:rPr>
        <w:t>,” for discussion regarding significant accounting policies related to the Company’s income taxes.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C7E65"/>
        </w:rPr>
        <w:t>12. BORROWINGS</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Senior Secured Notes</w:t>
      </w:r>
    </w:p>
    <w:p>
      <w:pPr>
        <w:spacing w:after="0" w:line="2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On July 15, 2024 (the “Redemption Date”), A&amp;F redeemed all of its outstanding 8.75% Senior Secured Notes due July 15, 2025, which had an aggregate principal amount of $214 million, at a redemption price equal to 100% of the principal amount, plus accrued and unpaid interest to, but excluding, the Redemption Date, and incurred a $0.9 million loss on extinguishment of debt, recognized in interest expense on the Condensed Consolidated Statements of Operations and Comprehensive Income. For the year-to-date period through the Redemption Date, A&amp;F Management repurchased $9.3 million in the open market and redeemed $214 million of its Senior Secured Notes and incurred a loss on extinguishment of debt of $1.1 million. As of the Redemption Date, the Senior Secured Notes were no longer deemed outstanding and interest on the Senior Secured Notes ceased to accrue.</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ABL Facility</w:t>
      </w:r>
    </w:p>
    <w:p>
      <w:pPr>
        <w:spacing w:after="0" w:line="246"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On August 2, 2024, A&amp;F, as parent and a guarantor, A&amp;F Management, as lead borrower, and certain of A&amp;F’s direct and indirect wholly-owned subsidiaries, as additional borrowers and guarantors, entered into the Second Amendment to the Amended and Restated Credit Agreement (the “Second Amendment”), together with the lenders party thereto and Wells Fargo Bank, National Association, as administrative agent for the lenders. The Second Amendment amended the Amended and Restated Credit Agreement, dated as of April 29, 2021 (the “ABL Credit Agreement”), to, among other things (as described in greater detail below), provide for a $500 million senior secured asset-based revolving credit facility (the “ABL Facility”). The Company incurred customary fees and expenses in connection with the entry into the Second Amendment.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69</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sz w:val="20"/>
          <w:szCs w:val="20"/>
          <w:color w:val="auto"/>
        </w:rPr>
      </w:pPr>
      <w:r>
        <w:rPr>
          <w:rFonts w:ascii="Arial" w:cs="Arial" w:eastAsia="Arial" w:hAnsi="Arial"/>
          <w:sz w:val="16"/>
          <w:szCs w:val="16"/>
          <w:u w:val="single" w:color="auto"/>
          <w:color w:val="0000FF"/>
        </w:rPr>
        <w:t>Table of Contents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Abercrombie &amp; Fitch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The Second Amendment amended the ABL Credit Agreement to, among other things:</w:t>
      </w:r>
    </w:p>
    <w:p>
      <w:pPr>
        <w:spacing w:after="0" w:line="21" w:lineRule="exact"/>
        <w:rPr>
          <w:sz w:val="20"/>
          <w:szCs w:val="20"/>
          <w:color w:val="auto"/>
        </w:rPr>
      </w:pPr>
    </w:p>
    <w:p>
      <w:pPr>
        <w:ind w:left="640" w:hanging="308"/>
        <w:spacing w:after="0"/>
        <w:tabs>
          <w:tab w:leader="none" w:pos="6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increase the aggregate commitments thereunder from $400 million to $500 million;</w:t>
      </w:r>
    </w:p>
    <w:p>
      <w:pPr>
        <w:spacing w:after="0" w:line="14" w:lineRule="exact"/>
        <w:rPr>
          <w:rFonts w:ascii="Arial" w:cs="Arial" w:eastAsia="Arial" w:hAnsi="Arial"/>
          <w:sz w:val="16"/>
          <w:szCs w:val="16"/>
          <w:color w:val="auto"/>
        </w:rPr>
      </w:pPr>
    </w:p>
    <w:p>
      <w:pPr>
        <w:jc w:val="both"/>
        <w:ind w:left="660" w:hanging="328"/>
        <w:spacing w:after="0" w:line="254" w:lineRule="auto"/>
        <w:tabs>
          <w:tab w:leader="none" w:pos="649" w:val="left"/>
        </w:tabs>
        <w:numPr>
          <w:ilvl w:val="0"/>
          <w:numId w:val="67"/>
        </w:numPr>
        <w:rPr>
          <w:rFonts w:ascii="Arial" w:cs="Arial" w:eastAsia="Arial" w:hAnsi="Arial"/>
          <w:sz w:val="16"/>
          <w:szCs w:val="16"/>
          <w:color w:val="auto"/>
        </w:rPr>
      </w:pPr>
      <w:r>
        <w:rPr>
          <w:rFonts w:ascii="Arial" w:cs="Arial" w:eastAsia="Arial" w:hAnsi="Arial"/>
          <w:sz w:val="16"/>
          <w:szCs w:val="16"/>
          <w:color w:val="auto"/>
        </w:rPr>
        <w:t>establish a $100 million sub-facility for the benefit of Abfico Netherlands Distribution B.V. (“Abfico”) and AFH Stores UK Limited (“AFH UK”) that is (i) secured by a first priority security interest in all assets (subject to specified exclusions) of each of Abfico and AFH UK, (ii) guaranteed by A&amp;F and certain of its domestic direct and indirect wholly-owned subsidiaries, and (iii) subject to a borrowing base as described therein;</w:t>
      </w:r>
    </w:p>
    <w:p>
      <w:pPr>
        <w:ind w:left="640" w:hanging="308"/>
        <w:spacing w:after="0"/>
        <w:tabs>
          <w:tab w:leader="none" w:pos="6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extend the maturity date from April 29, 2026 to August 2, 2029;</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increase the letter of credit sub-limit from $50 million to $62.5 million;</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decrease the swing line availability from $50 million to $30 million;</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decrease the unused line fee from a variable rate of 25 basis points to 37.5 basis points to a flat rate of 25 basis points; and</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increase pricing of the interest rate margin applicable to borrowings as follows:</w:t>
      </w:r>
    </w:p>
    <w:p>
      <w:pPr>
        <w:spacing w:after="0" w:line="8" w:lineRule="exact"/>
        <w:rPr>
          <w:rFonts w:ascii="Arial" w:cs="Arial" w:eastAsia="Arial" w:hAnsi="Arial"/>
          <w:sz w:val="16"/>
          <w:szCs w:val="16"/>
          <w:color w:val="auto"/>
        </w:rPr>
      </w:pPr>
    </w:p>
    <w:p>
      <w:pPr>
        <w:ind w:left="1300" w:hanging="320"/>
        <w:spacing w:after="0" w:line="252" w:lineRule="auto"/>
        <w:tabs>
          <w:tab w:leader="none" w:pos="1290" w:val="left"/>
        </w:tabs>
        <w:numPr>
          <w:ilvl w:val="1"/>
          <w:numId w:val="67"/>
        </w:numPr>
        <w:rPr>
          <w:rFonts w:ascii="Arial" w:cs="Arial" w:eastAsia="Arial" w:hAnsi="Arial"/>
          <w:sz w:val="16"/>
          <w:szCs w:val="16"/>
          <w:color w:val="auto"/>
        </w:rPr>
      </w:pPr>
      <w:r>
        <w:rPr>
          <w:rFonts w:ascii="Arial" w:cs="Arial" w:eastAsia="Arial" w:hAnsi="Arial"/>
          <w:sz w:val="16"/>
          <w:szCs w:val="16"/>
          <w:color w:val="auto"/>
        </w:rPr>
        <w:t>from 1.25% to 1.50% when average availability is greater than or equal to 50% of the Loan Cap (as defined in the Second Amendment); and</w:t>
      </w:r>
    </w:p>
    <w:p>
      <w:pPr>
        <w:spacing w:after="0" w:line="194" w:lineRule="exact"/>
        <w:rPr>
          <w:rFonts w:ascii="Arial" w:cs="Arial" w:eastAsia="Arial" w:hAnsi="Arial"/>
          <w:sz w:val="16"/>
          <w:szCs w:val="16"/>
          <w:color w:val="auto"/>
        </w:rPr>
      </w:pPr>
    </w:p>
    <w:p>
      <w:pPr>
        <w:ind w:left="1300" w:hanging="320"/>
        <w:spacing w:after="0"/>
        <w:tabs>
          <w:tab w:leader="none" w:pos="1300" w:val="left"/>
        </w:tabs>
        <w:numPr>
          <w:ilvl w:val="1"/>
          <w:numId w:val="67"/>
        </w:numPr>
        <w:rPr>
          <w:rFonts w:ascii="Arial" w:cs="Arial" w:eastAsia="Arial" w:hAnsi="Arial"/>
          <w:sz w:val="16"/>
          <w:szCs w:val="16"/>
          <w:color w:val="auto"/>
        </w:rPr>
      </w:pPr>
      <w:r>
        <w:rPr>
          <w:rFonts w:ascii="Arial" w:cs="Arial" w:eastAsia="Arial" w:hAnsi="Arial"/>
          <w:sz w:val="16"/>
          <w:szCs w:val="16"/>
          <w:color w:val="auto"/>
        </w:rPr>
        <w:t>from 1.50% to 1.75% when average availability is less than 50% of the Loan Cap.</w:t>
      </w:r>
    </w:p>
    <w:p>
      <w:pPr>
        <w:spacing w:after="0" w:line="23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ABL Facility is subject to a borrowing base, consisting primarily of inventory located in the U.S., the United Kingdom and the Netherlands, with a letter of credit sub-limit of $62.5 million, a swing line loan sub-limit of $30 million, and an accordion feature allowing A&amp;F to increase the revolving commitment by up to $150 million subject to specified conditions. The ABL Facility is available for working capital, capital expenditures, and other general corporate purposes.</w:t>
      </w:r>
    </w:p>
    <w:p>
      <w:pPr>
        <w:spacing w:after="0" w:line="20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As of February 1, 2025, availability under the ABL Facility was $500 million, net of $0.4 million in outstanding stand-by letters of credit. As the Company must maintain excess availability equal to the greater of 10% of the Loan Cap or $36 million under the ABL Facility, borrowing capacity available to the Company under the ABL Facility was $450 million as of February 1, 2025.</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Representations, Warranties and Covenants</w:t>
      </w:r>
    </w:p>
    <w:p>
      <w:pPr>
        <w:spacing w:after="0" w:line="24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agreements related to the ABL Facility contain various representations, warranties and restrictive covenants that, among other things and subject to specified exceptions, restrict the ability of the Company and its subsidiaries to: grant or incur liens; incur, assume or guarantee additional indebtedness; sell or otherwise dispose of assets, including capital stock of subsidiaries; make investments in certain subsidiaries; pay dividends, make distributions or redeem or repurchase capital stock; change the nature of their business; and consolidate or merge with or into, or sell substantially all of the assets of the Company or A&amp;F Management to another entity.</w:t>
      </w:r>
    </w:p>
    <w:p>
      <w:pPr>
        <w:spacing w:after="0" w:line="19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Certain of the agreements related to the ABL Facility also contain certain affirmative covenants, including reporting requirements, such as delivery of financial statements, certificates and notices of certain events, maintaining insurance and providing additional guarantees and collateral in certain circumstances.</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auto"/>
        </w:rPr>
        <w:t>The Company was in compliance with all covenants under these agreements as of February 1, 2025.</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b w:val="1"/>
          <w:bCs w:val="1"/>
          <w:color w:val="AC7E65"/>
        </w:rPr>
        <w:t>13. SHARE-BASED COMPENSATION</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Plans</w:t>
      </w:r>
    </w:p>
    <w:p>
      <w:pPr>
        <w:spacing w:after="0" w:line="26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As of February 1, 2025, the Company had two primary share-based compensation plans: (i) the 2016 Directors LTIP, with 900,000 shares of Common Stock authorized for issuance, under which the Company is authorized to grant restricted stock, restricted stock units, stock appreciation rights, stock options and deferred stock awards to non-associate members of the Board of Directors; and (ii) the 2016 Associates LTIP, with 10,965,000 shares of Common Stock authorized for issuance, under which the Company is authorized to grant restricted stock, restricted stock units, performance share awards, stock appreciation rights and stock options to associates of the Company. The Company also has outstanding shares from two other share-based compensation plans under which the Company granted restricted stock units, performance share awards, stock appreciation rights and stock options to associates of the Company and restricted stock units, stock options and deferred stock awards to non-associate members of the Board of Directors in prior years. No new shares may be granted under these previously-authorized plans and any outstanding awards continue in effect in accordance with their respective terms.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70</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sz w:val="20"/>
          <w:szCs w:val="20"/>
          <w:color w:val="auto"/>
        </w:rPr>
      </w:pPr>
      <w:r>
        <w:rPr>
          <w:rFonts w:ascii="Arial" w:cs="Arial" w:eastAsia="Arial" w:hAnsi="Arial"/>
          <w:sz w:val="16"/>
          <w:szCs w:val="16"/>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Abercrombie &amp; Fitch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2016 Directors LTIP, a stockholder-approved plan, permits the Company to annually grant awards to non-associate directors, subject to the following limits:</w:t>
      </w:r>
    </w:p>
    <w:p>
      <w:pPr>
        <w:spacing w:after="0" w:line="196" w:lineRule="exact"/>
        <w:rPr>
          <w:sz w:val="20"/>
          <w:szCs w:val="20"/>
          <w:color w:val="auto"/>
        </w:rPr>
      </w:pPr>
    </w:p>
    <w:p>
      <w:pPr>
        <w:ind w:left="640" w:hanging="308"/>
        <w:spacing w:after="0"/>
        <w:tabs>
          <w:tab w:leader="none" w:pos="640" w:val="left"/>
        </w:tabs>
        <w:numPr>
          <w:ilvl w:val="0"/>
          <w:numId w:val="68"/>
        </w:numPr>
        <w:rPr>
          <w:rFonts w:ascii="Arial" w:cs="Arial" w:eastAsia="Arial" w:hAnsi="Arial"/>
          <w:sz w:val="16"/>
          <w:szCs w:val="16"/>
          <w:color w:val="auto"/>
        </w:rPr>
      </w:pPr>
      <w:r>
        <w:rPr>
          <w:rFonts w:ascii="Arial" w:cs="Arial" w:eastAsia="Arial" w:hAnsi="Arial"/>
          <w:sz w:val="16"/>
          <w:szCs w:val="16"/>
          <w:i w:val="1"/>
          <w:iCs w:val="1"/>
          <w:color w:val="auto"/>
        </w:rPr>
        <w:t xml:space="preserve">For non-associate directors: </w:t>
      </w:r>
      <w:r>
        <w:rPr>
          <w:rFonts w:ascii="Arial" w:cs="Arial" w:eastAsia="Arial" w:hAnsi="Arial"/>
          <w:sz w:val="16"/>
          <w:szCs w:val="16"/>
          <w:color w:val="auto"/>
        </w:rPr>
        <w:t>awards with an aggregate fair market value on the date of the grant of no more than $300,000;</w:t>
      </w:r>
    </w:p>
    <w:p>
      <w:pPr>
        <w:spacing w:after="0" w:line="21" w:lineRule="exact"/>
        <w:rPr>
          <w:rFonts w:ascii="Arial" w:cs="Arial" w:eastAsia="Arial" w:hAnsi="Arial"/>
          <w:sz w:val="16"/>
          <w:szCs w:val="16"/>
          <w:color w:val="auto"/>
        </w:rPr>
      </w:pPr>
    </w:p>
    <w:p>
      <w:pPr>
        <w:ind w:left="660" w:right="20" w:hanging="328"/>
        <w:spacing w:after="0" w:line="255" w:lineRule="auto"/>
        <w:tabs>
          <w:tab w:leader="none" w:pos="649" w:val="left"/>
        </w:tabs>
        <w:numPr>
          <w:ilvl w:val="0"/>
          <w:numId w:val="68"/>
        </w:numPr>
        <w:rPr>
          <w:rFonts w:ascii="Arial" w:cs="Arial" w:eastAsia="Arial" w:hAnsi="Arial"/>
          <w:sz w:val="16"/>
          <w:szCs w:val="16"/>
          <w:color w:val="auto"/>
        </w:rPr>
      </w:pPr>
      <w:r>
        <w:rPr>
          <w:rFonts w:ascii="Arial" w:cs="Arial" w:eastAsia="Arial" w:hAnsi="Arial"/>
          <w:sz w:val="16"/>
          <w:szCs w:val="16"/>
          <w:i w:val="1"/>
          <w:iCs w:val="1"/>
          <w:color w:val="auto"/>
        </w:rPr>
        <w:t xml:space="preserve">For the non-associate director occupying the role of Non-Executive Chairperson of the Board (if any): </w:t>
      </w:r>
      <w:r>
        <w:rPr>
          <w:rFonts w:ascii="Arial" w:cs="Arial" w:eastAsia="Arial" w:hAnsi="Arial"/>
          <w:sz w:val="16"/>
          <w:szCs w:val="16"/>
          <w:color w:val="auto"/>
        </w:rPr>
        <w:t>additional awards with an aggregate fair</w:t>
      </w:r>
      <w:r>
        <w:rPr>
          <w:rFonts w:ascii="Arial" w:cs="Arial" w:eastAsia="Arial" w:hAnsi="Arial"/>
          <w:sz w:val="16"/>
          <w:szCs w:val="16"/>
          <w:i w:val="1"/>
          <w:iCs w:val="1"/>
          <w:color w:val="auto"/>
        </w:rPr>
        <w:t xml:space="preserve"> </w:t>
      </w:r>
      <w:r>
        <w:rPr>
          <w:rFonts w:ascii="Arial" w:cs="Arial" w:eastAsia="Arial" w:hAnsi="Arial"/>
          <w:sz w:val="16"/>
          <w:szCs w:val="16"/>
          <w:color w:val="auto"/>
        </w:rPr>
        <w:t>market value on the date of grant of no more than $500,000; and</w:t>
      </w:r>
    </w:p>
    <w:p>
      <w:pPr>
        <w:ind w:left="660" w:hanging="328"/>
        <w:spacing w:after="0" w:line="265" w:lineRule="auto"/>
        <w:tabs>
          <w:tab w:leader="none" w:pos="649" w:val="left"/>
        </w:tabs>
        <w:numPr>
          <w:ilvl w:val="0"/>
          <w:numId w:val="6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For the non-associate director occupying the role of Executive Chairperson of the Board (if any): </w:t>
      </w:r>
      <w:r>
        <w:rPr>
          <w:rFonts w:ascii="Arial" w:cs="Arial" w:eastAsia="Arial" w:hAnsi="Arial"/>
          <w:sz w:val="16"/>
          <w:szCs w:val="16"/>
          <w:color w:val="auto"/>
        </w:rPr>
        <w:t>additional awards with an aggregate fair market</w:t>
      </w:r>
      <w:r>
        <w:rPr>
          <w:rFonts w:ascii="Arial" w:cs="Arial" w:eastAsia="Arial" w:hAnsi="Arial"/>
          <w:sz w:val="16"/>
          <w:szCs w:val="16"/>
          <w:i w:val="1"/>
          <w:iCs w:val="1"/>
          <w:color w:val="auto"/>
        </w:rPr>
        <w:t xml:space="preserve"> </w:t>
      </w:r>
      <w:r>
        <w:rPr>
          <w:rFonts w:ascii="Arial" w:cs="Arial" w:eastAsia="Arial" w:hAnsi="Arial"/>
          <w:sz w:val="16"/>
          <w:szCs w:val="16"/>
          <w:color w:val="auto"/>
        </w:rPr>
        <w:t>value on the date of grant of no more than $2,500,000.</w:t>
      </w:r>
    </w:p>
    <w:p>
      <w:pPr>
        <w:spacing w:after="0" w:line="21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Under the 2016 Directors LTIP, restricted stock units are subject to a minimum vesting period ending no sooner than the earlier of (i) the first anniversary of the grant date or (ii) the date of the next regularly scheduled annual meeting of stockholders held after the grant date. Any stock appreciation rights or stock options granted under this plan have the same minimum vesting period requirements as restricted stock units and, in addition, must have a term that does not exceed a period of ten years from the grant date, subject to forfeiture under the terms of the 2016 Directors LTIP.</w:t>
      </w:r>
    </w:p>
    <w:p>
      <w:pPr>
        <w:spacing w:after="0" w:line="200"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2016 Associates LTIP, a stockholder-approved plan, permits the Company to annually grant one or more types of awards covering up to an aggregate for all awards of 1.0 million underlying shares of the Common Stock to any associate of the Company. Under the 2016 Associates LTIP, for restricted stock units that have performance-based vesting, performance must be measured over a period of at least one year and for restricted stock units that do not have performance-based vesting, vesting in full may not occur more quickly than in pro-rata installments over a period of three years from the date of the grant, with the first installment vesting no sooner than the first anniversary of the date of the grant. In addition, any stock options or stock appreciation rights granted under this plan must have a minimum vesting period of one year and a term that does not exceed a period of ten years from the grant date, subject to forfeiture under the terms of the 2016 Associates LTIP.</w:t>
      </w:r>
    </w:p>
    <w:p>
      <w:pPr>
        <w:spacing w:after="0" w:line="20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Each of the 2016 Directors LTIP and the 2016 Associates LTIP provides for accelerated vesting of awards if there is a change of control and certain other conditions specified in each plan are met.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Financial Statement Impact</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details share-based compensation expense and the related income tax benefit for Fiscal 2024, Fiscal 2023 and Fiscal 2022:</w:t>
      </w:r>
    </w:p>
    <w:p>
      <w:pPr>
        <w:spacing w:after="0" w:line="64"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70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6"/>
                <w:szCs w:val="16"/>
                <w:color w:val="auto"/>
              </w:rPr>
            </w:pPr>
          </w:p>
        </w:tc>
        <w:tc>
          <w:tcPr>
            <w:tcW w:w="1100" w:type="dxa"/>
            <w:vAlign w:val="bottom"/>
            <w:gridSpan w:val="2"/>
          </w:tcPr>
          <w:p>
            <w:pPr>
              <w:ind w:left="240"/>
              <w:spacing w:after="0"/>
              <w:rPr>
                <w:sz w:val="20"/>
                <w:szCs w:val="20"/>
                <w:color w:val="auto"/>
              </w:rPr>
            </w:pPr>
            <w:r>
              <w:rPr>
                <w:rFonts w:ascii="Arial" w:cs="Arial" w:eastAsia="Arial" w:hAnsi="Arial"/>
                <w:sz w:val="14"/>
                <w:szCs w:val="14"/>
                <w:color w:val="auto"/>
              </w:rPr>
              <w:t>Fiscal 2024</w:t>
            </w:r>
          </w:p>
        </w:tc>
        <w:tc>
          <w:tcPr>
            <w:tcW w:w="320" w:type="dxa"/>
            <w:vAlign w:val="bottom"/>
          </w:tcPr>
          <w:p>
            <w:pPr>
              <w:spacing w:after="0"/>
              <w:rPr>
                <w:sz w:val="16"/>
                <w:szCs w:val="16"/>
                <w:color w:val="auto"/>
              </w:rPr>
            </w:pPr>
          </w:p>
        </w:tc>
        <w:tc>
          <w:tcPr>
            <w:tcW w:w="1100" w:type="dxa"/>
            <w:vAlign w:val="bottom"/>
            <w:gridSpan w:val="2"/>
          </w:tcPr>
          <w:p>
            <w:pPr>
              <w:ind w:left="240"/>
              <w:spacing w:after="0"/>
              <w:rPr>
                <w:sz w:val="20"/>
                <w:szCs w:val="20"/>
                <w:color w:val="auto"/>
              </w:rPr>
            </w:pPr>
            <w:r>
              <w:rPr>
                <w:rFonts w:ascii="Arial" w:cs="Arial" w:eastAsia="Arial" w:hAnsi="Arial"/>
                <w:sz w:val="14"/>
                <w:szCs w:val="14"/>
                <w:color w:val="auto"/>
              </w:rPr>
              <w:t>Fiscal 2023</w:t>
            </w: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Fiscal 2022</w:t>
            </w:r>
          </w:p>
        </w:tc>
      </w:tr>
      <w:tr>
        <w:trPr>
          <w:trHeight w:val="200"/>
        </w:trPr>
        <w:tc>
          <w:tcPr>
            <w:tcW w:w="7020" w:type="dxa"/>
            <w:vAlign w:val="bottom"/>
            <w:tcBorders>
              <w:top w:val="single" w:sz="8" w:color="F5F5F5"/>
            </w:tcBorders>
            <w:shd w:val="clear" w:color="auto" w:fill="F5F5F5"/>
          </w:tcPr>
          <w:p>
            <w:pPr>
              <w:ind w:left="20"/>
              <w:spacing w:after="0"/>
              <w:rPr>
                <w:sz w:val="20"/>
                <w:szCs w:val="20"/>
                <w:color w:val="auto"/>
              </w:rPr>
            </w:pPr>
            <w:r>
              <w:rPr>
                <w:rFonts w:ascii="Arial" w:cs="Arial" w:eastAsia="Arial" w:hAnsi="Arial"/>
                <w:sz w:val="14"/>
                <w:szCs w:val="14"/>
                <w:color w:val="auto"/>
              </w:rPr>
              <w:t>Share-based compensation expense</w:t>
            </w:r>
          </w:p>
        </w:tc>
        <w:tc>
          <w:tcPr>
            <w:tcW w:w="340" w:type="dxa"/>
            <w:vAlign w:val="bottom"/>
            <w:tcBorders>
              <w:top w:val="single" w:sz="8" w:color="auto"/>
            </w:tcBorders>
            <w:shd w:val="clear" w:color="auto" w:fill="F5F5F5"/>
          </w:tcPr>
          <w:p>
            <w:pPr>
              <w:jc w:val="right"/>
              <w:ind w:right="1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38,667</w:t>
            </w:r>
          </w:p>
        </w:tc>
        <w:tc>
          <w:tcPr>
            <w:tcW w:w="120" w:type="dxa"/>
            <w:vAlign w:val="bottom"/>
            <w:tcBorders>
              <w:top w:val="single" w:sz="8" w:color="F5F5F5"/>
            </w:tcBorders>
            <w:shd w:val="clear" w:color="auto" w:fill="F5F5F5"/>
          </w:tcPr>
          <w:p>
            <w:pPr>
              <w:spacing w:after="0"/>
              <w:rPr>
                <w:sz w:val="17"/>
                <w:szCs w:val="17"/>
                <w:color w:val="auto"/>
              </w:rPr>
            </w:pPr>
          </w:p>
        </w:tc>
        <w:tc>
          <w:tcPr>
            <w:tcW w:w="320" w:type="dxa"/>
            <w:vAlign w:val="bottom"/>
            <w:tcBorders>
              <w:top w:val="single" w:sz="8" w:color="auto"/>
            </w:tcBorders>
            <w:shd w:val="clear" w:color="auto" w:fill="F5F5F5"/>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40,122</w:t>
            </w:r>
          </w:p>
        </w:tc>
        <w:tc>
          <w:tcPr>
            <w:tcW w:w="100" w:type="dxa"/>
            <w:vAlign w:val="bottom"/>
            <w:tcBorders>
              <w:top w:val="single" w:sz="8" w:color="F5F5F5"/>
            </w:tcBorders>
            <w:shd w:val="clear" w:color="auto" w:fill="F5F5F5"/>
          </w:tcPr>
          <w:p>
            <w:pPr>
              <w:spacing w:after="0"/>
              <w:rPr>
                <w:sz w:val="17"/>
                <w:szCs w:val="17"/>
                <w:color w:val="auto"/>
              </w:rPr>
            </w:pPr>
          </w:p>
        </w:tc>
        <w:tc>
          <w:tcPr>
            <w:tcW w:w="340" w:type="dxa"/>
            <w:vAlign w:val="bottom"/>
            <w:tcBorders>
              <w:top w:val="single" w:sz="8" w:color="auto"/>
            </w:tcBorders>
            <w:shd w:val="clear" w:color="auto" w:fill="F5F5F5"/>
          </w:tcPr>
          <w:p>
            <w:pPr>
              <w:jc w:val="right"/>
              <w:ind w:right="1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28,995</w:t>
            </w:r>
          </w:p>
        </w:tc>
      </w:tr>
      <w:tr>
        <w:trPr>
          <w:trHeight w:val="194"/>
        </w:trPr>
        <w:tc>
          <w:tcPr>
            <w:tcW w:w="7020" w:type="dxa"/>
            <w:vAlign w:val="bottom"/>
          </w:tcPr>
          <w:p>
            <w:pPr>
              <w:ind w:left="20"/>
              <w:spacing w:after="0"/>
              <w:rPr>
                <w:sz w:val="20"/>
                <w:szCs w:val="20"/>
                <w:color w:val="auto"/>
              </w:rPr>
            </w:pPr>
            <w:r>
              <w:rPr>
                <w:rFonts w:ascii="Arial" w:cs="Arial" w:eastAsia="Arial" w:hAnsi="Arial"/>
                <w:sz w:val="14"/>
                <w:szCs w:val="14"/>
                <w:color w:val="auto"/>
              </w:rPr>
              <w:t>Income tax benefit associated with share-based compensation expense recognized during the period</w:t>
            </w: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5,117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4,350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3,515</w:t>
            </w:r>
          </w:p>
        </w:tc>
      </w:tr>
    </w:tbl>
    <w:p>
      <w:pPr>
        <w:spacing w:after="0" w:line="31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following table details discrete income tax benefits and charges related to share-based compensation awards during Fiscal 2024, Fiscal 2023 and Fiscal 2022:</w:t>
      </w:r>
    </w:p>
    <w:p>
      <w:pPr>
        <w:spacing w:after="0" w:line="65"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70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6"/>
                <w:szCs w:val="16"/>
                <w:color w:val="auto"/>
              </w:rPr>
            </w:pPr>
          </w:p>
        </w:tc>
        <w:tc>
          <w:tcPr>
            <w:tcW w:w="1100" w:type="dxa"/>
            <w:vAlign w:val="bottom"/>
            <w:gridSpan w:val="2"/>
          </w:tcPr>
          <w:p>
            <w:pPr>
              <w:ind w:left="240"/>
              <w:spacing w:after="0"/>
              <w:rPr>
                <w:sz w:val="20"/>
                <w:szCs w:val="20"/>
                <w:color w:val="auto"/>
              </w:rPr>
            </w:pPr>
            <w:r>
              <w:rPr>
                <w:rFonts w:ascii="Arial" w:cs="Arial" w:eastAsia="Arial" w:hAnsi="Arial"/>
                <w:sz w:val="14"/>
                <w:szCs w:val="14"/>
                <w:color w:val="auto"/>
              </w:rPr>
              <w:t>Fiscal 2024</w:t>
            </w:r>
          </w:p>
        </w:tc>
        <w:tc>
          <w:tcPr>
            <w:tcW w:w="320" w:type="dxa"/>
            <w:vAlign w:val="bottom"/>
          </w:tcPr>
          <w:p>
            <w:pPr>
              <w:spacing w:after="0"/>
              <w:rPr>
                <w:sz w:val="16"/>
                <w:szCs w:val="16"/>
                <w:color w:val="auto"/>
              </w:rPr>
            </w:pPr>
          </w:p>
        </w:tc>
        <w:tc>
          <w:tcPr>
            <w:tcW w:w="1100" w:type="dxa"/>
            <w:vAlign w:val="bottom"/>
            <w:gridSpan w:val="2"/>
          </w:tcPr>
          <w:p>
            <w:pPr>
              <w:ind w:left="240"/>
              <w:spacing w:after="0"/>
              <w:rPr>
                <w:sz w:val="20"/>
                <w:szCs w:val="20"/>
                <w:color w:val="auto"/>
              </w:rPr>
            </w:pPr>
            <w:r>
              <w:rPr>
                <w:rFonts w:ascii="Arial" w:cs="Arial" w:eastAsia="Arial" w:hAnsi="Arial"/>
                <w:sz w:val="14"/>
                <w:szCs w:val="14"/>
                <w:color w:val="auto"/>
              </w:rPr>
              <w:t>Fiscal 2023</w:t>
            </w: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Fiscal 2022</w:t>
            </w:r>
          </w:p>
        </w:tc>
      </w:tr>
      <w:tr>
        <w:trPr>
          <w:trHeight w:val="200"/>
        </w:trPr>
        <w:tc>
          <w:tcPr>
            <w:tcW w:w="7020" w:type="dxa"/>
            <w:vAlign w:val="bottom"/>
            <w:tcBorders>
              <w:top w:val="single" w:sz="8" w:color="F5F5F5"/>
            </w:tcBorders>
            <w:shd w:val="clear" w:color="auto" w:fill="F5F5F5"/>
          </w:tcPr>
          <w:p>
            <w:pPr>
              <w:ind w:left="20"/>
              <w:spacing w:after="0"/>
              <w:rPr>
                <w:sz w:val="20"/>
                <w:szCs w:val="20"/>
                <w:color w:val="auto"/>
              </w:rPr>
            </w:pPr>
            <w:r>
              <w:rPr>
                <w:rFonts w:ascii="Arial" w:cs="Arial" w:eastAsia="Arial" w:hAnsi="Arial"/>
                <w:sz w:val="14"/>
                <w:szCs w:val="14"/>
                <w:color w:val="auto"/>
              </w:rPr>
              <w:t>Income tax discrete benefits realized for tax deductions related to the issuance of shares during the period</w:t>
            </w:r>
          </w:p>
        </w:tc>
        <w:tc>
          <w:tcPr>
            <w:tcW w:w="340" w:type="dxa"/>
            <w:vAlign w:val="bottom"/>
            <w:tcBorders>
              <w:top w:val="single" w:sz="8" w:color="auto"/>
            </w:tcBorders>
            <w:shd w:val="clear" w:color="auto" w:fill="F5F5F5"/>
          </w:tcPr>
          <w:p>
            <w:pPr>
              <w:jc w:val="right"/>
              <w:ind w:right="1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19,474</w:t>
            </w:r>
          </w:p>
        </w:tc>
        <w:tc>
          <w:tcPr>
            <w:tcW w:w="120" w:type="dxa"/>
            <w:vAlign w:val="bottom"/>
            <w:tcBorders>
              <w:top w:val="single" w:sz="8" w:color="F5F5F5"/>
            </w:tcBorders>
            <w:shd w:val="clear" w:color="auto" w:fill="F5F5F5"/>
          </w:tcPr>
          <w:p>
            <w:pPr>
              <w:spacing w:after="0"/>
              <w:rPr>
                <w:sz w:val="17"/>
                <w:szCs w:val="17"/>
                <w:color w:val="auto"/>
              </w:rPr>
            </w:pPr>
          </w:p>
        </w:tc>
        <w:tc>
          <w:tcPr>
            <w:tcW w:w="320" w:type="dxa"/>
            <w:vAlign w:val="bottom"/>
            <w:tcBorders>
              <w:top w:val="single" w:sz="8" w:color="auto"/>
            </w:tcBorders>
            <w:shd w:val="clear" w:color="auto" w:fill="F5F5F5"/>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2,709</w:t>
            </w:r>
          </w:p>
        </w:tc>
        <w:tc>
          <w:tcPr>
            <w:tcW w:w="100" w:type="dxa"/>
            <w:vAlign w:val="bottom"/>
            <w:tcBorders>
              <w:top w:val="single" w:sz="8" w:color="F5F5F5"/>
            </w:tcBorders>
            <w:shd w:val="clear" w:color="auto" w:fill="F5F5F5"/>
          </w:tcPr>
          <w:p>
            <w:pPr>
              <w:spacing w:after="0"/>
              <w:rPr>
                <w:sz w:val="17"/>
                <w:szCs w:val="17"/>
                <w:color w:val="auto"/>
              </w:rPr>
            </w:pPr>
          </w:p>
        </w:tc>
        <w:tc>
          <w:tcPr>
            <w:tcW w:w="340" w:type="dxa"/>
            <w:vAlign w:val="bottom"/>
            <w:tcBorders>
              <w:top w:val="single" w:sz="8" w:color="auto"/>
            </w:tcBorders>
            <w:shd w:val="clear" w:color="auto" w:fill="F5F5F5"/>
          </w:tcPr>
          <w:p>
            <w:pPr>
              <w:jc w:val="right"/>
              <w:ind w:right="1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1,956</w:t>
            </w:r>
          </w:p>
        </w:tc>
      </w:tr>
      <w:tr>
        <w:trPr>
          <w:trHeight w:val="198"/>
        </w:trPr>
        <w:tc>
          <w:tcPr>
            <w:tcW w:w="7020" w:type="dxa"/>
            <w:vAlign w:val="bottom"/>
          </w:tcPr>
          <w:p>
            <w:pPr>
              <w:ind w:left="20"/>
              <w:spacing w:after="0"/>
              <w:rPr>
                <w:sz w:val="20"/>
                <w:szCs w:val="20"/>
                <w:color w:val="auto"/>
              </w:rPr>
            </w:pPr>
            <w:r>
              <w:rPr>
                <w:rFonts w:ascii="Arial" w:cs="Arial" w:eastAsia="Arial" w:hAnsi="Arial"/>
                <w:sz w:val="14"/>
                <w:szCs w:val="14"/>
                <w:color w:val="auto"/>
              </w:rPr>
              <w:t>Income tax discrete charges realized upon cancellation of stock appreciation rights during the period</w:t>
            </w:r>
          </w:p>
        </w:tc>
        <w:tc>
          <w:tcPr>
            <w:tcW w:w="34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(226)</w:t>
            </w:r>
          </w:p>
        </w:tc>
      </w:tr>
      <w:tr>
        <w:trPr>
          <w:trHeight w:val="225"/>
        </w:trPr>
        <w:tc>
          <w:tcPr>
            <w:tcW w:w="7020" w:type="dxa"/>
            <w:vAlign w:val="bottom"/>
            <w:tcBorders>
              <w:top w:val="single" w:sz="8" w:color="F5F5F5"/>
              <w:bottom w:val="single" w:sz="8" w:color="F5F5F5"/>
            </w:tcBorders>
            <w:shd w:val="clear" w:color="auto" w:fill="F5F5F5"/>
          </w:tcPr>
          <w:p>
            <w:pPr>
              <w:ind w:left="20"/>
              <w:spacing w:after="0"/>
              <w:rPr>
                <w:sz w:val="20"/>
                <w:szCs w:val="20"/>
                <w:color w:val="auto"/>
              </w:rPr>
            </w:pPr>
            <w:r>
              <w:rPr>
                <w:rFonts w:ascii="Arial" w:cs="Arial" w:eastAsia="Arial" w:hAnsi="Arial"/>
                <w:sz w:val="14"/>
                <w:szCs w:val="14"/>
                <w:color w:val="auto"/>
              </w:rPr>
              <w:t>Total income tax discrete benefits related to share-based compensation awards</w:t>
            </w:r>
          </w:p>
        </w:tc>
        <w:tc>
          <w:tcPr>
            <w:tcW w:w="340" w:type="dxa"/>
            <w:vAlign w:val="bottom"/>
            <w:tcBorders>
              <w:top w:val="single" w:sz="8" w:color="auto"/>
              <w:bottom w:val="single" w:sz="8" w:color="auto"/>
            </w:tcBorders>
            <w:shd w:val="clear" w:color="auto" w:fill="F5F5F5"/>
          </w:tcPr>
          <w:p>
            <w:pPr>
              <w:jc w:val="right"/>
              <w:ind w:right="1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19,474</w:t>
            </w:r>
          </w:p>
        </w:tc>
        <w:tc>
          <w:tcPr>
            <w:tcW w:w="120" w:type="dxa"/>
            <w:vAlign w:val="bottom"/>
            <w:tcBorders>
              <w:top w:val="single" w:sz="8" w:color="F5F5F5"/>
              <w:bottom w:val="single" w:sz="8" w:color="F5F5F5"/>
            </w:tcBorders>
            <w:shd w:val="clear" w:color="auto" w:fill="F5F5F5"/>
          </w:tcPr>
          <w:p>
            <w:pPr>
              <w:spacing w:after="0"/>
              <w:rPr>
                <w:sz w:val="19"/>
                <w:szCs w:val="19"/>
                <w:color w:val="auto"/>
              </w:rPr>
            </w:pPr>
          </w:p>
        </w:tc>
        <w:tc>
          <w:tcPr>
            <w:tcW w:w="320" w:type="dxa"/>
            <w:vAlign w:val="bottom"/>
            <w:tcBorders>
              <w:top w:val="single" w:sz="8" w:color="auto"/>
              <w:bottom w:val="single" w:sz="8" w:color="auto"/>
            </w:tcBorders>
            <w:shd w:val="clear" w:color="auto" w:fill="F5F5F5"/>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2,608</w:t>
            </w:r>
          </w:p>
        </w:tc>
        <w:tc>
          <w:tcPr>
            <w:tcW w:w="100" w:type="dxa"/>
            <w:vAlign w:val="bottom"/>
            <w:tcBorders>
              <w:top w:val="single" w:sz="8" w:color="F5F5F5"/>
              <w:bottom w:val="single" w:sz="8" w:color="F5F5F5"/>
            </w:tcBorders>
            <w:shd w:val="clear" w:color="auto" w:fill="F5F5F5"/>
          </w:tcPr>
          <w:p>
            <w:pPr>
              <w:spacing w:after="0"/>
              <w:rPr>
                <w:sz w:val="19"/>
                <w:szCs w:val="19"/>
                <w:color w:val="auto"/>
              </w:rPr>
            </w:pPr>
          </w:p>
        </w:tc>
        <w:tc>
          <w:tcPr>
            <w:tcW w:w="340" w:type="dxa"/>
            <w:vAlign w:val="bottom"/>
            <w:tcBorders>
              <w:top w:val="single" w:sz="8" w:color="auto"/>
              <w:bottom w:val="single" w:sz="8" w:color="auto"/>
            </w:tcBorders>
            <w:shd w:val="clear" w:color="auto" w:fill="F5F5F5"/>
          </w:tcPr>
          <w:p>
            <w:pPr>
              <w:jc w:val="right"/>
              <w:ind w:right="1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1,730</w:t>
            </w:r>
          </w:p>
        </w:tc>
      </w:tr>
      <w:tr>
        <w:trPr>
          <w:trHeight w:val="20"/>
        </w:trPr>
        <w:tc>
          <w:tcPr>
            <w:tcW w:w="7020" w:type="dxa"/>
            <w:vAlign w:val="bottom"/>
            <w:tcBorders>
              <w:top w:val="single" w:sz="8" w:color="F5F5F5"/>
            </w:tcBorders>
          </w:tcPr>
          <w:p>
            <w:pPr>
              <w:spacing w:after="0" w:line="20" w:lineRule="exact"/>
              <w:rPr>
                <w:sz w:val="1"/>
                <w:szCs w:val="1"/>
                <w:color w:val="auto"/>
              </w:rPr>
            </w:pPr>
          </w:p>
        </w:tc>
        <w:tc>
          <w:tcPr>
            <w:tcW w:w="340" w:type="dxa"/>
            <w:vAlign w:val="bottom"/>
            <w:tcBorders>
              <w:top w:val="single" w:sz="8" w:color="F5F5F5"/>
              <w:bottom w:val="single" w:sz="8" w:color="auto"/>
            </w:tcBorders>
          </w:tcPr>
          <w:p>
            <w:pPr>
              <w:spacing w:after="0" w:line="20" w:lineRule="exact"/>
              <w:rPr>
                <w:sz w:val="1"/>
                <w:szCs w:val="1"/>
                <w:color w:val="auto"/>
              </w:rPr>
            </w:pPr>
          </w:p>
        </w:tc>
        <w:tc>
          <w:tcPr>
            <w:tcW w:w="980" w:type="dxa"/>
            <w:vAlign w:val="bottom"/>
            <w:tcBorders>
              <w:top w:val="single" w:sz="8" w:color="F5F5F5"/>
              <w:bottom w:val="single" w:sz="8" w:color="auto"/>
            </w:tcBorders>
          </w:tcPr>
          <w:p>
            <w:pPr>
              <w:spacing w:after="0" w:line="20" w:lineRule="exact"/>
              <w:rPr>
                <w:sz w:val="1"/>
                <w:szCs w:val="1"/>
                <w:color w:val="auto"/>
              </w:rPr>
            </w:pPr>
          </w:p>
        </w:tc>
        <w:tc>
          <w:tcPr>
            <w:tcW w:w="120" w:type="dxa"/>
            <w:vAlign w:val="bottom"/>
            <w:tcBorders>
              <w:top w:val="single" w:sz="8" w:color="F5F5F5"/>
            </w:tcBorders>
          </w:tcPr>
          <w:p>
            <w:pPr>
              <w:spacing w:after="0" w:line="20" w:lineRule="exact"/>
              <w:rPr>
                <w:sz w:val="1"/>
                <w:szCs w:val="1"/>
                <w:color w:val="auto"/>
              </w:rPr>
            </w:pPr>
          </w:p>
        </w:tc>
        <w:tc>
          <w:tcPr>
            <w:tcW w:w="320" w:type="dxa"/>
            <w:vAlign w:val="bottom"/>
            <w:tcBorders>
              <w:top w:val="single" w:sz="8" w:color="F5F5F5"/>
              <w:bottom w:val="single" w:sz="8" w:color="auto"/>
            </w:tcBorders>
          </w:tcPr>
          <w:p>
            <w:pPr>
              <w:spacing w:after="0" w:line="20" w:lineRule="exact"/>
              <w:rPr>
                <w:sz w:val="1"/>
                <w:szCs w:val="1"/>
                <w:color w:val="auto"/>
              </w:rPr>
            </w:pPr>
          </w:p>
        </w:tc>
        <w:tc>
          <w:tcPr>
            <w:tcW w:w="1000" w:type="dxa"/>
            <w:vAlign w:val="bottom"/>
            <w:tcBorders>
              <w:top w:val="single" w:sz="8" w:color="F5F5F5"/>
              <w:bottom w:val="single" w:sz="8" w:color="auto"/>
            </w:tcBorders>
          </w:tcPr>
          <w:p>
            <w:pPr>
              <w:spacing w:after="0" w:line="20" w:lineRule="exact"/>
              <w:rPr>
                <w:sz w:val="1"/>
                <w:szCs w:val="1"/>
                <w:color w:val="auto"/>
              </w:rPr>
            </w:pPr>
          </w:p>
        </w:tc>
        <w:tc>
          <w:tcPr>
            <w:tcW w:w="100" w:type="dxa"/>
            <w:vAlign w:val="bottom"/>
            <w:tcBorders>
              <w:top w:val="single" w:sz="8" w:color="F5F5F5"/>
            </w:tcBorders>
          </w:tcPr>
          <w:p>
            <w:pPr>
              <w:spacing w:after="0" w:line="20" w:lineRule="exact"/>
              <w:rPr>
                <w:sz w:val="1"/>
                <w:szCs w:val="1"/>
                <w:color w:val="auto"/>
              </w:rPr>
            </w:pPr>
          </w:p>
        </w:tc>
        <w:tc>
          <w:tcPr>
            <w:tcW w:w="340" w:type="dxa"/>
            <w:vAlign w:val="bottom"/>
            <w:tcBorders>
              <w:top w:val="single" w:sz="8" w:color="F5F5F5"/>
              <w:bottom w:val="single" w:sz="8" w:color="auto"/>
            </w:tcBorders>
          </w:tcPr>
          <w:p>
            <w:pPr>
              <w:spacing w:after="0" w:line="20" w:lineRule="exact"/>
              <w:rPr>
                <w:sz w:val="1"/>
                <w:szCs w:val="1"/>
                <w:color w:val="auto"/>
              </w:rPr>
            </w:pPr>
          </w:p>
        </w:tc>
        <w:tc>
          <w:tcPr>
            <w:tcW w:w="980" w:type="dxa"/>
            <w:vAlign w:val="bottom"/>
            <w:tcBorders>
              <w:top w:val="single" w:sz="8" w:color="F5F5F5"/>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following table details the amount of employee tax withheld by the Company upon the issuance of shares associated with restricted stock units vesting and the exercise of stock appreciation rights for the Fiscal 2024, Fiscal 2023 and Fiscal 2022:</w:t>
      </w:r>
    </w:p>
    <w:p>
      <w:pPr>
        <w:spacing w:after="0" w:line="65"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70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6"/>
                <w:szCs w:val="16"/>
                <w:color w:val="auto"/>
              </w:rPr>
            </w:pPr>
          </w:p>
        </w:tc>
        <w:tc>
          <w:tcPr>
            <w:tcW w:w="1100" w:type="dxa"/>
            <w:vAlign w:val="bottom"/>
            <w:gridSpan w:val="2"/>
          </w:tcPr>
          <w:p>
            <w:pPr>
              <w:ind w:left="240"/>
              <w:spacing w:after="0"/>
              <w:rPr>
                <w:sz w:val="20"/>
                <w:szCs w:val="20"/>
                <w:color w:val="auto"/>
              </w:rPr>
            </w:pPr>
            <w:r>
              <w:rPr>
                <w:rFonts w:ascii="Arial" w:cs="Arial" w:eastAsia="Arial" w:hAnsi="Arial"/>
                <w:sz w:val="14"/>
                <w:szCs w:val="14"/>
                <w:color w:val="auto"/>
              </w:rPr>
              <w:t>Fiscal 2024</w:t>
            </w:r>
          </w:p>
        </w:tc>
        <w:tc>
          <w:tcPr>
            <w:tcW w:w="320" w:type="dxa"/>
            <w:vAlign w:val="bottom"/>
          </w:tcPr>
          <w:p>
            <w:pPr>
              <w:spacing w:after="0"/>
              <w:rPr>
                <w:sz w:val="16"/>
                <w:szCs w:val="16"/>
                <w:color w:val="auto"/>
              </w:rPr>
            </w:pPr>
          </w:p>
        </w:tc>
        <w:tc>
          <w:tcPr>
            <w:tcW w:w="1100" w:type="dxa"/>
            <w:vAlign w:val="bottom"/>
            <w:gridSpan w:val="2"/>
          </w:tcPr>
          <w:p>
            <w:pPr>
              <w:ind w:left="240"/>
              <w:spacing w:after="0"/>
              <w:rPr>
                <w:sz w:val="20"/>
                <w:szCs w:val="20"/>
                <w:color w:val="auto"/>
              </w:rPr>
            </w:pPr>
            <w:r>
              <w:rPr>
                <w:rFonts w:ascii="Arial" w:cs="Arial" w:eastAsia="Arial" w:hAnsi="Arial"/>
                <w:sz w:val="14"/>
                <w:szCs w:val="14"/>
                <w:color w:val="auto"/>
              </w:rPr>
              <w:t>Fiscal 2023</w:t>
            </w: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Fiscal 2022</w:t>
            </w:r>
          </w:p>
        </w:tc>
      </w:tr>
      <w:tr>
        <w:trPr>
          <w:trHeight w:val="200"/>
        </w:trPr>
        <w:tc>
          <w:tcPr>
            <w:tcW w:w="7020" w:type="dxa"/>
            <w:vAlign w:val="bottom"/>
            <w:tcBorders>
              <w:top w:val="single" w:sz="8" w:color="F5F5F5"/>
            </w:tcBorders>
            <w:shd w:val="clear" w:color="auto" w:fill="F5F5F5"/>
          </w:tcPr>
          <w:p>
            <w:pPr>
              <w:ind w:left="20"/>
              <w:spacing w:after="0" w:line="200" w:lineRule="exact"/>
              <w:rPr>
                <w:sz w:val="20"/>
                <w:szCs w:val="20"/>
                <w:color w:val="auto"/>
              </w:rPr>
            </w:pPr>
            <w:r>
              <w:rPr>
                <w:rFonts w:ascii="Arial" w:cs="Arial" w:eastAsia="Arial" w:hAnsi="Arial"/>
                <w:sz w:val="14"/>
                <w:szCs w:val="14"/>
                <w:color w:val="auto"/>
              </w:rPr>
              <w:t xml:space="preserve">Employee tax withheld upon issuance of shares </w:t>
            </w:r>
            <w:r>
              <w:rPr>
                <w:rFonts w:ascii="Arial" w:cs="Arial" w:eastAsia="Arial" w:hAnsi="Arial"/>
                <w:sz w:val="18"/>
                <w:szCs w:val="18"/>
                <w:color w:val="auto"/>
                <w:vertAlign w:val="superscript"/>
              </w:rPr>
              <w:t>(1)</w:t>
            </w:r>
          </w:p>
        </w:tc>
        <w:tc>
          <w:tcPr>
            <w:tcW w:w="340" w:type="dxa"/>
            <w:vAlign w:val="bottom"/>
            <w:tcBorders>
              <w:top w:val="single" w:sz="8" w:color="auto"/>
            </w:tcBorders>
            <w:shd w:val="clear" w:color="auto" w:fill="F5F5F5"/>
          </w:tcPr>
          <w:p>
            <w:pPr>
              <w:jc w:val="right"/>
              <w:ind w:right="1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70,208</w:t>
            </w:r>
          </w:p>
        </w:tc>
        <w:tc>
          <w:tcPr>
            <w:tcW w:w="120" w:type="dxa"/>
            <w:vAlign w:val="bottom"/>
            <w:tcBorders>
              <w:top w:val="single" w:sz="8" w:color="F5F5F5"/>
            </w:tcBorders>
            <w:shd w:val="clear" w:color="auto" w:fill="F5F5F5"/>
          </w:tcPr>
          <w:p>
            <w:pPr>
              <w:spacing w:after="0"/>
              <w:rPr>
                <w:sz w:val="17"/>
                <w:szCs w:val="17"/>
                <w:color w:val="auto"/>
              </w:rPr>
            </w:pPr>
          </w:p>
        </w:tc>
        <w:tc>
          <w:tcPr>
            <w:tcW w:w="320" w:type="dxa"/>
            <w:vAlign w:val="bottom"/>
            <w:tcBorders>
              <w:top w:val="single" w:sz="8" w:color="auto"/>
            </w:tcBorders>
            <w:shd w:val="clear" w:color="auto" w:fill="F5F5F5"/>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29,485</w:t>
            </w:r>
          </w:p>
        </w:tc>
        <w:tc>
          <w:tcPr>
            <w:tcW w:w="100" w:type="dxa"/>
            <w:vAlign w:val="bottom"/>
            <w:tcBorders>
              <w:top w:val="single" w:sz="8" w:color="F5F5F5"/>
            </w:tcBorders>
            <w:shd w:val="clear" w:color="auto" w:fill="F5F5F5"/>
          </w:tcPr>
          <w:p>
            <w:pPr>
              <w:spacing w:after="0"/>
              <w:rPr>
                <w:sz w:val="17"/>
                <w:szCs w:val="17"/>
                <w:color w:val="auto"/>
              </w:rPr>
            </w:pPr>
          </w:p>
        </w:tc>
        <w:tc>
          <w:tcPr>
            <w:tcW w:w="340" w:type="dxa"/>
            <w:vAlign w:val="bottom"/>
            <w:tcBorders>
              <w:top w:val="single" w:sz="8" w:color="auto"/>
            </w:tcBorders>
            <w:shd w:val="clear" w:color="auto" w:fill="F5F5F5"/>
          </w:tcPr>
          <w:p>
            <w:pPr>
              <w:jc w:val="right"/>
              <w:ind w:right="1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14,464</w:t>
            </w:r>
          </w:p>
        </w:tc>
      </w:tr>
    </w:tbl>
    <w:p>
      <w:pPr>
        <w:spacing w:after="0" w:line="38" w:lineRule="exact"/>
        <w:rPr>
          <w:sz w:val="20"/>
          <w:szCs w:val="20"/>
          <w:color w:val="auto"/>
        </w:rPr>
      </w:pPr>
    </w:p>
    <w:p>
      <w:pPr>
        <w:ind w:left="260" w:hanging="252"/>
        <w:spacing w:after="0"/>
        <w:tabs>
          <w:tab w:leader="none" w:pos="260" w:val="left"/>
        </w:tabs>
        <w:numPr>
          <w:ilvl w:val="0"/>
          <w:numId w:val="69"/>
        </w:numPr>
        <w:rPr>
          <w:rFonts w:ascii="Arial" w:cs="Arial" w:eastAsia="Arial" w:hAnsi="Arial"/>
          <w:sz w:val="18"/>
          <w:szCs w:val="18"/>
          <w:color w:val="auto"/>
          <w:vertAlign w:val="superscript"/>
        </w:rPr>
      </w:pPr>
      <w:r>
        <w:rPr>
          <w:rFonts w:ascii="Arial" w:cs="Arial" w:eastAsia="Arial" w:hAnsi="Arial"/>
          <w:sz w:val="13"/>
          <w:szCs w:val="13"/>
          <w:color w:val="auto"/>
        </w:rPr>
        <w:t>Classified within other financing activities on the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71</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sz w:val="20"/>
          <w:szCs w:val="20"/>
          <w:color w:val="auto"/>
        </w:rPr>
      </w:pPr>
      <w:r>
        <w:rPr>
          <w:rFonts w:ascii="Arial" w:cs="Arial" w:eastAsia="Arial" w:hAnsi="Arial"/>
          <w:sz w:val="16"/>
          <w:szCs w:val="16"/>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Abercrombie &amp; Fitch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Restricted Stock Units</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activity for restricted stock units for Fiscal 2024:</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Unvested at February 3, 2024</w:t>
      </w:r>
    </w:p>
    <w:p>
      <w:pPr>
        <w:spacing w:after="0" w:line="5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Granted</w:t>
      </w:r>
    </w:p>
    <w:p>
      <w:pPr>
        <w:spacing w:after="0" w:line="42" w:lineRule="exact"/>
        <w:rPr>
          <w:sz w:val="20"/>
          <w:szCs w:val="20"/>
          <w:color w:val="auto"/>
        </w:rPr>
      </w:pPr>
    </w:p>
    <w:p>
      <w:pPr>
        <w:ind w:left="220"/>
        <w:spacing w:after="0" w:line="252" w:lineRule="auto"/>
        <w:rPr>
          <w:sz w:val="20"/>
          <w:szCs w:val="20"/>
          <w:color w:val="auto"/>
        </w:rPr>
      </w:pPr>
      <w:r>
        <w:rPr>
          <w:rFonts w:ascii="Arial" w:cs="Arial" w:eastAsia="Arial" w:hAnsi="Arial"/>
          <w:sz w:val="14"/>
          <w:szCs w:val="14"/>
          <w:color w:val="auto"/>
        </w:rPr>
        <w:t>Change due to performance criteria achievement</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Vested</w:t>
      </w:r>
    </w:p>
    <w:p>
      <w:pPr>
        <w:spacing w:after="0" w:line="4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Forfeited</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Unvested at February 1, 2025 </w:t>
      </w:r>
      <w:r>
        <w:rPr>
          <w:rFonts w:ascii="Arial" w:cs="Arial" w:eastAsia="Arial" w:hAnsi="Arial"/>
          <w:sz w:val="9"/>
          <w:szCs w:val="9"/>
          <w:color w:val="auto"/>
        </w:rPr>
        <w:t>(1)</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820" w:type="dxa"/>
            <w:vAlign w:val="bottom"/>
            <w:gridSpan w:val="5"/>
          </w:tcPr>
          <w:p>
            <w:pPr>
              <w:ind w:left="540"/>
              <w:spacing w:after="0"/>
              <w:rPr>
                <w:sz w:val="20"/>
                <w:szCs w:val="20"/>
                <w:color w:val="auto"/>
              </w:rPr>
            </w:pPr>
            <w:r>
              <w:rPr>
                <w:rFonts w:ascii="Arial" w:cs="Arial" w:eastAsia="Arial" w:hAnsi="Arial"/>
                <w:sz w:val="14"/>
                <w:szCs w:val="14"/>
                <w:color w:val="auto"/>
              </w:rPr>
              <w:t>Service-based Restricted</w:t>
            </w:r>
          </w:p>
        </w:tc>
        <w:tc>
          <w:tcPr>
            <w:tcW w:w="2840" w:type="dxa"/>
            <w:vAlign w:val="bottom"/>
            <w:gridSpan w:val="5"/>
          </w:tcPr>
          <w:p>
            <w:pPr>
              <w:ind w:left="380"/>
              <w:spacing w:after="0"/>
              <w:rPr>
                <w:sz w:val="20"/>
                <w:szCs w:val="20"/>
                <w:color w:val="auto"/>
              </w:rPr>
            </w:pPr>
            <w:r>
              <w:rPr>
                <w:rFonts w:ascii="Arial" w:cs="Arial" w:eastAsia="Arial" w:hAnsi="Arial"/>
                <w:sz w:val="14"/>
                <w:szCs w:val="14"/>
                <w:color w:val="auto"/>
              </w:rPr>
              <w:t>Performance-based Restricted</w:t>
            </w:r>
          </w:p>
        </w:tc>
        <w:tc>
          <w:tcPr>
            <w:tcW w:w="2720" w:type="dxa"/>
            <w:vAlign w:val="bottom"/>
            <w:gridSpan w:val="4"/>
          </w:tcPr>
          <w:p>
            <w:pPr>
              <w:jc w:val="right"/>
              <w:ind w:right="508"/>
              <w:spacing w:after="0"/>
              <w:rPr>
                <w:sz w:val="20"/>
                <w:szCs w:val="20"/>
                <w:color w:val="auto"/>
              </w:rPr>
            </w:pPr>
            <w:r>
              <w:rPr>
                <w:rFonts w:ascii="Arial" w:cs="Arial" w:eastAsia="Arial" w:hAnsi="Arial"/>
                <w:sz w:val="14"/>
                <w:szCs w:val="14"/>
                <w:color w:val="auto"/>
              </w:rPr>
              <w:t>Market-based Restricted</w:t>
            </w:r>
          </w:p>
        </w:tc>
      </w:tr>
      <w:tr>
        <w:trPr>
          <w:trHeight w:val="185"/>
        </w:trPr>
        <w:tc>
          <w:tcPr>
            <w:tcW w:w="270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color w:val="auto"/>
              </w:rPr>
              <w:t>Stock Units</w:t>
            </w:r>
          </w:p>
        </w:tc>
        <w:tc>
          <w:tcPr>
            <w:tcW w:w="12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928"/>
              <w:spacing w:after="0"/>
              <w:rPr>
                <w:sz w:val="20"/>
                <w:szCs w:val="20"/>
                <w:color w:val="auto"/>
              </w:rPr>
            </w:pPr>
            <w:r>
              <w:rPr>
                <w:rFonts w:ascii="Arial" w:cs="Arial" w:eastAsia="Arial" w:hAnsi="Arial"/>
                <w:sz w:val="14"/>
                <w:szCs w:val="14"/>
                <w:color w:val="auto"/>
              </w:rPr>
              <w:t>Stock Units</w:t>
            </w:r>
          </w:p>
        </w:tc>
        <w:tc>
          <w:tcPr>
            <w:tcW w:w="12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928"/>
              <w:spacing w:after="0"/>
              <w:rPr>
                <w:sz w:val="20"/>
                <w:szCs w:val="20"/>
                <w:color w:val="auto"/>
              </w:rPr>
            </w:pPr>
            <w:r>
              <w:rPr>
                <w:rFonts w:ascii="Arial" w:cs="Arial" w:eastAsia="Arial" w:hAnsi="Arial"/>
                <w:sz w:val="14"/>
                <w:szCs w:val="14"/>
                <w:color w:val="auto"/>
              </w:rPr>
              <w:t>Stock Units</w:t>
            </w:r>
          </w:p>
        </w:tc>
      </w:tr>
      <w:tr>
        <w:trPr>
          <w:trHeight w:val="146"/>
        </w:trPr>
        <w:tc>
          <w:tcPr>
            <w:tcW w:w="1420" w:type="dxa"/>
            <w:vAlign w:val="bottom"/>
            <w:gridSpan w:val="2"/>
          </w:tcPr>
          <w:p>
            <w:pPr>
              <w:ind w:left="300"/>
              <w:spacing w:after="0" w:line="147" w:lineRule="exact"/>
              <w:rPr>
                <w:sz w:val="20"/>
                <w:szCs w:val="20"/>
                <w:color w:val="auto"/>
              </w:rPr>
            </w:pPr>
            <w:r>
              <w:rPr>
                <w:rFonts w:ascii="Arial" w:cs="Arial" w:eastAsia="Arial" w:hAnsi="Arial"/>
                <w:sz w:val="14"/>
                <w:szCs w:val="14"/>
                <w:color w:val="auto"/>
              </w:rPr>
              <w:t>Number of</w:t>
            </w: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7" w:lineRule="exact"/>
              <w:rPr>
                <w:sz w:val="20"/>
                <w:szCs w:val="20"/>
                <w:color w:val="auto"/>
              </w:rPr>
            </w:pPr>
            <w:r>
              <w:rPr>
                <w:rFonts w:ascii="Arial" w:cs="Arial" w:eastAsia="Arial" w:hAnsi="Arial"/>
                <w:sz w:val="14"/>
                <w:szCs w:val="14"/>
                <w:color w:val="auto"/>
              </w:rPr>
              <w:t>Weighted-</w:t>
            </w:r>
          </w:p>
        </w:tc>
        <w:tc>
          <w:tcPr>
            <w:tcW w:w="1420" w:type="dxa"/>
            <w:vAlign w:val="bottom"/>
            <w:gridSpan w:val="2"/>
          </w:tcPr>
          <w:p>
            <w:pPr>
              <w:ind w:left="300"/>
              <w:spacing w:after="0" w:line="147" w:lineRule="exact"/>
              <w:rPr>
                <w:sz w:val="20"/>
                <w:szCs w:val="20"/>
                <w:color w:val="auto"/>
              </w:rPr>
            </w:pPr>
            <w:r>
              <w:rPr>
                <w:rFonts w:ascii="Arial" w:cs="Arial" w:eastAsia="Arial" w:hAnsi="Arial"/>
                <w:sz w:val="14"/>
                <w:szCs w:val="14"/>
                <w:color w:val="auto"/>
              </w:rPr>
              <w:t>Number of</w:t>
            </w: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7" w:lineRule="exact"/>
              <w:rPr>
                <w:sz w:val="20"/>
                <w:szCs w:val="20"/>
                <w:color w:val="auto"/>
              </w:rPr>
            </w:pPr>
            <w:r>
              <w:rPr>
                <w:rFonts w:ascii="Arial" w:cs="Arial" w:eastAsia="Arial" w:hAnsi="Arial"/>
                <w:sz w:val="14"/>
                <w:szCs w:val="14"/>
                <w:color w:val="auto"/>
              </w:rPr>
              <w:t>Weighted-</w:t>
            </w:r>
          </w:p>
        </w:tc>
        <w:tc>
          <w:tcPr>
            <w:tcW w:w="1400" w:type="dxa"/>
            <w:vAlign w:val="bottom"/>
            <w:gridSpan w:val="2"/>
          </w:tcPr>
          <w:p>
            <w:pPr>
              <w:ind w:left="300"/>
              <w:spacing w:after="0" w:line="147" w:lineRule="exact"/>
              <w:rPr>
                <w:sz w:val="20"/>
                <w:szCs w:val="20"/>
                <w:color w:val="auto"/>
              </w:rPr>
            </w:pPr>
            <w:r>
              <w:rPr>
                <w:rFonts w:ascii="Arial" w:cs="Arial" w:eastAsia="Arial" w:hAnsi="Arial"/>
                <w:sz w:val="14"/>
                <w:szCs w:val="14"/>
                <w:color w:val="auto"/>
              </w:rPr>
              <w:t>Number of</w:t>
            </w:r>
          </w:p>
        </w:tc>
        <w:tc>
          <w:tcPr>
            <w:tcW w:w="140" w:type="dxa"/>
            <w:vAlign w:val="bottom"/>
          </w:tcPr>
          <w:p>
            <w:pPr>
              <w:spacing w:after="0"/>
              <w:rPr>
                <w:sz w:val="12"/>
                <w:szCs w:val="12"/>
                <w:color w:val="auto"/>
              </w:rPr>
            </w:pPr>
          </w:p>
        </w:tc>
        <w:tc>
          <w:tcPr>
            <w:tcW w:w="1180" w:type="dxa"/>
            <w:vAlign w:val="bottom"/>
          </w:tcPr>
          <w:p>
            <w:pPr>
              <w:jc w:val="center"/>
              <w:ind w:right="48"/>
              <w:spacing w:after="0" w:line="147" w:lineRule="exact"/>
              <w:rPr>
                <w:sz w:val="20"/>
                <w:szCs w:val="20"/>
                <w:color w:val="auto"/>
              </w:rPr>
            </w:pPr>
            <w:r>
              <w:rPr>
                <w:rFonts w:ascii="Arial" w:cs="Arial" w:eastAsia="Arial" w:hAnsi="Arial"/>
                <w:sz w:val="14"/>
                <w:szCs w:val="14"/>
                <w:color w:val="auto"/>
              </w:rPr>
              <w:t>Weighted-</w:t>
            </w:r>
          </w:p>
        </w:tc>
      </w:tr>
      <w:tr>
        <w:trPr>
          <w:trHeight w:val="146"/>
        </w:trPr>
        <w:tc>
          <w:tcPr>
            <w:tcW w:w="1420" w:type="dxa"/>
            <w:vAlign w:val="bottom"/>
            <w:gridSpan w:val="2"/>
          </w:tcPr>
          <w:p>
            <w:pPr>
              <w:ind w:left="300"/>
              <w:spacing w:after="0" w:line="146" w:lineRule="exact"/>
              <w:rPr>
                <w:sz w:val="20"/>
                <w:szCs w:val="20"/>
                <w:color w:val="auto"/>
              </w:rPr>
            </w:pPr>
            <w:r>
              <w:rPr>
                <w:rFonts w:ascii="Arial" w:cs="Arial" w:eastAsia="Arial" w:hAnsi="Arial"/>
                <w:sz w:val="14"/>
                <w:szCs w:val="14"/>
                <w:color w:val="auto"/>
              </w:rPr>
              <w:t>Underlying</w:t>
            </w: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6" w:lineRule="exact"/>
              <w:rPr>
                <w:sz w:val="20"/>
                <w:szCs w:val="20"/>
                <w:color w:val="auto"/>
              </w:rPr>
            </w:pPr>
            <w:r>
              <w:rPr>
                <w:rFonts w:ascii="Arial" w:cs="Arial" w:eastAsia="Arial" w:hAnsi="Arial"/>
                <w:sz w:val="14"/>
                <w:szCs w:val="14"/>
                <w:color w:val="auto"/>
              </w:rPr>
              <w:t>Average Grant</w:t>
            </w:r>
          </w:p>
        </w:tc>
        <w:tc>
          <w:tcPr>
            <w:tcW w:w="1420" w:type="dxa"/>
            <w:vAlign w:val="bottom"/>
            <w:gridSpan w:val="2"/>
          </w:tcPr>
          <w:p>
            <w:pPr>
              <w:ind w:left="300"/>
              <w:spacing w:after="0" w:line="146" w:lineRule="exact"/>
              <w:rPr>
                <w:sz w:val="20"/>
                <w:szCs w:val="20"/>
                <w:color w:val="auto"/>
              </w:rPr>
            </w:pPr>
            <w:r>
              <w:rPr>
                <w:rFonts w:ascii="Arial" w:cs="Arial" w:eastAsia="Arial" w:hAnsi="Arial"/>
                <w:sz w:val="14"/>
                <w:szCs w:val="14"/>
                <w:color w:val="auto"/>
              </w:rPr>
              <w:t>Underlying</w:t>
            </w: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6" w:lineRule="exact"/>
              <w:rPr>
                <w:sz w:val="20"/>
                <w:szCs w:val="20"/>
                <w:color w:val="auto"/>
              </w:rPr>
            </w:pPr>
            <w:r>
              <w:rPr>
                <w:rFonts w:ascii="Arial" w:cs="Arial" w:eastAsia="Arial" w:hAnsi="Arial"/>
                <w:sz w:val="14"/>
                <w:szCs w:val="14"/>
                <w:color w:val="auto"/>
              </w:rPr>
              <w:t>Average Grant</w:t>
            </w:r>
          </w:p>
        </w:tc>
        <w:tc>
          <w:tcPr>
            <w:tcW w:w="1400" w:type="dxa"/>
            <w:vAlign w:val="bottom"/>
            <w:gridSpan w:val="2"/>
          </w:tcPr>
          <w:p>
            <w:pPr>
              <w:ind w:left="300"/>
              <w:spacing w:after="0" w:line="146" w:lineRule="exact"/>
              <w:rPr>
                <w:sz w:val="20"/>
                <w:szCs w:val="20"/>
                <w:color w:val="auto"/>
              </w:rPr>
            </w:pPr>
            <w:r>
              <w:rPr>
                <w:rFonts w:ascii="Arial" w:cs="Arial" w:eastAsia="Arial" w:hAnsi="Arial"/>
                <w:sz w:val="14"/>
                <w:szCs w:val="14"/>
                <w:color w:val="auto"/>
              </w:rPr>
              <w:t>Underlying</w:t>
            </w:r>
          </w:p>
        </w:tc>
        <w:tc>
          <w:tcPr>
            <w:tcW w:w="140" w:type="dxa"/>
            <w:vAlign w:val="bottom"/>
          </w:tcPr>
          <w:p>
            <w:pPr>
              <w:spacing w:after="0"/>
              <w:rPr>
                <w:sz w:val="12"/>
                <w:szCs w:val="12"/>
                <w:color w:val="auto"/>
              </w:rPr>
            </w:pPr>
          </w:p>
        </w:tc>
        <w:tc>
          <w:tcPr>
            <w:tcW w:w="1180" w:type="dxa"/>
            <w:vAlign w:val="bottom"/>
          </w:tcPr>
          <w:p>
            <w:pPr>
              <w:jc w:val="center"/>
              <w:ind w:right="48"/>
              <w:spacing w:after="0" w:line="146" w:lineRule="exact"/>
              <w:rPr>
                <w:sz w:val="20"/>
                <w:szCs w:val="20"/>
                <w:color w:val="auto"/>
              </w:rPr>
            </w:pPr>
            <w:r>
              <w:rPr>
                <w:rFonts w:ascii="Arial" w:cs="Arial" w:eastAsia="Arial" w:hAnsi="Arial"/>
                <w:sz w:val="14"/>
                <w:szCs w:val="14"/>
                <w:color w:val="auto"/>
              </w:rPr>
              <w:t>Average Grant</w:t>
            </w:r>
          </w:p>
        </w:tc>
      </w:tr>
      <w:tr>
        <w:trPr>
          <w:trHeight w:val="187"/>
        </w:trPr>
        <w:tc>
          <w:tcPr>
            <w:tcW w:w="1420" w:type="dxa"/>
            <w:vAlign w:val="bottom"/>
            <w:gridSpan w:val="2"/>
          </w:tcPr>
          <w:p>
            <w:pPr>
              <w:ind w:left="42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color w:val="auto"/>
              </w:rPr>
              <w:t>Date Fair Value</w:t>
            </w:r>
          </w:p>
        </w:tc>
        <w:tc>
          <w:tcPr>
            <w:tcW w:w="1420" w:type="dxa"/>
            <w:vAlign w:val="bottom"/>
            <w:gridSpan w:val="2"/>
          </w:tcPr>
          <w:p>
            <w:pPr>
              <w:ind w:left="340"/>
              <w:spacing w:after="0" w:line="188" w:lineRule="exact"/>
              <w:rPr>
                <w:sz w:val="20"/>
                <w:szCs w:val="20"/>
                <w:color w:val="auto"/>
              </w:rPr>
            </w:pPr>
            <w:r>
              <w:rPr>
                <w:rFonts w:ascii="Arial" w:cs="Arial" w:eastAsia="Arial" w:hAnsi="Arial"/>
                <w:sz w:val="14"/>
                <w:szCs w:val="14"/>
                <w:color w:val="auto"/>
              </w:rPr>
              <w:t xml:space="preserve">Shares </w:t>
            </w:r>
            <w:r>
              <w:rPr>
                <w:rFonts w:ascii="Arial" w:cs="Arial" w:eastAsia="Arial" w:hAnsi="Arial"/>
                <w:sz w:val="18"/>
                <w:szCs w:val="18"/>
                <w:color w:val="auto"/>
                <w:vertAlign w:val="superscript"/>
              </w:rPr>
              <w:t>(1)</w:t>
            </w:r>
          </w:p>
        </w:tc>
        <w:tc>
          <w:tcPr>
            <w:tcW w:w="12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color w:val="auto"/>
              </w:rPr>
              <w:t>Date Fair Value</w:t>
            </w:r>
          </w:p>
        </w:tc>
        <w:tc>
          <w:tcPr>
            <w:tcW w:w="1400" w:type="dxa"/>
            <w:vAlign w:val="bottom"/>
            <w:gridSpan w:val="2"/>
          </w:tcPr>
          <w:p>
            <w:pPr>
              <w:ind w:left="340"/>
              <w:spacing w:after="0" w:line="188" w:lineRule="exact"/>
              <w:rPr>
                <w:sz w:val="20"/>
                <w:szCs w:val="20"/>
                <w:color w:val="auto"/>
              </w:rPr>
            </w:pPr>
            <w:r>
              <w:rPr>
                <w:rFonts w:ascii="Arial" w:cs="Arial" w:eastAsia="Arial" w:hAnsi="Arial"/>
                <w:sz w:val="14"/>
                <w:szCs w:val="14"/>
                <w:color w:val="auto"/>
              </w:rPr>
              <w:t xml:space="preserve">Shares </w:t>
            </w:r>
            <w:r>
              <w:rPr>
                <w:rFonts w:ascii="Arial" w:cs="Arial" w:eastAsia="Arial" w:hAnsi="Arial"/>
                <w:sz w:val="18"/>
                <w:szCs w:val="18"/>
                <w:color w:val="auto"/>
                <w:vertAlign w:val="superscript"/>
              </w:rPr>
              <w:t>(1)</w:t>
            </w:r>
          </w:p>
        </w:tc>
        <w:tc>
          <w:tcPr>
            <w:tcW w:w="140" w:type="dxa"/>
            <w:vAlign w:val="bottom"/>
          </w:tcPr>
          <w:p>
            <w:pPr>
              <w:spacing w:after="0"/>
              <w:rPr>
                <w:sz w:val="16"/>
                <w:szCs w:val="16"/>
                <w:color w:val="auto"/>
              </w:rPr>
            </w:pPr>
          </w:p>
        </w:tc>
        <w:tc>
          <w:tcPr>
            <w:tcW w:w="1180" w:type="dxa"/>
            <w:vAlign w:val="bottom"/>
          </w:tcPr>
          <w:p>
            <w:pPr>
              <w:jc w:val="center"/>
              <w:ind w:right="48"/>
              <w:spacing w:after="0"/>
              <w:rPr>
                <w:sz w:val="20"/>
                <w:szCs w:val="20"/>
                <w:color w:val="auto"/>
              </w:rPr>
            </w:pPr>
            <w:r>
              <w:rPr>
                <w:rFonts w:ascii="Arial" w:cs="Arial" w:eastAsia="Arial" w:hAnsi="Arial"/>
                <w:sz w:val="14"/>
                <w:szCs w:val="14"/>
                <w:color w:val="auto"/>
              </w:rPr>
              <w:t>Date Fair Value</w:t>
            </w:r>
          </w:p>
        </w:tc>
      </w:tr>
      <w:tr>
        <w:trPr>
          <w:trHeight w:val="188"/>
        </w:trPr>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1,886,085</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27.12</w:t>
            </w:r>
          </w:p>
        </w:tc>
        <w:tc>
          <w:tcPr>
            <w:tcW w:w="120" w:type="dxa"/>
            <w:vAlign w:val="bottom"/>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521,212</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30.03</w:t>
            </w:r>
          </w:p>
        </w:tc>
        <w:tc>
          <w:tcPr>
            <w:tcW w:w="120" w:type="dxa"/>
            <w:vAlign w:val="bottom"/>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260,619</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43.90</w:t>
            </w:r>
          </w:p>
        </w:tc>
      </w:tr>
      <w:tr>
        <w:trPr>
          <w:trHeight w:val="203"/>
        </w:trPr>
        <w:tc>
          <w:tcPr>
            <w:tcW w:w="1300" w:type="dxa"/>
            <w:vAlign w:val="bottom"/>
          </w:tcPr>
          <w:p>
            <w:pPr>
              <w:jc w:val="right"/>
              <w:spacing w:after="0"/>
              <w:rPr>
                <w:sz w:val="20"/>
                <w:szCs w:val="20"/>
                <w:color w:val="auto"/>
              </w:rPr>
            </w:pPr>
            <w:r>
              <w:rPr>
                <w:rFonts w:ascii="Arial" w:cs="Arial" w:eastAsia="Arial" w:hAnsi="Arial"/>
                <w:sz w:val="14"/>
                <w:szCs w:val="14"/>
                <w:color w:val="auto"/>
              </w:rPr>
              <w:t>241,183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123.15</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53,775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120.56</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26,895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180.71</w:t>
            </w:r>
          </w:p>
        </w:tc>
      </w:tr>
      <w:tr>
        <w:trPr>
          <w:trHeight w:val="338"/>
        </w:trPr>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150,446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32.10</w:t>
            </w: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75,227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50.34</w:t>
            </w:r>
          </w:p>
        </w:tc>
      </w:tr>
      <w:tr>
        <w:trPr>
          <w:trHeight w:val="203"/>
        </w:trPr>
        <w:tc>
          <w:tcPr>
            <w:tcW w:w="1300" w:type="dxa"/>
            <w:vAlign w:val="bottom"/>
          </w:tcPr>
          <w:p>
            <w:pPr>
              <w:jc w:val="right"/>
              <w:spacing w:after="0"/>
              <w:rPr>
                <w:sz w:val="20"/>
                <w:szCs w:val="20"/>
                <w:color w:val="auto"/>
              </w:rPr>
            </w:pPr>
            <w:r>
              <w:rPr>
                <w:rFonts w:ascii="Arial" w:cs="Arial" w:eastAsia="Arial" w:hAnsi="Arial"/>
                <w:sz w:val="14"/>
                <w:szCs w:val="14"/>
                <w:color w:val="auto"/>
              </w:rPr>
              <w:t>(876,699)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25.02</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(300,892)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32.10</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(150,454)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50.34</w:t>
            </w:r>
          </w:p>
        </w:tc>
      </w:tr>
      <w:tr>
        <w:trPr>
          <w:trHeight w:val="207"/>
        </w:trPr>
        <w:tc>
          <w:tcPr>
            <w:tcW w:w="1300" w:type="dxa"/>
            <w:vAlign w:val="bottom"/>
          </w:tcPr>
          <w:p>
            <w:pPr>
              <w:jc w:val="right"/>
              <w:spacing w:after="0"/>
              <w:rPr>
                <w:sz w:val="20"/>
                <w:szCs w:val="20"/>
                <w:color w:val="auto"/>
              </w:rPr>
            </w:pPr>
            <w:r>
              <w:rPr>
                <w:rFonts w:ascii="Arial" w:cs="Arial" w:eastAsia="Arial" w:hAnsi="Arial"/>
                <w:sz w:val="14"/>
                <w:szCs w:val="14"/>
                <w:color w:val="auto"/>
              </w:rPr>
              <w:t>(77,384)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35.95</w:t>
            </w:r>
          </w:p>
        </w:tc>
        <w:tc>
          <w:tcPr>
            <w:tcW w:w="120" w:type="dxa"/>
            <w:vAlign w:val="bottom"/>
          </w:tcPr>
          <w:p>
            <w:pPr>
              <w:spacing w:after="0"/>
              <w:rPr>
                <w:sz w:val="17"/>
                <w:szCs w:val="17"/>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1,173,185</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47.95</w:t>
            </w:r>
          </w:p>
        </w:tc>
        <w:tc>
          <w:tcPr>
            <w:tcW w:w="120" w:type="dxa"/>
            <w:vAlign w:val="bottom"/>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424,541</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40.76</w:t>
            </w:r>
          </w:p>
        </w:tc>
        <w:tc>
          <w:tcPr>
            <w:tcW w:w="120" w:type="dxa"/>
            <w:vAlign w:val="bottom"/>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212,287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58.95</w:t>
            </w:r>
          </w:p>
        </w:tc>
      </w:tr>
      <w:tr>
        <w:trPr>
          <w:trHeight w:val="24"/>
        </w:trPr>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-1784985</wp:posOffset>
            </wp:positionH>
            <wp:positionV relativeFrom="paragraph">
              <wp:posOffset>-908050</wp:posOffset>
            </wp:positionV>
            <wp:extent cx="7106285"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-1784985</wp:posOffset>
            </wp:positionH>
            <wp:positionV relativeFrom="paragraph">
              <wp:posOffset>-642620</wp:posOffset>
            </wp:positionV>
            <wp:extent cx="7106285" cy="2146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06285" cy="214630"/>
                    </a:xfrm>
                    <a:prstGeom prst="rect">
                      <a:avLst/>
                    </a:prstGeom>
                    <a:noFill/>
                  </pic:spPr>
                </pic:pic>
              </a:graphicData>
            </a:graphic>
          </wp:anchor>
        </w:drawing>
        <w:drawing>
          <wp:anchor simplePos="0" relativeHeight="251657728" behindDoc="1" locked="0" layoutInCell="0" allowOverlap="1">
            <wp:simplePos x="0" y="0"/>
            <wp:positionH relativeFrom="column">
              <wp:posOffset>-1784985</wp:posOffset>
            </wp:positionH>
            <wp:positionV relativeFrom="paragraph">
              <wp:posOffset>-299720</wp:posOffset>
            </wp:positionV>
            <wp:extent cx="7106285" cy="1289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spacing w:after="0" w:line="82" w:lineRule="exact"/>
        <w:rPr>
          <w:sz w:val="20"/>
          <w:szCs w:val="20"/>
          <w:color w:val="auto"/>
        </w:rPr>
      </w:pPr>
    </w:p>
    <w:p>
      <w:pPr>
        <w:sectPr>
          <w:pgSz w:w="11900" w:h="16838" w:orient="portrait"/>
          <w:cols w:equalWidth="0" w:num="2">
            <w:col w:w="2500" w:space="320"/>
            <w:col w:w="8420"/>
          </w:cols>
          <w:pgMar w:left="320" w:top="125" w:right="339" w:bottom="1440" w:gutter="0" w:footer="0" w:header="0"/>
          <w:type w:val="continuous"/>
        </w:sectPr>
      </w:pPr>
    </w:p>
    <w:p>
      <w:pPr>
        <w:ind w:left="340" w:hanging="332"/>
        <w:spacing w:after="0" w:line="227" w:lineRule="auto"/>
        <w:tabs>
          <w:tab w:leader="none" w:pos="234" w:val="left"/>
        </w:tabs>
        <w:numPr>
          <w:ilvl w:val="0"/>
          <w:numId w:val="70"/>
        </w:numPr>
        <w:rPr>
          <w:rFonts w:ascii="Arial" w:cs="Arial" w:eastAsia="Arial" w:hAnsi="Arial"/>
          <w:sz w:val="18"/>
          <w:szCs w:val="18"/>
          <w:color w:val="auto"/>
          <w:vertAlign w:val="superscript"/>
        </w:rPr>
      </w:pPr>
      <w:r>
        <w:rPr>
          <w:rFonts w:ascii="Arial" w:cs="Arial" w:eastAsia="Arial" w:hAnsi="Arial"/>
          <w:sz w:val="13"/>
          <w:szCs w:val="13"/>
          <w:color w:val="auto"/>
        </w:rPr>
        <w:t>Unvested shares related to restricted stock units with performance-based and market-based vesting conditions are reflected at 100% of their target vesting amount in the table above. Unvested shares related to restricted stock units with performance-based and market-based vesting conditions can be achieved at up to 200% of their target vesting amount.</w:t>
      </w:r>
    </w:p>
    <w:p>
      <w:pPr>
        <w:spacing w:after="0" w:line="22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following table details unrecognized compensation cost and the remaining weighted-average period over which these costs are expected to be recognized for restricted stock units as of February 1, 2025:</w:t>
      </w:r>
    </w:p>
    <w:p>
      <w:pPr>
        <w:spacing w:after="0" w:line="7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color w:val="auto"/>
              </w:rPr>
              <w:t>Service-based</w:t>
            </w:r>
          </w:p>
        </w:tc>
        <w:tc>
          <w:tcPr>
            <w:tcW w:w="1540" w:type="dxa"/>
            <w:vAlign w:val="bottom"/>
            <w:gridSpan w:val="3"/>
          </w:tcPr>
          <w:p>
            <w:pPr>
              <w:jc w:val="center"/>
              <w:ind w:right="120"/>
              <w:spacing w:after="0"/>
              <w:rPr>
                <w:sz w:val="20"/>
                <w:szCs w:val="20"/>
                <w:color w:val="auto"/>
              </w:rPr>
            </w:pPr>
            <w:r>
              <w:rPr>
                <w:rFonts w:ascii="Arial" w:cs="Arial" w:eastAsia="Arial" w:hAnsi="Arial"/>
                <w:sz w:val="14"/>
                <w:szCs w:val="14"/>
                <w:color w:val="auto"/>
              </w:rPr>
              <w:t>Performance-based</w:t>
            </w:r>
          </w:p>
        </w:tc>
        <w:tc>
          <w:tcPr>
            <w:tcW w:w="180" w:type="dxa"/>
            <w:vAlign w:val="bottom"/>
          </w:tcPr>
          <w:p>
            <w:pPr>
              <w:spacing w:after="0"/>
              <w:rPr>
                <w:sz w:val="14"/>
                <w:szCs w:val="14"/>
                <w:color w:val="auto"/>
              </w:rPr>
            </w:pPr>
          </w:p>
        </w:tc>
        <w:tc>
          <w:tcPr>
            <w:tcW w:w="1240" w:type="dxa"/>
            <w:vAlign w:val="bottom"/>
          </w:tcPr>
          <w:p>
            <w:pPr>
              <w:jc w:val="center"/>
              <w:ind w:right="88"/>
              <w:spacing w:after="0"/>
              <w:rPr>
                <w:sz w:val="20"/>
                <w:szCs w:val="20"/>
                <w:color w:val="auto"/>
              </w:rPr>
            </w:pPr>
            <w:r>
              <w:rPr>
                <w:rFonts w:ascii="Arial" w:cs="Arial" w:eastAsia="Arial" w:hAnsi="Arial"/>
                <w:sz w:val="14"/>
                <w:szCs w:val="14"/>
                <w:color w:val="auto"/>
              </w:rPr>
              <w:t>Market-based</w:t>
            </w:r>
          </w:p>
        </w:tc>
        <w:tc>
          <w:tcPr>
            <w:tcW w:w="0" w:type="dxa"/>
            <w:vAlign w:val="bottom"/>
          </w:tcPr>
          <w:p>
            <w:pPr>
              <w:spacing w:after="0"/>
              <w:rPr>
                <w:sz w:val="1"/>
                <w:szCs w:val="1"/>
                <w:color w:val="auto"/>
              </w:rPr>
            </w:pPr>
          </w:p>
        </w:tc>
      </w:tr>
      <w:tr>
        <w:trPr>
          <w:trHeight w:val="139"/>
        </w:trPr>
        <w:tc>
          <w:tcPr>
            <w:tcW w:w="67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2"/>
                <w:szCs w:val="12"/>
                <w:color w:val="auto"/>
              </w:rPr>
            </w:pPr>
          </w:p>
        </w:tc>
        <w:tc>
          <w:tcPr>
            <w:tcW w:w="1360" w:type="dxa"/>
            <w:vAlign w:val="bottom"/>
            <w:gridSpan w:val="2"/>
          </w:tcPr>
          <w:p>
            <w:pPr>
              <w:jc w:val="center"/>
              <w:ind w:right="300"/>
              <w:spacing w:after="0" w:line="139" w:lineRule="exact"/>
              <w:rPr>
                <w:sz w:val="20"/>
                <w:szCs w:val="20"/>
                <w:color w:val="auto"/>
              </w:rPr>
            </w:pPr>
            <w:r>
              <w:rPr>
                <w:rFonts w:ascii="Arial" w:cs="Arial" w:eastAsia="Arial" w:hAnsi="Arial"/>
                <w:sz w:val="14"/>
                <w:szCs w:val="14"/>
                <w:color w:val="auto"/>
              </w:rPr>
              <w:t>Restricted</w:t>
            </w:r>
          </w:p>
        </w:tc>
        <w:tc>
          <w:tcPr>
            <w:tcW w:w="220" w:type="dxa"/>
            <w:vAlign w:val="bottom"/>
          </w:tcPr>
          <w:p>
            <w:pPr>
              <w:spacing w:after="0"/>
              <w:rPr>
                <w:sz w:val="12"/>
                <w:szCs w:val="12"/>
                <w:color w:val="auto"/>
              </w:rPr>
            </w:pPr>
          </w:p>
        </w:tc>
        <w:tc>
          <w:tcPr>
            <w:tcW w:w="1320" w:type="dxa"/>
            <w:vAlign w:val="bottom"/>
            <w:gridSpan w:val="2"/>
          </w:tcPr>
          <w:p>
            <w:pPr>
              <w:jc w:val="center"/>
              <w:ind w:right="340"/>
              <w:spacing w:after="0" w:line="139" w:lineRule="exact"/>
              <w:rPr>
                <w:sz w:val="20"/>
                <w:szCs w:val="20"/>
                <w:color w:val="auto"/>
              </w:rPr>
            </w:pPr>
            <w:r>
              <w:rPr>
                <w:rFonts w:ascii="Arial" w:cs="Arial" w:eastAsia="Arial" w:hAnsi="Arial"/>
                <w:sz w:val="14"/>
                <w:szCs w:val="14"/>
                <w:color w:val="auto"/>
              </w:rPr>
              <w:t>Restricted</w:t>
            </w:r>
          </w:p>
        </w:tc>
        <w:tc>
          <w:tcPr>
            <w:tcW w:w="180" w:type="dxa"/>
            <w:vAlign w:val="bottom"/>
          </w:tcPr>
          <w:p>
            <w:pPr>
              <w:spacing w:after="0"/>
              <w:rPr>
                <w:sz w:val="12"/>
                <w:szCs w:val="12"/>
                <w:color w:val="auto"/>
              </w:rPr>
            </w:pPr>
          </w:p>
        </w:tc>
        <w:tc>
          <w:tcPr>
            <w:tcW w:w="1240" w:type="dxa"/>
            <w:vAlign w:val="bottom"/>
          </w:tcPr>
          <w:p>
            <w:pPr>
              <w:jc w:val="center"/>
              <w:ind w:right="108"/>
              <w:spacing w:after="0" w:line="139" w:lineRule="exact"/>
              <w:rPr>
                <w:sz w:val="20"/>
                <w:szCs w:val="20"/>
                <w:color w:val="auto"/>
              </w:rPr>
            </w:pPr>
            <w:r>
              <w:rPr>
                <w:rFonts w:ascii="Arial" w:cs="Arial" w:eastAsia="Arial" w:hAnsi="Arial"/>
                <w:sz w:val="14"/>
                <w:szCs w:val="14"/>
                <w:color w:val="auto"/>
              </w:rPr>
              <w:t>Restricted</w:t>
            </w:r>
          </w:p>
        </w:tc>
        <w:tc>
          <w:tcPr>
            <w:tcW w:w="0" w:type="dxa"/>
            <w:vAlign w:val="bottom"/>
          </w:tcPr>
          <w:p>
            <w:pPr>
              <w:spacing w:after="0"/>
              <w:rPr>
                <w:sz w:val="1"/>
                <w:szCs w:val="1"/>
                <w:color w:val="auto"/>
              </w:rPr>
            </w:pPr>
          </w:p>
        </w:tc>
      </w:tr>
      <w:tr>
        <w:trPr>
          <w:trHeight w:val="194"/>
        </w:trPr>
        <w:tc>
          <w:tcPr>
            <w:tcW w:w="67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color w:val="auto"/>
              </w:rPr>
              <w:t>Stock Units</w:t>
            </w:r>
          </w:p>
        </w:tc>
        <w:tc>
          <w:tcPr>
            <w:tcW w:w="22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color w:val="auto"/>
              </w:rPr>
              <w:t>Stock Units</w:t>
            </w:r>
          </w:p>
        </w:tc>
        <w:tc>
          <w:tcPr>
            <w:tcW w:w="180" w:type="dxa"/>
            <w:vAlign w:val="bottom"/>
          </w:tcPr>
          <w:p>
            <w:pPr>
              <w:spacing w:after="0"/>
              <w:rPr>
                <w:sz w:val="16"/>
                <w:szCs w:val="16"/>
                <w:color w:val="auto"/>
              </w:rPr>
            </w:pPr>
          </w:p>
        </w:tc>
        <w:tc>
          <w:tcPr>
            <w:tcW w:w="1240" w:type="dxa"/>
            <w:vAlign w:val="bottom"/>
          </w:tcPr>
          <w:p>
            <w:pPr>
              <w:jc w:val="center"/>
              <w:ind w:right="108"/>
              <w:spacing w:after="0"/>
              <w:rPr>
                <w:sz w:val="20"/>
                <w:szCs w:val="20"/>
                <w:color w:val="auto"/>
              </w:rPr>
            </w:pPr>
            <w:r>
              <w:rPr>
                <w:rFonts w:ascii="Arial" w:cs="Arial" w:eastAsia="Arial" w:hAnsi="Arial"/>
                <w:sz w:val="14"/>
                <w:szCs w:val="14"/>
                <w:color w:val="auto"/>
              </w:rPr>
              <w:t>Stock Units</w:t>
            </w:r>
          </w:p>
        </w:tc>
        <w:tc>
          <w:tcPr>
            <w:tcW w:w="0" w:type="dxa"/>
            <w:vAlign w:val="bottom"/>
          </w:tcPr>
          <w:p>
            <w:pPr>
              <w:spacing w:after="0"/>
              <w:rPr>
                <w:sz w:val="1"/>
                <w:szCs w:val="1"/>
                <w:color w:val="auto"/>
              </w:rPr>
            </w:pPr>
          </w:p>
        </w:tc>
      </w:tr>
      <w:tr>
        <w:trPr>
          <w:trHeight w:val="200"/>
        </w:trPr>
        <w:tc>
          <w:tcPr>
            <w:tcW w:w="6700" w:type="dxa"/>
            <w:vAlign w:val="bottom"/>
            <w:tcBorders>
              <w:top w:val="single" w:sz="8" w:color="F5F5F5"/>
            </w:tcBorders>
            <w:shd w:val="clear" w:color="auto" w:fill="F5F5F5"/>
          </w:tcPr>
          <w:p>
            <w:pPr>
              <w:ind w:left="20"/>
              <w:spacing w:after="0"/>
              <w:rPr>
                <w:sz w:val="20"/>
                <w:szCs w:val="20"/>
                <w:color w:val="auto"/>
              </w:rPr>
            </w:pPr>
            <w:r>
              <w:rPr>
                <w:rFonts w:ascii="Arial" w:cs="Arial" w:eastAsia="Arial" w:hAnsi="Arial"/>
                <w:sz w:val="14"/>
                <w:szCs w:val="14"/>
                <w:color w:val="auto"/>
              </w:rPr>
              <w:t>Unrecognized compensation cost</w:t>
            </w:r>
          </w:p>
        </w:tc>
        <w:tc>
          <w:tcPr>
            <w:tcW w:w="180" w:type="dxa"/>
            <w:vAlign w:val="bottom"/>
            <w:tcBorders>
              <w:top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36,477</w:t>
            </w:r>
          </w:p>
        </w:tc>
        <w:tc>
          <w:tcPr>
            <w:tcW w:w="120" w:type="dxa"/>
            <w:vAlign w:val="bottom"/>
            <w:tcBorders>
              <w:top w:val="single" w:sz="8" w:color="F5F5F5"/>
            </w:tcBorders>
            <w:shd w:val="clear" w:color="auto" w:fill="F5F5F5"/>
          </w:tcPr>
          <w:p>
            <w:pPr>
              <w:spacing w:after="0"/>
              <w:rPr>
                <w:sz w:val="17"/>
                <w:szCs w:val="17"/>
                <w:color w:val="auto"/>
              </w:rPr>
            </w:pPr>
          </w:p>
        </w:tc>
        <w:tc>
          <w:tcPr>
            <w:tcW w:w="220" w:type="dxa"/>
            <w:vAlign w:val="bottom"/>
            <w:tcBorders>
              <w:top w:val="single" w:sz="8" w:color="auto"/>
            </w:tcBorders>
            <w:shd w:val="clear" w:color="auto" w:fill="F5F5F5"/>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13,983</w:t>
            </w:r>
          </w:p>
        </w:tc>
        <w:tc>
          <w:tcPr>
            <w:tcW w:w="120" w:type="dxa"/>
            <w:vAlign w:val="bottom"/>
            <w:tcBorders>
              <w:top w:val="single" w:sz="8" w:color="F5F5F5"/>
            </w:tcBorders>
            <w:shd w:val="clear" w:color="auto" w:fill="F5F5F5"/>
          </w:tcPr>
          <w:p>
            <w:pPr>
              <w:spacing w:after="0"/>
              <w:rPr>
                <w:sz w:val="17"/>
                <w:szCs w:val="17"/>
                <w:color w:val="auto"/>
              </w:rPr>
            </w:pPr>
          </w:p>
        </w:tc>
        <w:tc>
          <w:tcPr>
            <w:tcW w:w="180" w:type="dxa"/>
            <w:vAlign w:val="bottom"/>
            <w:tcBorders>
              <w:top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5,211</w:t>
            </w:r>
          </w:p>
        </w:tc>
        <w:tc>
          <w:tcPr>
            <w:tcW w:w="0" w:type="dxa"/>
            <w:vAlign w:val="bottom"/>
          </w:tcPr>
          <w:p>
            <w:pPr>
              <w:spacing w:after="0"/>
              <w:rPr>
                <w:sz w:val="1"/>
                <w:szCs w:val="1"/>
                <w:color w:val="auto"/>
              </w:rPr>
            </w:pPr>
          </w:p>
        </w:tc>
      </w:tr>
      <w:tr>
        <w:trPr>
          <w:trHeight w:val="194"/>
        </w:trPr>
        <w:tc>
          <w:tcPr>
            <w:tcW w:w="6700" w:type="dxa"/>
            <w:vAlign w:val="bottom"/>
          </w:tcPr>
          <w:p>
            <w:pPr>
              <w:ind w:left="180"/>
              <w:spacing w:after="0"/>
              <w:rPr>
                <w:sz w:val="20"/>
                <w:szCs w:val="20"/>
                <w:color w:val="auto"/>
              </w:rPr>
            </w:pPr>
            <w:r>
              <w:rPr>
                <w:rFonts w:ascii="Arial" w:cs="Arial" w:eastAsia="Arial" w:hAnsi="Arial"/>
                <w:sz w:val="14"/>
                <w:szCs w:val="14"/>
                <w:color w:val="auto"/>
              </w:rPr>
              <w:t>Remaining weighted-average period cost is expected to be recognized (years)</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Additional information pertaining to restricted stock units for Fiscal 2024, Fiscal 2023 and Fiscal 2022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2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gridSpan w:val="2"/>
          </w:tcPr>
          <w:p>
            <w:pPr>
              <w:ind w:left="240"/>
              <w:spacing w:after="0"/>
              <w:rPr>
                <w:sz w:val="20"/>
                <w:szCs w:val="20"/>
                <w:color w:val="auto"/>
              </w:rPr>
            </w:pPr>
            <w:r>
              <w:rPr>
                <w:rFonts w:ascii="Arial" w:cs="Arial" w:eastAsia="Arial" w:hAnsi="Arial"/>
                <w:sz w:val="14"/>
                <w:szCs w:val="14"/>
                <w:color w:val="auto"/>
              </w:rPr>
              <w:t>Fiscal 2024</w:t>
            </w:r>
          </w:p>
        </w:tc>
        <w:tc>
          <w:tcPr>
            <w:tcW w:w="320" w:type="dxa"/>
            <w:vAlign w:val="bottom"/>
          </w:tcPr>
          <w:p>
            <w:pPr>
              <w:spacing w:after="0"/>
              <w:rPr>
                <w:sz w:val="16"/>
                <w:szCs w:val="16"/>
                <w:color w:val="auto"/>
              </w:rPr>
            </w:pPr>
          </w:p>
        </w:tc>
        <w:tc>
          <w:tcPr>
            <w:tcW w:w="1100" w:type="dxa"/>
            <w:vAlign w:val="bottom"/>
            <w:gridSpan w:val="2"/>
          </w:tcPr>
          <w:p>
            <w:pPr>
              <w:ind w:left="240"/>
              <w:spacing w:after="0"/>
              <w:rPr>
                <w:sz w:val="20"/>
                <w:szCs w:val="20"/>
                <w:color w:val="auto"/>
              </w:rPr>
            </w:pPr>
            <w:r>
              <w:rPr>
                <w:rFonts w:ascii="Arial" w:cs="Arial" w:eastAsia="Arial" w:hAnsi="Arial"/>
                <w:sz w:val="14"/>
                <w:szCs w:val="14"/>
                <w:color w:val="auto"/>
              </w:rPr>
              <w:t>Fiscal 2023</w:t>
            </w:r>
          </w:p>
        </w:tc>
        <w:tc>
          <w:tcPr>
            <w:tcW w:w="340" w:type="dxa"/>
            <w:vAlign w:val="bottom"/>
          </w:tcPr>
          <w:p>
            <w:pPr>
              <w:spacing w:after="0"/>
              <w:rPr>
                <w:sz w:val="16"/>
                <w:szCs w:val="16"/>
                <w:color w:val="auto"/>
              </w:rPr>
            </w:pPr>
          </w:p>
        </w:tc>
        <w:tc>
          <w:tcPr>
            <w:tcW w:w="1000" w:type="dxa"/>
            <w:vAlign w:val="bottom"/>
            <w:gridSpan w:val="2"/>
          </w:tcPr>
          <w:p>
            <w:pPr>
              <w:ind w:left="240"/>
              <w:spacing w:after="0"/>
              <w:rPr>
                <w:sz w:val="20"/>
                <w:szCs w:val="20"/>
                <w:color w:val="auto"/>
              </w:rPr>
            </w:pPr>
            <w:r>
              <w:rPr>
                <w:rFonts w:ascii="Arial" w:cs="Arial" w:eastAsia="Arial" w:hAnsi="Arial"/>
                <w:sz w:val="14"/>
                <w:szCs w:val="14"/>
                <w:color w:val="auto"/>
              </w:rPr>
              <w:t>Fiscal 2022</w:t>
            </w:r>
          </w:p>
        </w:tc>
      </w:tr>
      <w:tr>
        <w:trPr>
          <w:trHeight w:val="188"/>
        </w:trPr>
        <w:tc>
          <w:tcPr>
            <w:tcW w:w="20" w:type="dxa"/>
            <w:vAlign w:val="bottom"/>
          </w:tcPr>
          <w:p>
            <w:pPr>
              <w:spacing w:after="0"/>
              <w:rPr>
                <w:sz w:val="16"/>
                <w:szCs w:val="16"/>
                <w:color w:val="auto"/>
              </w:rPr>
            </w:pPr>
          </w:p>
        </w:tc>
        <w:tc>
          <w:tcPr>
            <w:tcW w:w="4220" w:type="dxa"/>
            <w:vAlign w:val="bottom"/>
          </w:tcPr>
          <w:p>
            <w:pPr>
              <w:ind w:left="20"/>
              <w:spacing w:after="0"/>
              <w:rPr>
                <w:sz w:val="20"/>
                <w:szCs w:val="20"/>
                <w:color w:val="auto"/>
              </w:rPr>
            </w:pPr>
            <w:r>
              <w:rPr>
                <w:rFonts w:ascii="Arial" w:cs="Arial" w:eastAsia="Arial" w:hAnsi="Arial"/>
                <w:sz w:val="14"/>
                <w:szCs w:val="14"/>
                <w:b w:val="1"/>
                <w:bCs w:val="1"/>
                <w:color w:val="auto"/>
              </w:rPr>
              <w:t>Service-based restricted stock units:</w:t>
            </w:r>
          </w:p>
        </w:tc>
        <w:tc>
          <w:tcPr>
            <w:tcW w:w="28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04"/>
        </w:trPr>
        <w:tc>
          <w:tcPr>
            <w:tcW w:w="20" w:type="dxa"/>
            <w:vAlign w:val="bottom"/>
          </w:tcPr>
          <w:p>
            <w:pPr>
              <w:spacing w:after="0"/>
              <w:rPr>
                <w:sz w:val="17"/>
                <w:szCs w:val="17"/>
                <w:color w:val="auto"/>
              </w:rPr>
            </w:pPr>
          </w:p>
        </w:tc>
        <w:tc>
          <w:tcPr>
            <w:tcW w:w="4220" w:type="dxa"/>
            <w:vAlign w:val="bottom"/>
            <w:shd w:val="clear" w:color="auto" w:fill="F5F5F5"/>
          </w:tcPr>
          <w:p>
            <w:pPr>
              <w:ind w:left="140"/>
              <w:spacing w:after="0"/>
              <w:rPr>
                <w:sz w:val="20"/>
                <w:szCs w:val="20"/>
                <w:color w:val="auto"/>
              </w:rPr>
            </w:pPr>
            <w:r>
              <w:rPr>
                <w:rFonts w:ascii="Arial" w:cs="Arial" w:eastAsia="Arial" w:hAnsi="Arial"/>
                <w:sz w:val="14"/>
                <w:szCs w:val="14"/>
                <w:color w:val="auto"/>
              </w:rPr>
              <w:t>Total grant date fair value of awards granted</w:t>
            </w:r>
          </w:p>
        </w:tc>
        <w:tc>
          <w:tcPr>
            <w:tcW w:w="3140" w:type="dxa"/>
            <w:vAlign w:val="bottom"/>
            <w:gridSpan w:val="2"/>
            <w:shd w:val="clear" w:color="auto" w:fill="F5F5F5"/>
          </w:tcPr>
          <w:p>
            <w:pPr>
              <w:jc w:val="right"/>
              <w:ind w:right="240"/>
              <w:spacing w:after="0"/>
              <w:rPr>
                <w:sz w:val="20"/>
                <w:szCs w:val="20"/>
                <w:color w:val="auto"/>
              </w:rPr>
            </w:pPr>
            <w:r>
              <w:rPr>
                <w:rFonts w:ascii="Arial" w:cs="Arial" w:eastAsia="Arial" w:hAnsi="Arial"/>
                <w:sz w:val="14"/>
                <w:szCs w:val="14"/>
                <w:color w:val="auto"/>
              </w:rPr>
              <w:t>$</w:t>
            </w:r>
          </w:p>
        </w:tc>
        <w:tc>
          <w:tcPr>
            <w:tcW w:w="9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29,702</w:t>
            </w:r>
          </w:p>
        </w:tc>
        <w:tc>
          <w:tcPr>
            <w:tcW w:w="120" w:type="dxa"/>
            <w:vAlign w:val="bottom"/>
            <w:shd w:val="clear" w:color="auto" w:fill="F5F5F5"/>
          </w:tcPr>
          <w:p>
            <w:pPr>
              <w:spacing w:after="0"/>
              <w:rPr>
                <w:sz w:val="17"/>
                <w:szCs w:val="17"/>
                <w:color w:val="auto"/>
              </w:rPr>
            </w:pPr>
          </w:p>
        </w:tc>
        <w:tc>
          <w:tcPr>
            <w:tcW w:w="320" w:type="dxa"/>
            <w:vAlign w:val="bottom"/>
            <w:shd w:val="clear" w:color="auto" w:fill="F5F5F5"/>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26,237</w:t>
            </w:r>
          </w:p>
        </w:tc>
        <w:tc>
          <w:tcPr>
            <w:tcW w:w="100" w:type="dxa"/>
            <w:vAlign w:val="bottom"/>
            <w:shd w:val="clear" w:color="auto" w:fill="F5F5F5"/>
          </w:tcPr>
          <w:p>
            <w:pPr>
              <w:spacing w:after="0"/>
              <w:rPr>
                <w:sz w:val="17"/>
                <w:szCs w:val="17"/>
                <w:color w:val="auto"/>
              </w:rPr>
            </w:pPr>
          </w:p>
        </w:tc>
        <w:tc>
          <w:tcPr>
            <w:tcW w:w="340" w:type="dxa"/>
            <w:vAlign w:val="bottom"/>
            <w:shd w:val="clear" w:color="auto" w:fill="F5F5F5"/>
          </w:tcPr>
          <w:p>
            <w:pPr>
              <w:jc w:val="right"/>
              <w:ind w:right="168"/>
              <w:spacing w:after="0"/>
              <w:rPr>
                <w:sz w:val="20"/>
                <w:szCs w:val="20"/>
                <w:color w:val="auto"/>
              </w:rPr>
            </w:pPr>
            <w:r>
              <w:rPr>
                <w:rFonts w:ascii="Arial" w:cs="Arial" w:eastAsia="Arial" w:hAnsi="Arial"/>
                <w:sz w:val="14"/>
                <w:szCs w:val="14"/>
                <w:color w:val="auto"/>
              </w:rPr>
              <w:t>$</w:t>
            </w:r>
          </w:p>
        </w:tc>
        <w:tc>
          <w:tcPr>
            <w:tcW w:w="9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28,878</w:t>
            </w:r>
          </w:p>
        </w:tc>
        <w:tc>
          <w:tcPr>
            <w:tcW w:w="2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4220" w:type="dxa"/>
            <w:vAlign w:val="bottom"/>
          </w:tcPr>
          <w:p>
            <w:pPr>
              <w:ind w:left="140"/>
              <w:spacing w:after="0"/>
              <w:rPr>
                <w:sz w:val="20"/>
                <w:szCs w:val="20"/>
                <w:color w:val="auto"/>
              </w:rPr>
            </w:pPr>
            <w:r>
              <w:rPr>
                <w:rFonts w:ascii="Arial" w:cs="Arial" w:eastAsia="Arial" w:hAnsi="Arial"/>
                <w:sz w:val="14"/>
                <w:szCs w:val="14"/>
                <w:color w:val="auto"/>
              </w:rPr>
              <w:t>Total grant date fair value of awards vested</w:t>
            </w:r>
          </w:p>
        </w:tc>
        <w:tc>
          <w:tcPr>
            <w:tcW w:w="2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21,935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23,326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16,794</w:t>
            </w:r>
          </w:p>
        </w:tc>
        <w:tc>
          <w:tcPr>
            <w:tcW w:w="20" w:type="dxa"/>
            <w:vAlign w:val="bottom"/>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4220" w:type="dxa"/>
            <w:vAlign w:val="bottom"/>
            <w:shd w:val="clear" w:color="auto" w:fill="F5F5F5"/>
          </w:tcPr>
          <w:p>
            <w:pPr>
              <w:ind w:left="140"/>
              <w:spacing w:after="0"/>
              <w:rPr>
                <w:sz w:val="20"/>
                <w:szCs w:val="20"/>
                <w:color w:val="auto"/>
              </w:rPr>
            </w:pPr>
            <w:r>
              <w:rPr>
                <w:rFonts w:ascii="Arial" w:cs="Arial" w:eastAsia="Arial" w:hAnsi="Arial"/>
                <w:sz w:val="14"/>
                <w:szCs w:val="14"/>
                <w:color w:val="auto"/>
              </w:rPr>
              <w:t>Total intrinsic value of awards vested</w:t>
            </w:r>
          </w:p>
        </w:tc>
        <w:tc>
          <w:tcPr>
            <w:tcW w:w="2800" w:type="dxa"/>
            <w:vAlign w:val="bottom"/>
            <w:shd w:val="clear" w:color="auto" w:fill="F5F5F5"/>
          </w:tcPr>
          <w:p>
            <w:pPr>
              <w:spacing w:after="0"/>
              <w:rPr>
                <w:sz w:val="17"/>
                <w:szCs w:val="17"/>
                <w:color w:val="auto"/>
              </w:rPr>
            </w:pPr>
          </w:p>
        </w:tc>
        <w:tc>
          <w:tcPr>
            <w:tcW w:w="340" w:type="dxa"/>
            <w:vAlign w:val="bottom"/>
            <w:shd w:val="clear" w:color="auto" w:fill="F5F5F5"/>
          </w:tcPr>
          <w:p>
            <w:pPr>
              <w:spacing w:after="0"/>
              <w:rPr>
                <w:sz w:val="17"/>
                <w:szCs w:val="17"/>
                <w:color w:val="auto"/>
              </w:rPr>
            </w:pPr>
          </w:p>
        </w:tc>
        <w:tc>
          <w:tcPr>
            <w:tcW w:w="9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115,768</w:t>
            </w:r>
          </w:p>
        </w:tc>
        <w:tc>
          <w:tcPr>
            <w:tcW w:w="120" w:type="dxa"/>
            <w:vAlign w:val="bottom"/>
            <w:shd w:val="clear" w:color="auto" w:fill="F5F5F5"/>
          </w:tcPr>
          <w:p>
            <w:pPr>
              <w:spacing w:after="0"/>
              <w:rPr>
                <w:sz w:val="17"/>
                <w:szCs w:val="17"/>
                <w:color w:val="auto"/>
              </w:rPr>
            </w:pPr>
          </w:p>
        </w:tc>
        <w:tc>
          <w:tcPr>
            <w:tcW w:w="320" w:type="dxa"/>
            <w:vAlign w:val="bottom"/>
            <w:shd w:val="clear" w:color="auto" w:fill="F5F5F5"/>
          </w:tcPr>
          <w:p>
            <w:pPr>
              <w:spacing w:after="0"/>
              <w:rPr>
                <w:sz w:val="17"/>
                <w:szCs w:val="17"/>
                <w:color w:val="auto"/>
              </w:rPr>
            </w:pPr>
          </w:p>
        </w:tc>
        <w:tc>
          <w:tcPr>
            <w:tcW w:w="100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44,110</w:t>
            </w:r>
          </w:p>
        </w:tc>
        <w:tc>
          <w:tcPr>
            <w:tcW w:w="100" w:type="dxa"/>
            <w:vAlign w:val="bottom"/>
            <w:shd w:val="clear" w:color="auto" w:fill="F5F5F5"/>
          </w:tcPr>
          <w:p>
            <w:pPr>
              <w:spacing w:after="0"/>
              <w:rPr>
                <w:sz w:val="17"/>
                <w:szCs w:val="17"/>
                <w:color w:val="auto"/>
              </w:rPr>
            </w:pPr>
          </w:p>
        </w:tc>
        <w:tc>
          <w:tcPr>
            <w:tcW w:w="340" w:type="dxa"/>
            <w:vAlign w:val="bottom"/>
            <w:shd w:val="clear" w:color="auto" w:fill="F5F5F5"/>
          </w:tcPr>
          <w:p>
            <w:pPr>
              <w:spacing w:after="0"/>
              <w:rPr>
                <w:sz w:val="17"/>
                <w:szCs w:val="17"/>
                <w:color w:val="auto"/>
              </w:rPr>
            </w:pPr>
          </w:p>
        </w:tc>
        <w:tc>
          <w:tcPr>
            <w:tcW w:w="9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28,037</w:t>
            </w:r>
          </w:p>
        </w:tc>
        <w:tc>
          <w:tcPr>
            <w:tcW w:w="20" w:type="dxa"/>
            <w:vAlign w:val="bottom"/>
          </w:tcPr>
          <w:p>
            <w:pPr>
              <w:spacing w:after="0"/>
              <w:rPr>
                <w:sz w:val="17"/>
                <w:szCs w:val="17"/>
                <w:color w:val="auto"/>
              </w:rPr>
            </w:pPr>
          </w:p>
        </w:tc>
      </w:tr>
      <w:tr>
        <w:trPr>
          <w:trHeight w:val="108"/>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2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03"/>
        </w:trPr>
        <w:tc>
          <w:tcPr>
            <w:tcW w:w="20" w:type="dxa"/>
            <w:vAlign w:val="bottom"/>
          </w:tcPr>
          <w:p>
            <w:pPr>
              <w:spacing w:after="0"/>
              <w:rPr>
                <w:sz w:val="17"/>
                <w:szCs w:val="17"/>
                <w:color w:val="auto"/>
              </w:rPr>
            </w:pPr>
          </w:p>
        </w:tc>
        <w:tc>
          <w:tcPr>
            <w:tcW w:w="4220" w:type="dxa"/>
            <w:vAlign w:val="bottom"/>
            <w:shd w:val="clear" w:color="auto" w:fill="F5F5F5"/>
          </w:tcPr>
          <w:p>
            <w:pPr>
              <w:ind w:left="20"/>
              <w:spacing w:after="0"/>
              <w:rPr>
                <w:sz w:val="20"/>
                <w:szCs w:val="20"/>
                <w:color w:val="auto"/>
              </w:rPr>
            </w:pPr>
            <w:r>
              <w:rPr>
                <w:rFonts w:ascii="Arial" w:cs="Arial" w:eastAsia="Arial" w:hAnsi="Arial"/>
                <w:sz w:val="14"/>
                <w:szCs w:val="14"/>
                <w:b w:val="1"/>
                <w:bCs w:val="1"/>
                <w:color w:val="auto"/>
              </w:rPr>
              <w:t>Performance-based restricted stock units:</w:t>
            </w:r>
          </w:p>
        </w:tc>
        <w:tc>
          <w:tcPr>
            <w:tcW w:w="2800" w:type="dxa"/>
            <w:vAlign w:val="bottom"/>
            <w:shd w:val="clear" w:color="auto" w:fill="F5F5F5"/>
          </w:tcPr>
          <w:p>
            <w:pPr>
              <w:spacing w:after="0"/>
              <w:rPr>
                <w:sz w:val="17"/>
                <w:szCs w:val="17"/>
                <w:color w:val="auto"/>
              </w:rPr>
            </w:pPr>
          </w:p>
        </w:tc>
        <w:tc>
          <w:tcPr>
            <w:tcW w:w="340" w:type="dxa"/>
            <w:vAlign w:val="bottom"/>
            <w:shd w:val="clear" w:color="auto" w:fill="F5F5F5"/>
          </w:tcPr>
          <w:p>
            <w:pPr>
              <w:spacing w:after="0"/>
              <w:rPr>
                <w:sz w:val="17"/>
                <w:szCs w:val="17"/>
                <w:color w:val="auto"/>
              </w:rPr>
            </w:pPr>
          </w:p>
        </w:tc>
        <w:tc>
          <w:tcPr>
            <w:tcW w:w="980" w:type="dxa"/>
            <w:vAlign w:val="bottom"/>
            <w:shd w:val="clear" w:color="auto" w:fill="F5F5F5"/>
          </w:tcPr>
          <w:p>
            <w:pPr>
              <w:spacing w:after="0"/>
              <w:rPr>
                <w:sz w:val="17"/>
                <w:szCs w:val="17"/>
                <w:color w:val="auto"/>
              </w:rPr>
            </w:pPr>
          </w:p>
        </w:tc>
        <w:tc>
          <w:tcPr>
            <w:tcW w:w="120" w:type="dxa"/>
            <w:vAlign w:val="bottom"/>
            <w:shd w:val="clear" w:color="auto" w:fill="F5F5F5"/>
          </w:tcPr>
          <w:p>
            <w:pPr>
              <w:spacing w:after="0"/>
              <w:rPr>
                <w:sz w:val="17"/>
                <w:szCs w:val="17"/>
                <w:color w:val="auto"/>
              </w:rPr>
            </w:pPr>
          </w:p>
        </w:tc>
        <w:tc>
          <w:tcPr>
            <w:tcW w:w="320" w:type="dxa"/>
            <w:vAlign w:val="bottom"/>
            <w:shd w:val="clear" w:color="auto" w:fill="F5F5F5"/>
          </w:tcPr>
          <w:p>
            <w:pPr>
              <w:spacing w:after="0"/>
              <w:rPr>
                <w:sz w:val="17"/>
                <w:szCs w:val="17"/>
                <w:color w:val="auto"/>
              </w:rPr>
            </w:pPr>
          </w:p>
        </w:tc>
        <w:tc>
          <w:tcPr>
            <w:tcW w:w="1000" w:type="dxa"/>
            <w:vAlign w:val="bottom"/>
            <w:shd w:val="clear" w:color="auto" w:fill="F5F5F5"/>
          </w:tcPr>
          <w:p>
            <w:pPr>
              <w:spacing w:after="0"/>
              <w:rPr>
                <w:sz w:val="17"/>
                <w:szCs w:val="17"/>
                <w:color w:val="auto"/>
              </w:rPr>
            </w:pPr>
          </w:p>
        </w:tc>
        <w:tc>
          <w:tcPr>
            <w:tcW w:w="100" w:type="dxa"/>
            <w:vAlign w:val="bottom"/>
            <w:shd w:val="clear" w:color="auto" w:fill="F5F5F5"/>
          </w:tcPr>
          <w:p>
            <w:pPr>
              <w:spacing w:after="0"/>
              <w:rPr>
                <w:sz w:val="17"/>
                <w:szCs w:val="17"/>
                <w:color w:val="auto"/>
              </w:rPr>
            </w:pPr>
          </w:p>
        </w:tc>
        <w:tc>
          <w:tcPr>
            <w:tcW w:w="340" w:type="dxa"/>
            <w:vAlign w:val="bottom"/>
            <w:shd w:val="clear" w:color="auto" w:fill="F5F5F5"/>
          </w:tcPr>
          <w:p>
            <w:pPr>
              <w:spacing w:after="0"/>
              <w:rPr>
                <w:sz w:val="17"/>
                <w:szCs w:val="17"/>
                <w:color w:val="auto"/>
              </w:rPr>
            </w:pPr>
          </w:p>
        </w:tc>
        <w:tc>
          <w:tcPr>
            <w:tcW w:w="980" w:type="dxa"/>
            <w:vAlign w:val="bottom"/>
            <w:shd w:val="clear" w:color="auto" w:fill="F5F5F5"/>
          </w:tcPr>
          <w:p>
            <w:pPr>
              <w:spacing w:after="0"/>
              <w:rPr>
                <w:sz w:val="17"/>
                <w:szCs w:val="17"/>
                <w:color w:val="auto"/>
              </w:rPr>
            </w:pPr>
          </w:p>
        </w:tc>
        <w:tc>
          <w:tcPr>
            <w:tcW w:w="2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4220" w:type="dxa"/>
            <w:vAlign w:val="bottom"/>
          </w:tcPr>
          <w:p>
            <w:pPr>
              <w:ind w:left="140"/>
              <w:spacing w:after="0"/>
              <w:rPr>
                <w:sz w:val="20"/>
                <w:szCs w:val="20"/>
                <w:color w:val="auto"/>
              </w:rPr>
            </w:pPr>
            <w:r>
              <w:rPr>
                <w:rFonts w:ascii="Arial" w:cs="Arial" w:eastAsia="Arial" w:hAnsi="Arial"/>
                <w:sz w:val="14"/>
                <w:szCs w:val="14"/>
                <w:color w:val="auto"/>
              </w:rPr>
              <w:t>Total grant date fair value of awards granted</w:t>
            </w:r>
          </w:p>
        </w:tc>
        <w:tc>
          <w:tcPr>
            <w:tcW w:w="2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6,483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6,300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5,600</w:t>
            </w:r>
          </w:p>
        </w:tc>
        <w:tc>
          <w:tcPr>
            <w:tcW w:w="20" w:type="dxa"/>
            <w:vAlign w:val="bottom"/>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4220" w:type="dxa"/>
            <w:vAlign w:val="bottom"/>
            <w:shd w:val="clear" w:color="auto" w:fill="F5F5F5"/>
          </w:tcPr>
          <w:p>
            <w:pPr>
              <w:ind w:left="140"/>
              <w:spacing w:after="0"/>
              <w:rPr>
                <w:sz w:val="20"/>
                <w:szCs w:val="20"/>
                <w:color w:val="auto"/>
              </w:rPr>
            </w:pPr>
            <w:r>
              <w:rPr>
                <w:rFonts w:ascii="Arial" w:cs="Arial" w:eastAsia="Arial" w:hAnsi="Arial"/>
                <w:sz w:val="14"/>
                <w:szCs w:val="14"/>
                <w:color w:val="auto"/>
              </w:rPr>
              <w:t>Total grant date fair value of awards vested</w:t>
            </w:r>
          </w:p>
        </w:tc>
        <w:tc>
          <w:tcPr>
            <w:tcW w:w="2800" w:type="dxa"/>
            <w:vAlign w:val="bottom"/>
            <w:shd w:val="clear" w:color="auto" w:fill="F5F5F5"/>
          </w:tcPr>
          <w:p>
            <w:pPr>
              <w:spacing w:after="0"/>
              <w:rPr>
                <w:sz w:val="17"/>
                <w:szCs w:val="17"/>
                <w:color w:val="auto"/>
              </w:rPr>
            </w:pPr>
          </w:p>
        </w:tc>
        <w:tc>
          <w:tcPr>
            <w:tcW w:w="340" w:type="dxa"/>
            <w:vAlign w:val="bottom"/>
            <w:shd w:val="clear" w:color="auto" w:fill="F5F5F5"/>
          </w:tcPr>
          <w:p>
            <w:pPr>
              <w:spacing w:after="0"/>
              <w:rPr>
                <w:sz w:val="17"/>
                <w:szCs w:val="17"/>
                <w:color w:val="auto"/>
              </w:rPr>
            </w:pPr>
          </w:p>
        </w:tc>
        <w:tc>
          <w:tcPr>
            <w:tcW w:w="9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9,659</w:t>
            </w:r>
          </w:p>
        </w:tc>
        <w:tc>
          <w:tcPr>
            <w:tcW w:w="120" w:type="dxa"/>
            <w:vAlign w:val="bottom"/>
            <w:shd w:val="clear" w:color="auto" w:fill="F5F5F5"/>
          </w:tcPr>
          <w:p>
            <w:pPr>
              <w:spacing w:after="0"/>
              <w:rPr>
                <w:sz w:val="17"/>
                <w:szCs w:val="17"/>
                <w:color w:val="auto"/>
              </w:rPr>
            </w:pPr>
          </w:p>
        </w:tc>
        <w:tc>
          <w:tcPr>
            <w:tcW w:w="320" w:type="dxa"/>
            <w:vAlign w:val="bottom"/>
            <w:shd w:val="clear" w:color="auto" w:fill="F5F5F5"/>
          </w:tcPr>
          <w:p>
            <w:pPr>
              <w:spacing w:after="0"/>
              <w:rPr>
                <w:sz w:val="17"/>
                <w:szCs w:val="17"/>
                <w:color w:val="auto"/>
              </w:rPr>
            </w:pPr>
          </w:p>
        </w:tc>
        <w:tc>
          <w:tcPr>
            <w:tcW w:w="1100" w:type="dxa"/>
            <w:vAlign w:val="bottom"/>
            <w:gridSpan w:val="2"/>
            <w:shd w:val="clear" w:color="auto" w:fill="F5F5F5"/>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F5F5F5"/>
          </w:tcPr>
          <w:p>
            <w:pPr>
              <w:spacing w:after="0"/>
              <w:rPr>
                <w:sz w:val="17"/>
                <w:szCs w:val="17"/>
                <w:color w:val="auto"/>
              </w:rPr>
            </w:pPr>
          </w:p>
        </w:tc>
        <w:tc>
          <w:tcPr>
            <w:tcW w:w="9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4,482</w:t>
            </w:r>
          </w:p>
        </w:tc>
        <w:tc>
          <w:tcPr>
            <w:tcW w:w="2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4220" w:type="dxa"/>
            <w:vAlign w:val="bottom"/>
          </w:tcPr>
          <w:p>
            <w:pPr>
              <w:ind w:left="140"/>
              <w:spacing w:after="0"/>
              <w:rPr>
                <w:sz w:val="20"/>
                <w:szCs w:val="20"/>
                <w:color w:val="auto"/>
              </w:rPr>
            </w:pPr>
            <w:r>
              <w:rPr>
                <w:rFonts w:ascii="Arial" w:cs="Arial" w:eastAsia="Arial" w:hAnsi="Arial"/>
                <w:sz w:val="14"/>
                <w:szCs w:val="14"/>
                <w:color w:val="auto"/>
              </w:rPr>
              <w:t>Total intrinsic value of awards vested</w:t>
            </w:r>
          </w:p>
        </w:tc>
        <w:tc>
          <w:tcPr>
            <w:tcW w:w="2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39,670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6,468</w:t>
            </w:r>
          </w:p>
        </w:tc>
        <w:tc>
          <w:tcPr>
            <w:tcW w:w="20" w:type="dxa"/>
            <w:vAlign w:val="bottom"/>
          </w:tcPr>
          <w:p>
            <w:pPr>
              <w:spacing w:after="0"/>
              <w:rPr>
                <w:sz w:val="17"/>
                <w:szCs w:val="17"/>
                <w:color w:val="auto"/>
              </w:rPr>
            </w:pPr>
          </w:p>
        </w:tc>
      </w:tr>
      <w:tr>
        <w:trPr>
          <w:trHeight w:val="112"/>
        </w:trPr>
        <w:tc>
          <w:tcPr>
            <w:tcW w:w="20" w:type="dxa"/>
            <w:vAlign w:val="bottom"/>
          </w:tcPr>
          <w:p>
            <w:pPr>
              <w:spacing w:after="0"/>
              <w:rPr>
                <w:sz w:val="9"/>
                <w:szCs w:val="9"/>
                <w:color w:val="auto"/>
              </w:rPr>
            </w:pPr>
          </w:p>
        </w:tc>
        <w:tc>
          <w:tcPr>
            <w:tcW w:w="4220" w:type="dxa"/>
            <w:vAlign w:val="bottom"/>
            <w:shd w:val="clear" w:color="auto" w:fill="F5F5F5"/>
          </w:tcPr>
          <w:p>
            <w:pPr>
              <w:spacing w:after="0"/>
              <w:rPr>
                <w:sz w:val="9"/>
                <w:szCs w:val="9"/>
                <w:color w:val="auto"/>
              </w:rPr>
            </w:pPr>
          </w:p>
        </w:tc>
        <w:tc>
          <w:tcPr>
            <w:tcW w:w="2800" w:type="dxa"/>
            <w:vAlign w:val="bottom"/>
            <w:shd w:val="clear" w:color="auto" w:fill="F5F5F5"/>
          </w:tcPr>
          <w:p>
            <w:pPr>
              <w:spacing w:after="0"/>
              <w:rPr>
                <w:sz w:val="9"/>
                <w:szCs w:val="9"/>
                <w:color w:val="auto"/>
              </w:rPr>
            </w:pPr>
          </w:p>
        </w:tc>
        <w:tc>
          <w:tcPr>
            <w:tcW w:w="340" w:type="dxa"/>
            <w:vAlign w:val="bottom"/>
            <w:shd w:val="clear" w:color="auto" w:fill="F5F5F5"/>
          </w:tcPr>
          <w:p>
            <w:pPr>
              <w:spacing w:after="0"/>
              <w:rPr>
                <w:sz w:val="9"/>
                <w:szCs w:val="9"/>
                <w:color w:val="auto"/>
              </w:rPr>
            </w:pPr>
          </w:p>
        </w:tc>
        <w:tc>
          <w:tcPr>
            <w:tcW w:w="980" w:type="dxa"/>
            <w:vAlign w:val="bottom"/>
            <w:shd w:val="clear" w:color="auto" w:fill="F5F5F5"/>
          </w:tcPr>
          <w:p>
            <w:pPr>
              <w:spacing w:after="0"/>
              <w:rPr>
                <w:sz w:val="9"/>
                <w:szCs w:val="9"/>
                <w:color w:val="auto"/>
              </w:rPr>
            </w:pPr>
          </w:p>
        </w:tc>
        <w:tc>
          <w:tcPr>
            <w:tcW w:w="120" w:type="dxa"/>
            <w:vAlign w:val="bottom"/>
            <w:shd w:val="clear" w:color="auto" w:fill="F5F5F5"/>
          </w:tcPr>
          <w:p>
            <w:pPr>
              <w:spacing w:after="0"/>
              <w:rPr>
                <w:sz w:val="9"/>
                <w:szCs w:val="9"/>
                <w:color w:val="auto"/>
              </w:rPr>
            </w:pPr>
          </w:p>
        </w:tc>
        <w:tc>
          <w:tcPr>
            <w:tcW w:w="320" w:type="dxa"/>
            <w:vAlign w:val="bottom"/>
            <w:shd w:val="clear" w:color="auto" w:fill="F5F5F5"/>
          </w:tcPr>
          <w:p>
            <w:pPr>
              <w:spacing w:after="0"/>
              <w:rPr>
                <w:sz w:val="9"/>
                <w:szCs w:val="9"/>
                <w:color w:val="auto"/>
              </w:rPr>
            </w:pPr>
          </w:p>
        </w:tc>
        <w:tc>
          <w:tcPr>
            <w:tcW w:w="1000" w:type="dxa"/>
            <w:vAlign w:val="bottom"/>
            <w:shd w:val="clear" w:color="auto" w:fill="F5F5F5"/>
          </w:tcPr>
          <w:p>
            <w:pPr>
              <w:spacing w:after="0"/>
              <w:rPr>
                <w:sz w:val="9"/>
                <w:szCs w:val="9"/>
                <w:color w:val="auto"/>
              </w:rPr>
            </w:pPr>
          </w:p>
        </w:tc>
        <w:tc>
          <w:tcPr>
            <w:tcW w:w="100" w:type="dxa"/>
            <w:vAlign w:val="bottom"/>
            <w:shd w:val="clear" w:color="auto" w:fill="F5F5F5"/>
          </w:tcPr>
          <w:p>
            <w:pPr>
              <w:spacing w:after="0"/>
              <w:rPr>
                <w:sz w:val="9"/>
                <w:szCs w:val="9"/>
                <w:color w:val="auto"/>
              </w:rPr>
            </w:pPr>
          </w:p>
        </w:tc>
        <w:tc>
          <w:tcPr>
            <w:tcW w:w="340" w:type="dxa"/>
            <w:vAlign w:val="bottom"/>
            <w:shd w:val="clear" w:color="auto" w:fill="F5F5F5"/>
          </w:tcPr>
          <w:p>
            <w:pPr>
              <w:spacing w:after="0"/>
              <w:rPr>
                <w:sz w:val="9"/>
                <w:szCs w:val="9"/>
                <w:color w:val="auto"/>
              </w:rPr>
            </w:pPr>
          </w:p>
        </w:tc>
        <w:tc>
          <w:tcPr>
            <w:tcW w:w="980" w:type="dxa"/>
            <w:vAlign w:val="bottom"/>
            <w:shd w:val="clear" w:color="auto" w:fill="F5F5F5"/>
          </w:tcPr>
          <w:p>
            <w:pPr>
              <w:spacing w:after="0"/>
              <w:rPr>
                <w:sz w:val="9"/>
                <w:szCs w:val="9"/>
                <w:color w:val="auto"/>
              </w:rPr>
            </w:pPr>
          </w:p>
        </w:tc>
        <w:tc>
          <w:tcPr>
            <w:tcW w:w="20" w:type="dxa"/>
            <w:vAlign w:val="bottom"/>
          </w:tcPr>
          <w:p>
            <w:pPr>
              <w:spacing w:after="0"/>
              <w:rPr>
                <w:sz w:val="9"/>
                <w:szCs w:val="9"/>
                <w:color w:val="auto"/>
              </w:rPr>
            </w:pPr>
          </w:p>
        </w:tc>
      </w:tr>
      <w:tr>
        <w:trPr>
          <w:trHeight w:val="201"/>
        </w:trPr>
        <w:tc>
          <w:tcPr>
            <w:tcW w:w="20" w:type="dxa"/>
            <w:vAlign w:val="bottom"/>
          </w:tcPr>
          <w:p>
            <w:pPr>
              <w:spacing w:after="0"/>
              <w:rPr>
                <w:sz w:val="17"/>
                <w:szCs w:val="17"/>
                <w:color w:val="auto"/>
              </w:rPr>
            </w:pPr>
          </w:p>
        </w:tc>
        <w:tc>
          <w:tcPr>
            <w:tcW w:w="4220" w:type="dxa"/>
            <w:vAlign w:val="bottom"/>
          </w:tcPr>
          <w:p>
            <w:pPr>
              <w:ind w:left="20"/>
              <w:spacing w:after="0"/>
              <w:rPr>
                <w:sz w:val="20"/>
                <w:szCs w:val="20"/>
                <w:color w:val="auto"/>
              </w:rPr>
            </w:pPr>
            <w:r>
              <w:rPr>
                <w:rFonts w:ascii="Arial" w:cs="Arial" w:eastAsia="Arial" w:hAnsi="Arial"/>
                <w:sz w:val="14"/>
                <w:szCs w:val="14"/>
                <w:b w:val="1"/>
                <w:bCs w:val="1"/>
                <w:color w:val="auto"/>
              </w:rPr>
              <w:t>Market-based restricted stock units:</w:t>
            </w:r>
          </w:p>
        </w:tc>
        <w:tc>
          <w:tcPr>
            <w:tcW w:w="2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4220" w:type="dxa"/>
            <w:vAlign w:val="bottom"/>
            <w:shd w:val="clear" w:color="auto" w:fill="F5F5F5"/>
          </w:tcPr>
          <w:p>
            <w:pPr>
              <w:ind w:left="140"/>
              <w:spacing w:after="0"/>
              <w:rPr>
                <w:sz w:val="20"/>
                <w:szCs w:val="20"/>
                <w:color w:val="auto"/>
              </w:rPr>
            </w:pPr>
            <w:r>
              <w:rPr>
                <w:rFonts w:ascii="Arial" w:cs="Arial" w:eastAsia="Arial" w:hAnsi="Arial"/>
                <w:sz w:val="14"/>
                <w:szCs w:val="14"/>
                <w:color w:val="auto"/>
              </w:rPr>
              <w:t>Total grant date fair value of awards granted</w:t>
            </w:r>
          </w:p>
        </w:tc>
        <w:tc>
          <w:tcPr>
            <w:tcW w:w="2800" w:type="dxa"/>
            <w:vAlign w:val="bottom"/>
            <w:shd w:val="clear" w:color="auto" w:fill="F5F5F5"/>
          </w:tcPr>
          <w:p>
            <w:pPr>
              <w:spacing w:after="0"/>
              <w:rPr>
                <w:sz w:val="17"/>
                <w:szCs w:val="17"/>
                <w:color w:val="auto"/>
              </w:rPr>
            </w:pPr>
          </w:p>
        </w:tc>
        <w:tc>
          <w:tcPr>
            <w:tcW w:w="340" w:type="dxa"/>
            <w:vAlign w:val="bottom"/>
            <w:shd w:val="clear" w:color="auto" w:fill="F5F5F5"/>
          </w:tcPr>
          <w:p>
            <w:pPr>
              <w:spacing w:after="0"/>
              <w:rPr>
                <w:sz w:val="17"/>
                <w:szCs w:val="17"/>
                <w:color w:val="auto"/>
              </w:rPr>
            </w:pPr>
          </w:p>
        </w:tc>
        <w:tc>
          <w:tcPr>
            <w:tcW w:w="9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4,860</w:t>
            </w:r>
          </w:p>
        </w:tc>
        <w:tc>
          <w:tcPr>
            <w:tcW w:w="120" w:type="dxa"/>
            <w:vAlign w:val="bottom"/>
            <w:shd w:val="clear" w:color="auto" w:fill="F5F5F5"/>
          </w:tcPr>
          <w:p>
            <w:pPr>
              <w:spacing w:after="0"/>
              <w:rPr>
                <w:sz w:val="17"/>
                <w:szCs w:val="17"/>
                <w:color w:val="auto"/>
              </w:rPr>
            </w:pPr>
          </w:p>
        </w:tc>
        <w:tc>
          <w:tcPr>
            <w:tcW w:w="320" w:type="dxa"/>
            <w:vAlign w:val="bottom"/>
            <w:shd w:val="clear" w:color="auto" w:fill="F5F5F5"/>
          </w:tcPr>
          <w:p>
            <w:pPr>
              <w:spacing w:after="0"/>
              <w:rPr>
                <w:sz w:val="17"/>
                <w:szCs w:val="17"/>
                <w:color w:val="auto"/>
              </w:rPr>
            </w:pPr>
          </w:p>
        </w:tc>
        <w:tc>
          <w:tcPr>
            <w:tcW w:w="100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4,576</w:t>
            </w:r>
          </w:p>
        </w:tc>
        <w:tc>
          <w:tcPr>
            <w:tcW w:w="100" w:type="dxa"/>
            <w:vAlign w:val="bottom"/>
            <w:shd w:val="clear" w:color="auto" w:fill="F5F5F5"/>
          </w:tcPr>
          <w:p>
            <w:pPr>
              <w:spacing w:after="0"/>
              <w:rPr>
                <w:sz w:val="17"/>
                <w:szCs w:val="17"/>
                <w:color w:val="auto"/>
              </w:rPr>
            </w:pPr>
          </w:p>
        </w:tc>
        <w:tc>
          <w:tcPr>
            <w:tcW w:w="340" w:type="dxa"/>
            <w:vAlign w:val="bottom"/>
            <w:shd w:val="clear" w:color="auto" w:fill="F5F5F5"/>
          </w:tcPr>
          <w:p>
            <w:pPr>
              <w:spacing w:after="0"/>
              <w:rPr>
                <w:sz w:val="17"/>
                <w:szCs w:val="17"/>
                <w:color w:val="auto"/>
              </w:rPr>
            </w:pPr>
          </w:p>
        </w:tc>
        <w:tc>
          <w:tcPr>
            <w:tcW w:w="9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3,852</w:t>
            </w:r>
          </w:p>
        </w:tc>
        <w:tc>
          <w:tcPr>
            <w:tcW w:w="2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4220" w:type="dxa"/>
            <w:vAlign w:val="bottom"/>
          </w:tcPr>
          <w:p>
            <w:pPr>
              <w:ind w:left="140"/>
              <w:spacing w:after="0"/>
              <w:rPr>
                <w:sz w:val="20"/>
                <w:szCs w:val="20"/>
                <w:color w:val="auto"/>
              </w:rPr>
            </w:pPr>
            <w:r>
              <w:rPr>
                <w:rFonts w:ascii="Arial" w:cs="Arial" w:eastAsia="Arial" w:hAnsi="Arial"/>
                <w:sz w:val="14"/>
                <w:szCs w:val="14"/>
                <w:color w:val="auto"/>
              </w:rPr>
              <w:t>Total grant date fair value of awards vested</w:t>
            </w:r>
          </w:p>
        </w:tc>
        <w:tc>
          <w:tcPr>
            <w:tcW w:w="2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7,574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16,040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4,105</w:t>
            </w:r>
          </w:p>
        </w:tc>
        <w:tc>
          <w:tcPr>
            <w:tcW w:w="20" w:type="dxa"/>
            <w:vAlign w:val="bottom"/>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4220" w:type="dxa"/>
            <w:vAlign w:val="bottom"/>
            <w:shd w:val="clear" w:color="auto" w:fill="F5F5F5"/>
          </w:tcPr>
          <w:p>
            <w:pPr>
              <w:ind w:left="140"/>
              <w:spacing w:after="0"/>
              <w:rPr>
                <w:sz w:val="20"/>
                <w:szCs w:val="20"/>
                <w:color w:val="auto"/>
              </w:rPr>
            </w:pPr>
            <w:r>
              <w:rPr>
                <w:rFonts w:ascii="Arial" w:cs="Arial" w:eastAsia="Arial" w:hAnsi="Arial"/>
                <w:sz w:val="14"/>
                <w:szCs w:val="14"/>
                <w:color w:val="auto"/>
              </w:rPr>
              <w:t>Total intrinsic value of awards vested</w:t>
            </w:r>
          </w:p>
        </w:tc>
        <w:tc>
          <w:tcPr>
            <w:tcW w:w="2800" w:type="dxa"/>
            <w:vAlign w:val="bottom"/>
            <w:shd w:val="clear" w:color="auto" w:fill="F5F5F5"/>
          </w:tcPr>
          <w:p>
            <w:pPr>
              <w:spacing w:after="0"/>
              <w:rPr>
                <w:sz w:val="17"/>
                <w:szCs w:val="17"/>
                <w:color w:val="auto"/>
              </w:rPr>
            </w:pPr>
          </w:p>
        </w:tc>
        <w:tc>
          <w:tcPr>
            <w:tcW w:w="340" w:type="dxa"/>
            <w:vAlign w:val="bottom"/>
            <w:shd w:val="clear" w:color="auto" w:fill="F5F5F5"/>
          </w:tcPr>
          <w:p>
            <w:pPr>
              <w:spacing w:after="0"/>
              <w:rPr>
                <w:sz w:val="17"/>
                <w:szCs w:val="17"/>
                <w:color w:val="auto"/>
              </w:rPr>
            </w:pPr>
          </w:p>
        </w:tc>
        <w:tc>
          <w:tcPr>
            <w:tcW w:w="9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19,836</w:t>
            </w:r>
          </w:p>
        </w:tc>
        <w:tc>
          <w:tcPr>
            <w:tcW w:w="120" w:type="dxa"/>
            <w:vAlign w:val="bottom"/>
            <w:shd w:val="clear" w:color="auto" w:fill="F5F5F5"/>
          </w:tcPr>
          <w:p>
            <w:pPr>
              <w:spacing w:after="0"/>
              <w:rPr>
                <w:sz w:val="17"/>
                <w:szCs w:val="17"/>
                <w:color w:val="auto"/>
              </w:rPr>
            </w:pPr>
          </w:p>
        </w:tc>
        <w:tc>
          <w:tcPr>
            <w:tcW w:w="320" w:type="dxa"/>
            <w:vAlign w:val="bottom"/>
            <w:shd w:val="clear" w:color="auto" w:fill="F5F5F5"/>
          </w:tcPr>
          <w:p>
            <w:pPr>
              <w:spacing w:after="0"/>
              <w:rPr>
                <w:sz w:val="17"/>
                <w:szCs w:val="17"/>
                <w:color w:val="auto"/>
              </w:rPr>
            </w:pPr>
          </w:p>
        </w:tc>
        <w:tc>
          <w:tcPr>
            <w:tcW w:w="100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24,890</w:t>
            </w:r>
          </w:p>
        </w:tc>
        <w:tc>
          <w:tcPr>
            <w:tcW w:w="100" w:type="dxa"/>
            <w:vAlign w:val="bottom"/>
            <w:shd w:val="clear" w:color="auto" w:fill="F5F5F5"/>
          </w:tcPr>
          <w:p>
            <w:pPr>
              <w:spacing w:after="0"/>
              <w:rPr>
                <w:sz w:val="17"/>
                <w:szCs w:val="17"/>
                <w:color w:val="auto"/>
              </w:rPr>
            </w:pPr>
          </w:p>
        </w:tc>
        <w:tc>
          <w:tcPr>
            <w:tcW w:w="340" w:type="dxa"/>
            <w:vAlign w:val="bottom"/>
            <w:shd w:val="clear" w:color="auto" w:fill="F5F5F5"/>
          </w:tcPr>
          <w:p>
            <w:pPr>
              <w:spacing w:after="0"/>
              <w:rPr>
                <w:sz w:val="17"/>
                <w:szCs w:val="17"/>
                <w:color w:val="auto"/>
              </w:rPr>
            </w:pPr>
          </w:p>
        </w:tc>
        <w:tc>
          <w:tcPr>
            <w:tcW w:w="9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3,768</w:t>
            </w:r>
          </w:p>
        </w:tc>
        <w:tc>
          <w:tcPr>
            <w:tcW w:w="20" w:type="dxa"/>
            <w:vAlign w:val="bottom"/>
          </w:tcPr>
          <w:p>
            <w:pPr>
              <w:spacing w:after="0"/>
              <w:rPr>
                <w:sz w:val="17"/>
                <w:szCs w:val="17"/>
                <w:color w:val="auto"/>
              </w:rPr>
            </w:pPr>
          </w:p>
        </w:tc>
      </w:tr>
      <w:tr>
        <w:trPr>
          <w:trHeight w:val="788"/>
        </w:trPr>
        <w:tc>
          <w:tcPr>
            <w:tcW w:w="20" w:type="dxa"/>
            <w:vAlign w:val="bottom"/>
          </w:tcPr>
          <w:p>
            <w:pPr>
              <w:spacing w:after="0"/>
              <w:rPr>
                <w:sz w:val="24"/>
                <w:szCs w:val="24"/>
                <w:color w:val="auto"/>
              </w:rPr>
            </w:pPr>
          </w:p>
        </w:tc>
        <w:tc>
          <w:tcPr>
            <w:tcW w:w="4220" w:type="dxa"/>
            <w:vAlign w:val="bottom"/>
          </w:tcPr>
          <w:p>
            <w:pPr>
              <w:ind w:left="700"/>
              <w:spacing w:after="0"/>
              <w:rPr>
                <w:sz w:val="20"/>
                <w:szCs w:val="20"/>
                <w:color w:val="auto"/>
              </w:rPr>
            </w:pPr>
            <w:r>
              <w:rPr>
                <w:rFonts w:ascii="Arial" w:cs="Arial" w:eastAsia="Arial" w:hAnsi="Arial"/>
                <w:sz w:val="14"/>
                <w:szCs w:val="14"/>
                <w:color w:val="auto"/>
              </w:rPr>
              <w:t>Abercrombie &amp; Fitch Co.</w:t>
            </w:r>
          </w:p>
        </w:tc>
        <w:tc>
          <w:tcPr>
            <w:tcW w:w="2800" w:type="dxa"/>
            <w:vAlign w:val="bottom"/>
          </w:tcPr>
          <w:p>
            <w:pPr>
              <w:jc w:val="right"/>
              <w:ind w:right="1268"/>
              <w:spacing w:after="0"/>
              <w:rPr>
                <w:sz w:val="20"/>
                <w:szCs w:val="20"/>
                <w:color w:val="auto"/>
              </w:rPr>
            </w:pPr>
            <w:r>
              <w:rPr>
                <w:rFonts w:ascii="Arial" w:cs="Arial" w:eastAsia="Arial" w:hAnsi="Arial"/>
                <w:sz w:val="14"/>
                <w:szCs w:val="14"/>
                <w:color w:val="auto"/>
              </w:rPr>
              <w:t>72</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40" w:type="dxa"/>
            <w:vAlign w:val="bottom"/>
            <w:gridSpan w:val="5"/>
          </w:tcPr>
          <w:p>
            <w:pPr>
              <w:ind w:left="680"/>
              <w:spacing w:after="0"/>
              <w:rPr>
                <w:sz w:val="20"/>
                <w:szCs w:val="20"/>
                <w:color w:val="auto"/>
              </w:rPr>
            </w:pPr>
            <w:r>
              <w:rPr>
                <w:rFonts w:ascii="Arial" w:cs="Arial" w:eastAsia="Arial" w:hAnsi="Arial"/>
                <w:sz w:val="14"/>
                <w:szCs w:val="14"/>
                <w:color w:val="auto"/>
              </w:rPr>
              <w:t>2024 Form 10-K</w:t>
            </w:r>
          </w:p>
        </w:tc>
      </w:tr>
      <w:tr>
        <w:trPr>
          <w:trHeight w:val="231"/>
        </w:trPr>
        <w:tc>
          <w:tcPr>
            <w:tcW w:w="20" w:type="dxa"/>
            <w:vAlign w:val="bottom"/>
            <w:tcBorders>
              <w:bottom w:val="single" w:sz="8" w:color="9A9A9A"/>
            </w:tcBorders>
          </w:tcPr>
          <w:p>
            <w:pPr>
              <w:spacing w:after="0"/>
              <w:rPr>
                <w:sz w:val="20"/>
                <w:szCs w:val="20"/>
                <w:color w:val="auto"/>
              </w:rPr>
            </w:pPr>
          </w:p>
        </w:tc>
        <w:tc>
          <w:tcPr>
            <w:tcW w:w="4220" w:type="dxa"/>
            <w:vAlign w:val="bottom"/>
            <w:tcBorders>
              <w:bottom w:val="single" w:sz="8" w:color="9A9A9A"/>
            </w:tcBorders>
          </w:tcPr>
          <w:p>
            <w:pPr>
              <w:spacing w:after="0"/>
              <w:rPr>
                <w:sz w:val="20"/>
                <w:szCs w:val="20"/>
                <w:color w:val="auto"/>
              </w:rPr>
            </w:pPr>
          </w:p>
        </w:tc>
        <w:tc>
          <w:tcPr>
            <w:tcW w:w="2800" w:type="dxa"/>
            <w:vAlign w:val="bottom"/>
            <w:tcBorders>
              <w:bottom w:val="single" w:sz="8" w:color="9A9A9A"/>
            </w:tcBorders>
          </w:tcPr>
          <w:p>
            <w:pPr>
              <w:spacing w:after="0"/>
              <w:rPr>
                <w:sz w:val="20"/>
                <w:szCs w:val="20"/>
                <w:color w:val="auto"/>
              </w:rPr>
            </w:pPr>
          </w:p>
        </w:tc>
        <w:tc>
          <w:tcPr>
            <w:tcW w:w="34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320" w:type="dxa"/>
            <w:vAlign w:val="bottom"/>
            <w:tcBorders>
              <w:bottom w:val="single" w:sz="8" w:color="9A9A9A"/>
            </w:tcBorders>
          </w:tcPr>
          <w:p>
            <w:pPr>
              <w:spacing w:after="0"/>
              <w:rPr>
                <w:sz w:val="20"/>
                <w:szCs w:val="20"/>
                <w:color w:val="auto"/>
              </w:rPr>
            </w:pPr>
          </w:p>
        </w:tc>
        <w:tc>
          <w:tcPr>
            <w:tcW w:w="100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34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6"/>
          <w:szCs w:val="16"/>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Abercrombie &amp; Fitch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weighted-average assumptions used for market-based restricted stock units in the Monte Carlo simulation during Fiscal 2024, Fiscal 2023 and Fiscal 2022 were as follows:</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6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Fiscal 2024</w:t>
            </w:r>
          </w:p>
        </w:tc>
        <w:tc>
          <w:tcPr>
            <w:tcW w:w="36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Fiscal 2023</w:t>
            </w: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Fiscal 2022</w:t>
            </w:r>
          </w:p>
        </w:tc>
      </w:tr>
      <w:tr>
        <w:trPr>
          <w:trHeight w:val="200"/>
        </w:trPr>
        <w:tc>
          <w:tcPr>
            <w:tcW w:w="6760" w:type="dxa"/>
            <w:vAlign w:val="bottom"/>
            <w:tcBorders>
              <w:top w:val="single" w:sz="8" w:color="F5F5F5"/>
            </w:tcBorders>
            <w:shd w:val="clear" w:color="auto" w:fill="F5F5F5"/>
          </w:tcPr>
          <w:p>
            <w:pPr>
              <w:ind w:left="20"/>
              <w:spacing w:after="0"/>
              <w:rPr>
                <w:sz w:val="20"/>
                <w:szCs w:val="20"/>
                <w:color w:val="auto"/>
              </w:rPr>
            </w:pPr>
            <w:r>
              <w:rPr>
                <w:rFonts w:ascii="Arial" w:cs="Arial" w:eastAsia="Arial" w:hAnsi="Arial"/>
                <w:sz w:val="14"/>
                <w:szCs w:val="14"/>
                <w:color w:val="auto"/>
              </w:rPr>
              <w:t>Grant date market price</w:t>
            </w:r>
          </w:p>
        </w:tc>
        <w:tc>
          <w:tcPr>
            <w:tcW w:w="380" w:type="dxa"/>
            <w:vAlign w:val="bottom"/>
            <w:tcBorders>
              <w:top w:val="single" w:sz="8" w:color="auto"/>
            </w:tcBorders>
            <w:shd w:val="clear" w:color="auto" w:fill="F5F5F5"/>
          </w:tcPr>
          <w:p>
            <w:pPr>
              <w:jc w:val="right"/>
              <w:ind w:right="20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F5F5F5"/>
          </w:tcPr>
          <w:p>
            <w:pPr>
              <w:jc w:val="right"/>
              <w:ind w:right="108"/>
              <w:spacing w:after="0"/>
              <w:rPr>
                <w:sz w:val="20"/>
                <w:szCs w:val="20"/>
                <w:color w:val="auto"/>
              </w:rPr>
            </w:pPr>
            <w:r>
              <w:rPr>
                <w:rFonts w:ascii="Arial" w:cs="Arial" w:eastAsia="Arial" w:hAnsi="Arial"/>
                <w:sz w:val="14"/>
                <w:szCs w:val="14"/>
                <w:color w:val="auto"/>
              </w:rPr>
              <w:t>120.56</w:t>
            </w:r>
          </w:p>
        </w:tc>
        <w:tc>
          <w:tcPr>
            <w:tcW w:w="120" w:type="dxa"/>
            <w:vAlign w:val="bottom"/>
            <w:tcBorders>
              <w:top w:val="single" w:sz="8" w:color="F5F5F5"/>
            </w:tcBorders>
            <w:shd w:val="clear" w:color="auto" w:fill="F5F5F5"/>
          </w:tcPr>
          <w:p>
            <w:pPr>
              <w:spacing w:after="0"/>
              <w:rPr>
                <w:sz w:val="17"/>
                <w:szCs w:val="17"/>
                <w:color w:val="auto"/>
              </w:rPr>
            </w:pPr>
          </w:p>
        </w:tc>
        <w:tc>
          <w:tcPr>
            <w:tcW w:w="360" w:type="dxa"/>
            <w:vAlign w:val="bottom"/>
            <w:tcBorders>
              <w:top w:val="single" w:sz="8" w:color="auto"/>
            </w:tcBorders>
            <w:shd w:val="clear" w:color="auto" w:fill="F5F5F5"/>
          </w:tcPr>
          <w:p>
            <w:pPr>
              <w:jc w:val="right"/>
              <w:ind w:right="20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F5F5F5"/>
          </w:tcPr>
          <w:p>
            <w:pPr>
              <w:jc w:val="right"/>
              <w:ind w:right="128"/>
              <w:spacing w:after="0"/>
              <w:rPr>
                <w:sz w:val="20"/>
                <w:szCs w:val="20"/>
                <w:color w:val="auto"/>
              </w:rPr>
            </w:pPr>
            <w:r>
              <w:rPr>
                <w:rFonts w:ascii="Arial" w:cs="Arial" w:eastAsia="Arial" w:hAnsi="Arial"/>
                <w:sz w:val="14"/>
                <w:szCs w:val="14"/>
                <w:color w:val="auto"/>
              </w:rPr>
              <w:t>28.36</w:t>
            </w:r>
          </w:p>
        </w:tc>
        <w:tc>
          <w:tcPr>
            <w:tcW w:w="100" w:type="dxa"/>
            <w:vAlign w:val="bottom"/>
            <w:tcBorders>
              <w:top w:val="single" w:sz="8" w:color="F5F5F5"/>
            </w:tcBorders>
            <w:shd w:val="clear" w:color="auto" w:fill="F5F5F5"/>
          </w:tcPr>
          <w:p>
            <w:pPr>
              <w:spacing w:after="0"/>
              <w:rPr>
                <w:sz w:val="17"/>
                <w:szCs w:val="17"/>
                <w:color w:val="auto"/>
              </w:rPr>
            </w:pPr>
          </w:p>
        </w:tc>
        <w:tc>
          <w:tcPr>
            <w:tcW w:w="380" w:type="dxa"/>
            <w:vAlign w:val="bottom"/>
            <w:tcBorders>
              <w:top w:val="single" w:sz="8" w:color="auto"/>
            </w:tcBorders>
            <w:shd w:val="clear" w:color="auto" w:fill="F5F5F5"/>
          </w:tcPr>
          <w:p>
            <w:pPr>
              <w:jc w:val="right"/>
              <w:ind w:right="20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F5F5F5"/>
          </w:tcPr>
          <w:p>
            <w:pPr>
              <w:jc w:val="right"/>
              <w:ind w:right="108"/>
              <w:spacing w:after="0"/>
              <w:rPr>
                <w:sz w:val="20"/>
                <w:szCs w:val="20"/>
                <w:color w:val="auto"/>
              </w:rPr>
            </w:pPr>
            <w:r>
              <w:rPr>
                <w:rFonts w:ascii="Arial" w:cs="Arial" w:eastAsia="Arial" w:hAnsi="Arial"/>
                <w:sz w:val="14"/>
                <w:szCs w:val="14"/>
                <w:color w:val="auto"/>
              </w:rPr>
              <w:t>30.24</w:t>
            </w:r>
          </w:p>
        </w:tc>
      </w:tr>
      <w:tr>
        <w:trPr>
          <w:trHeight w:val="198"/>
        </w:trPr>
        <w:tc>
          <w:tcPr>
            <w:tcW w:w="6760" w:type="dxa"/>
            <w:vAlign w:val="bottom"/>
          </w:tcPr>
          <w:p>
            <w:pPr>
              <w:ind w:left="20"/>
              <w:spacing w:after="0"/>
              <w:rPr>
                <w:sz w:val="20"/>
                <w:szCs w:val="20"/>
                <w:color w:val="auto"/>
              </w:rPr>
            </w:pPr>
            <w:r>
              <w:rPr>
                <w:rFonts w:ascii="Arial" w:cs="Arial" w:eastAsia="Arial" w:hAnsi="Arial"/>
                <w:sz w:val="14"/>
                <w:szCs w:val="14"/>
                <w:color w:val="auto"/>
              </w:rPr>
              <w:t>Fair value</w:t>
            </w:r>
          </w:p>
        </w:tc>
        <w:tc>
          <w:tcPr>
            <w:tcW w:w="380" w:type="dxa"/>
            <w:vAlign w:val="bottom"/>
          </w:tcPr>
          <w:p>
            <w:pPr>
              <w:spacing w:after="0"/>
              <w:rPr>
                <w:sz w:val="17"/>
                <w:szCs w:val="17"/>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180.71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41.20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41.60</w:t>
            </w:r>
          </w:p>
        </w:tc>
      </w:tr>
      <w:tr>
        <w:trPr>
          <w:trHeight w:val="207"/>
        </w:trPr>
        <w:tc>
          <w:tcPr>
            <w:tcW w:w="6760" w:type="dxa"/>
            <w:vAlign w:val="bottom"/>
            <w:shd w:val="clear" w:color="auto" w:fill="F5F5F5"/>
          </w:tcPr>
          <w:p>
            <w:pPr>
              <w:ind w:left="20"/>
              <w:spacing w:after="0"/>
              <w:rPr>
                <w:sz w:val="20"/>
                <w:szCs w:val="20"/>
                <w:color w:val="auto"/>
              </w:rPr>
            </w:pPr>
            <w:r>
              <w:rPr>
                <w:rFonts w:ascii="Arial" w:cs="Arial" w:eastAsia="Arial" w:hAnsi="Arial"/>
                <w:sz w:val="14"/>
                <w:szCs w:val="14"/>
                <w:color w:val="auto"/>
              </w:rPr>
              <w:t>Assumptions:</w:t>
            </w:r>
          </w:p>
        </w:tc>
        <w:tc>
          <w:tcPr>
            <w:tcW w:w="380" w:type="dxa"/>
            <w:vAlign w:val="bottom"/>
            <w:shd w:val="clear" w:color="auto" w:fill="F5F5F5"/>
          </w:tcPr>
          <w:p>
            <w:pPr>
              <w:spacing w:after="0"/>
              <w:rPr>
                <w:sz w:val="17"/>
                <w:szCs w:val="17"/>
                <w:color w:val="auto"/>
              </w:rPr>
            </w:pPr>
          </w:p>
        </w:tc>
        <w:tc>
          <w:tcPr>
            <w:tcW w:w="1040" w:type="dxa"/>
            <w:vAlign w:val="bottom"/>
            <w:shd w:val="clear" w:color="auto" w:fill="F5F5F5"/>
          </w:tcPr>
          <w:p>
            <w:pPr>
              <w:spacing w:after="0"/>
              <w:rPr>
                <w:sz w:val="17"/>
                <w:szCs w:val="17"/>
                <w:color w:val="auto"/>
              </w:rPr>
            </w:pPr>
          </w:p>
        </w:tc>
        <w:tc>
          <w:tcPr>
            <w:tcW w:w="120" w:type="dxa"/>
            <w:vAlign w:val="bottom"/>
            <w:shd w:val="clear" w:color="auto" w:fill="F5F5F5"/>
          </w:tcPr>
          <w:p>
            <w:pPr>
              <w:spacing w:after="0"/>
              <w:rPr>
                <w:sz w:val="17"/>
                <w:szCs w:val="17"/>
                <w:color w:val="auto"/>
              </w:rPr>
            </w:pPr>
          </w:p>
        </w:tc>
        <w:tc>
          <w:tcPr>
            <w:tcW w:w="360" w:type="dxa"/>
            <w:vAlign w:val="bottom"/>
            <w:shd w:val="clear" w:color="auto" w:fill="F5F5F5"/>
          </w:tcPr>
          <w:p>
            <w:pPr>
              <w:spacing w:after="0"/>
              <w:rPr>
                <w:sz w:val="17"/>
                <w:szCs w:val="17"/>
                <w:color w:val="auto"/>
              </w:rPr>
            </w:pPr>
          </w:p>
        </w:tc>
        <w:tc>
          <w:tcPr>
            <w:tcW w:w="1040" w:type="dxa"/>
            <w:vAlign w:val="bottom"/>
            <w:shd w:val="clear" w:color="auto" w:fill="F5F5F5"/>
          </w:tcPr>
          <w:p>
            <w:pPr>
              <w:spacing w:after="0"/>
              <w:rPr>
                <w:sz w:val="17"/>
                <w:szCs w:val="17"/>
                <w:color w:val="auto"/>
              </w:rPr>
            </w:pPr>
          </w:p>
        </w:tc>
        <w:tc>
          <w:tcPr>
            <w:tcW w:w="100" w:type="dxa"/>
            <w:vAlign w:val="bottom"/>
            <w:shd w:val="clear" w:color="auto" w:fill="F5F5F5"/>
          </w:tcPr>
          <w:p>
            <w:pPr>
              <w:spacing w:after="0"/>
              <w:rPr>
                <w:sz w:val="17"/>
                <w:szCs w:val="17"/>
                <w:color w:val="auto"/>
              </w:rPr>
            </w:pPr>
          </w:p>
        </w:tc>
        <w:tc>
          <w:tcPr>
            <w:tcW w:w="380" w:type="dxa"/>
            <w:vAlign w:val="bottom"/>
            <w:shd w:val="clear" w:color="auto" w:fill="F5F5F5"/>
          </w:tcPr>
          <w:p>
            <w:pPr>
              <w:spacing w:after="0"/>
              <w:rPr>
                <w:sz w:val="17"/>
                <w:szCs w:val="17"/>
                <w:color w:val="auto"/>
              </w:rPr>
            </w:pPr>
          </w:p>
        </w:tc>
        <w:tc>
          <w:tcPr>
            <w:tcW w:w="1020" w:type="dxa"/>
            <w:vAlign w:val="bottom"/>
            <w:shd w:val="clear" w:color="auto" w:fill="F5F5F5"/>
          </w:tcPr>
          <w:p>
            <w:pPr>
              <w:spacing w:after="0"/>
              <w:rPr>
                <w:sz w:val="17"/>
                <w:szCs w:val="17"/>
                <w:color w:val="auto"/>
              </w:rPr>
            </w:pPr>
          </w:p>
        </w:tc>
      </w:tr>
      <w:tr>
        <w:trPr>
          <w:trHeight w:val="198"/>
        </w:trPr>
        <w:tc>
          <w:tcPr>
            <w:tcW w:w="6760" w:type="dxa"/>
            <w:vAlign w:val="bottom"/>
          </w:tcPr>
          <w:p>
            <w:pPr>
              <w:ind w:left="220"/>
              <w:spacing w:after="0"/>
              <w:rPr>
                <w:sz w:val="20"/>
                <w:szCs w:val="20"/>
                <w:color w:val="auto"/>
              </w:rPr>
            </w:pPr>
            <w:r>
              <w:rPr>
                <w:rFonts w:ascii="Arial" w:cs="Arial" w:eastAsia="Arial" w:hAnsi="Arial"/>
                <w:sz w:val="14"/>
                <w:szCs w:val="14"/>
                <w:color w:val="auto"/>
              </w:rPr>
              <w:t>Price volatility</w:t>
            </w: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59 %</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63 %</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66 %</w:t>
            </w:r>
          </w:p>
        </w:tc>
      </w:tr>
      <w:tr>
        <w:trPr>
          <w:trHeight w:val="207"/>
        </w:trPr>
        <w:tc>
          <w:tcPr>
            <w:tcW w:w="6760" w:type="dxa"/>
            <w:vAlign w:val="bottom"/>
            <w:shd w:val="clear" w:color="auto" w:fill="F5F5F5"/>
          </w:tcPr>
          <w:p>
            <w:pPr>
              <w:ind w:left="220"/>
              <w:spacing w:after="0"/>
              <w:rPr>
                <w:sz w:val="20"/>
                <w:szCs w:val="20"/>
                <w:color w:val="auto"/>
              </w:rPr>
            </w:pPr>
            <w:r>
              <w:rPr>
                <w:rFonts w:ascii="Arial" w:cs="Arial" w:eastAsia="Arial" w:hAnsi="Arial"/>
                <w:sz w:val="14"/>
                <w:szCs w:val="14"/>
                <w:color w:val="auto"/>
              </w:rPr>
              <w:t>Expected term (years)</w:t>
            </w:r>
          </w:p>
        </w:tc>
        <w:tc>
          <w:tcPr>
            <w:tcW w:w="380" w:type="dxa"/>
            <w:vAlign w:val="bottom"/>
            <w:shd w:val="clear" w:color="auto" w:fill="F5F5F5"/>
          </w:tcPr>
          <w:p>
            <w:pPr>
              <w:spacing w:after="0"/>
              <w:rPr>
                <w:sz w:val="17"/>
                <w:szCs w:val="17"/>
                <w:color w:val="auto"/>
              </w:rPr>
            </w:pPr>
          </w:p>
        </w:tc>
        <w:tc>
          <w:tcPr>
            <w:tcW w:w="1040" w:type="dxa"/>
            <w:vAlign w:val="bottom"/>
            <w:shd w:val="clear" w:color="auto" w:fill="F5F5F5"/>
          </w:tcPr>
          <w:p>
            <w:pPr>
              <w:jc w:val="right"/>
              <w:spacing w:after="0"/>
              <w:rPr>
                <w:sz w:val="20"/>
                <w:szCs w:val="20"/>
                <w:color w:val="auto"/>
              </w:rPr>
            </w:pPr>
            <w:r>
              <w:rPr>
                <w:rFonts w:ascii="Arial" w:cs="Arial" w:eastAsia="Arial" w:hAnsi="Arial"/>
                <w:sz w:val="14"/>
                <w:szCs w:val="14"/>
                <w:color w:val="auto"/>
              </w:rPr>
              <w:t>2.9</w:t>
            </w:r>
          </w:p>
        </w:tc>
        <w:tc>
          <w:tcPr>
            <w:tcW w:w="120" w:type="dxa"/>
            <w:vAlign w:val="bottom"/>
            <w:shd w:val="clear" w:color="auto" w:fill="F5F5F5"/>
          </w:tcPr>
          <w:p>
            <w:pPr>
              <w:spacing w:after="0"/>
              <w:rPr>
                <w:sz w:val="17"/>
                <w:szCs w:val="17"/>
                <w:color w:val="auto"/>
              </w:rPr>
            </w:pPr>
          </w:p>
        </w:tc>
        <w:tc>
          <w:tcPr>
            <w:tcW w:w="360" w:type="dxa"/>
            <w:vAlign w:val="bottom"/>
            <w:shd w:val="clear" w:color="auto" w:fill="F5F5F5"/>
          </w:tcPr>
          <w:p>
            <w:pPr>
              <w:spacing w:after="0"/>
              <w:rPr>
                <w:sz w:val="17"/>
                <w:szCs w:val="17"/>
                <w:color w:val="auto"/>
              </w:rPr>
            </w:pPr>
          </w:p>
        </w:tc>
        <w:tc>
          <w:tcPr>
            <w:tcW w:w="1040" w:type="dxa"/>
            <w:vAlign w:val="bottom"/>
            <w:shd w:val="clear" w:color="auto" w:fill="F5F5F5"/>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F5F5F5"/>
          </w:tcPr>
          <w:p>
            <w:pPr>
              <w:spacing w:after="0"/>
              <w:rPr>
                <w:sz w:val="17"/>
                <w:szCs w:val="17"/>
                <w:color w:val="auto"/>
              </w:rPr>
            </w:pPr>
          </w:p>
        </w:tc>
        <w:tc>
          <w:tcPr>
            <w:tcW w:w="380" w:type="dxa"/>
            <w:vAlign w:val="bottom"/>
            <w:shd w:val="clear" w:color="auto" w:fill="F5F5F5"/>
          </w:tcPr>
          <w:p>
            <w:pPr>
              <w:spacing w:after="0"/>
              <w:rPr>
                <w:sz w:val="17"/>
                <w:szCs w:val="17"/>
                <w:color w:val="auto"/>
              </w:rPr>
            </w:pPr>
          </w:p>
        </w:tc>
        <w:tc>
          <w:tcPr>
            <w:tcW w:w="1020" w:type="dxa"/>
            <w:vAlign w:val="bottom"/>
            <w:shd w:val="clear" w:color="auto" w:fill="F5F5F5"/>
          </w:tcPr>
          <w:p>
            <w:pPr>
              <w:jc w:val="right"/>
              <w:spacing w:after="0"/>
              <w:rPr>
                <w:sz w:val="20"/>
                <w:szCs w:val="20"/>
                <w:color w:val="auto"/>
              </w:rPr>
            </w:pPr>
            <w:r>
              <w:rPr>
                <w:rFonts w:ascii="Arial" w:cs="Arial" w:eastAsia="Arial" w:hAnsi="Arial"/>
                <w:sz w:val="14"/>
                <w:szCs w:val="14"/>
                <w:color w:val="auto"/>
              </w:rPr>
              <w:t>2.8</w:t>
            </w:r>
          </w:p>
        </w:tc>
      </w:tr>
      <w:tr>
        <w:trPr>
          <w:trHeight w:val="198"/>
        </w:trPr>
        <w:tc>
          <w:tcPr>
            <w:tcW w:w="6760" w:type="dxa"/>
            <w:vAlign w:val="bottom"/>
          </w:tcPr>
          <w:p>
            <w:pPr>
              <w:ind w:left="220"/>
              <w:spacing w:after="0"/>
              <w:rPr>
                <w:sz w:val="20"/>
                <w:szCs w:val="20"/>
                <w:color w:val="auto"/>
              </w:rPr>
            </w:pPr>
            <w:r>
              <w:rPr>
                <w:rFonts w:ascii="Arial" w:cs="Arial" w:eastAsia="Arial" w:hAnsi="Arial"/>
                <w:sz w:val="14"/>
                <w:szCs w:val="14"/>
                <w:color w:val="auto"/>
              </w:rPr>
              <w:t>Risk-free interest rate</w:t>
            </w: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4.3 %</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4.6 %</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2.5 %</w:t>
            </w:r>
          </w:p>
        </w:tc>
      </w:tr>
      <w:tr>
        <w:trPr>
          <w:trHeight w:val="207"/>
        </w:trPr>
        <w:tc>
          <w:tcPr>
            <w:tcW w:w="6760" w:type="dxa"/>
            <w:vAlign w:val="bottom"/>
            <w:shd w:val="clear" w:color="auto" w:fill="F5F5F5"/>
          </w:tcPr>
          <w:p>
            <w:pPr>
              <w:ind w:left="220"/>
              <w:spacing w:after="0"/>
              <w:rPr>
                <w:sz w:val="20"/>
                <w:szCs w:val="20"/>
                <w:color w:val="auto"/>
              </w:rPr>
            </w:pPr>
            <w:r>
              <w:rPr>
                <w:rFonts w:ascii="Arial" w:cs="Arial" w:eastAsia="Arial" w:hAnsi="Arial"/>
                <w:sz w:val="14"/>
                <w:szCs w:val="14"/>
                <w:color w:val="auto"/>
              </w:rPr>
              <w:t>Dividend yield</w:t>
            </w:r>
          </w:p>
        </w:tc>
        <w:tc>
          <w:tcPr>
            <w:tcW w:w="380" w:type="dxa"/>
            <w:vAlign w:val="bottom"/>
            <w:shd w:val="clear" w:color="auto" w:fill="F5F5F5"/>
          </w:tcPr>
          <w:p>
            <w:pPr>
              <w:spacing w:after="0"/>
              <w:rPr>
                <w:sz w:val="17"/>
                <w:szCs w:val="17"/>
                <w:color w:val="auto"/>
              </w:rPr>
            </w:pPr>
          </w:p>
        </w:tc>
        <w:tc>
          <w:tcPr>
            <w:tcW w:w="1160" w:type="dxa"/>
            <w:vAlign w:val="bottom"/>
            <w:gridSpan w:val="2"/>
            <w:shd w:val="clear" w:color="auto" w:fill="F5F5F5"/>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F5F5F5"/>
          </w:tcPr>
          <w:p>
            <w:pPr>
              <w:spacing w:after="0"/>
              <w:rPr>
                <w:sz w:val="17"/>
                <w:szCs w:val="17"/>
                <w:color w:val="auto"/>
              </w:rPr>
            </w:pPr>
          </w:p>
        </w:tc>
        <w:tc>
          <w:tcPr>
            <w:tcW w:w="1140" w:type="dxa"/>
            <w:vAlign w:val="bottom"/>
            <w:gridSpan w:val="2"/>
            <w:shd w:val="clear" w:color="auto" w:fill="F5F5F5"/>
          </w:tcPr>
          <w:p>
            <w:pPr>
              <w:jc w:val="right"/>
              <w:ind w:right="300"/>
              <w:spacing w:after="0"/>
              <w:rPr>
                <w:sz w:val="20"/>
                <w:szCs w:val="20"/>
                <w:color w:val="auto"/>
              </w:rPr>
            </w:pPr>
            <w:r>
              <w:rPr>
                <w:rFonts w:ascii="Arial" w:cs="Arial" w:eastAsia="Arial" w:hAnsi="Arial"/>
                <w:sz w:val="14"/>
                <w:szCs w:val="14"/>
                <w:color w:val="auto"/>
              </w:rPr>
              <w:t>—</w:t>
            </w:r>
          </w:p>
        </w:tc>
        <w:tc>
          <w:tcPr>
            <w:tcW w:w="380" w:type="dxa"/>
            <w:vAlign w:val="bottom"/>
            <w:shd w:val="clear" w:color="auto" w:fill="F5F5F5"/>
          </w:tcPr>
          <w:p>
            <w:pPr>
              <w:spacing w:after="0"/>
              <w:rPr>
                <w:sz w:val="17"/>
                <w:szCs w:val="17"/>
                <w:color w:val="auto"/>
              </w:rPr>
            </w:pPr>
          </w:p>
        </w:tc>
        <w:tc>
          <w:tcPr>
            <w:tcW w:w="1020" w:type="dxa"/>
            <w:vAlign w:val="bottom"/>
            <w:shd w:val="clear" w:color="auto" w:fill="F5F5F5"/>
          </w:tcPr>
          <w:p>
            <w:pPr>
              <w:jc w:val="right"/>
              <w:ind w:right="108"/>
              <w:spacing w:after="0"/>
              <w:rPr>
                <w:sz w:val="20"/>
                <w:szCs w:val="20"/>
                <w:color w:val="auto"/>
              </w:rPr>
            </w:pPr>
            <w:r>
              <w:rPr>
                <w:rFonts w:ascii="Arial" w:cs="Arial" w:eastAsia="Arial" w:hAnsi="Arial"/>
                <w:sz w:val="14"/>
                <w:szCs w:val="14"/>
                <w:color w:val="auto"/>
              </w:rPr>
              <w:t>—</w:t>
            </w:r>
          </w:p>
        </w:tc>
      </w:tr>
      <w:tr>
        <w:trPr>
          <w:trHeight w:val="198"/>
        </w:trPr>
        <w:tc>
          <w:tcPr>
            <w:tcW w:w="6760" w:type="dxa"/>
            <w:vAlign w:val="bottom"/>
          </w:tcPr>
          <w:p>
            <w:pPr>
              <w:ind w:left="220"/>
              <w:spacing w:after="0"/>
              <w:rPr>
                <w:sz w:val="20"/>
                <w:szCs w:val="20"/>
                <w:color w:val="auto"/>
              </w:rPr>
            </w:pPr>
            <w:r>
              <w:rPr>
                <w:rFonts w:ascii="Arial" w:cs="Arial" w:eastAsia="Arial" w:hAnsi="Arial"/>
                <w:sz w:val="14"/>
                <w:szCs w:val="14"/>
                <w:color w:val="auto"/>
              </w:rPr>
              <w:t>Average volatility of peer companies</w:t>
            </w: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51.8 %</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66.0 %</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72.3 %</w:t>
            </w:r>
          </w:p>
        </w:tc>
      </w:tr>
      <w:tr>
        <w:trPr>
          <w:trHeight w:val="207"/>
        </w:trPr>
        <w:tc>
          <w:tcPr>
            <w:tcW w:w="6760" w:type="dxa"/>
            <w:vAlign w:val="bottom"/>
            <w:shd w:val="clear" w:color="auto" w:fill="F5F5F5"/>
          </w:tcPr>
          <w:p>
            <w:pPr>
              <w:ind w:left="220"/>
              <w:spacing w:after="0"/>
              <w:rPr>
                <w:sz w:val="20"/>
                <w:szCs w:val="20"/>
                <w:color w:val="auto"/>
              </w:rPr>
            </w:pPr>
            <w:r>
              <w:rPr>
                <w:rFonts w:ascii="Arial" w:cs="Arial" w:eastAsia="Arial" w:hAnsi="Arial"/>
                <w:sz w:val="14"/>
                <w:szCs w:val="14"/>
                <w:color w:val="auto"/>
              </w:rPr>
              <w:t>Average correlation coefficient of peer companies</w:t>
            </w:r>
          </w:p>
        </w:tc>
        <w:tc>
          <w:tcPr>
            <w:tcW w:w="380" w:type="dxa"/>
            <w:vAlign w:val="bottom"/>
            <w:shd w:val="clear" w:color="auto" w:fill="F5F5F5"/>
          </w:tcPr>
          <w:p>
            <w:pPr>
              <w:spacing w:after="0"/>
              <w:rPr>
                <w:sz w:val="17"/>
                <w:szCs w:val="17"/>
                <w:color w:val="auto"/>
              </w:rPr>
            </w:pPr>
          </w:p>
        </w:tc>
        <w:tc>
          <w:tcPr>
            <w:tcW w:w="1040" w:type="dxa"/>
            <w:vAlign w:val="bottom"/>
            <w:shd w:val="clear" w:color="auto" w:fill="F5F5F5"/>
          </w:tcPr>
          <w:p>
            <w:pPr>
              <w:jc w:val="right"/>
              <w:ind w:right="108"/>
              <w:spacing w:after="0"/>
              <w:rPr>
                <w:sz w:val="20"/>
                <w:szCs w:val="20"/>
                <w:color w:val="auto"/>
              </w:rPr>
            </w:pPr>
            <w:r>
              <w:rPr>
                <w:rFonts w:ascii="Arial" w:cs="Arial" w:eastAsia="Arial" w:hAnsi="Arial"/>
                <w:sz w:val="14"/>
                <w:szCs w:val="14"/>
                <w:color w:val="auto"/>
              </w:rPr>
              <w:t>0.4866</w:t>
            </w:r>
          </w:p>
        </w:tc>
        <w:tc>
          <w:tcPr>
            <w:tcW w:w="120" w:type="dxa"/>
            <w:vAlign w:val="bottom"/>
            <w:shd w:val="clear" w:color="auto" w:fill="F5F5F5"/>
          </w:tcPr>
          <w:p>
            <w:pPr>
              <w:spacing w:after="0"/>
              <w:rPr>
                <w:sz w:val="17"/>
                <w:szCs w:val="17"/>
                <w:color w:val="auto"/>
              </w:rPr>
            </w:pPr>
          </w:p>
        </w:tc>
        <w:tc>
          <w:tcPr>
            <w:tcW w:w="360" w:type="dxa"/>
            <w:vAlign w:val="bottom"/>
            <w:shd w:val="clear" w:color="auto" w:fill="F5F5F5"/>
          </w:tcPr>
          <w:p>
            <w:pPr>
              <w:spacing w:after="0"/>
              <w:rPr>
                <w:sz w:val="17"/>
                <w:szCs w:val="17"/>
                <w:color w:val="auto"/>
              </w:rPr>
            </w:pPr>
          </w:p>
        </w:tc>
        <w:tc>
          <w:tcPr>
            <w:tcW w:w="1040" w:type="dxa"/>
            <w:vAlign w:val="bottom"/>
            <w:shd w:val="clear" w:color="auto" w:fill="F5F5F5"/>
          </w:tcPr>
          <w:p>
            <w:pPr>
              <w:jc w:val="right"/>
              <w:ind w:right="128"/>
              <w:spacing w:after="0"/>
              <w:rPr>
                <w:sz w:val="20"/>
                <w:szCs w:val="20"/>
                <w:color w:val="auto"/>
              </w:rPr>
            </w:pPr>
            <w:r>
              <w:rPr>
                <w:rFonts w:ascii="Arial" w:cs="Arial" w:eastAsia="Arial" w:hAnsi="Arial"/>
                <w:sz w:val="14"/>
                <w:szCs w:val="14"/>
                <w:color w:val="auto"/>
              </w:rPr>
              <w:t>0.5295</w:t>
            </w:r>
          </w:p>
        </w:tc>
        <w:tc>
          <w:tcPr>
            <w:tcW w:w="100" w:type="dxa"/>
            <w:vAlign w:val="bottom"/>
            <w:shd w:val="clear" w:color="auto" w:fill="F5F5F5"/>
          </w:tcPr>
          <w:p>
            <w:pPr>
              <w:spacing w:after="0"/>
              <w:rPr>
                <w:sz w:val="17"/>
                <w:szCs w:val="17"/>
                <w:color w:val="auto"/>
              </w:rPr>
            </w:pPr>
          </w:p>
        </w:tc>
        <w:tc>
          <w:tcPr>
            <w:tcW w:w="380" w:type="dxa"/>
            <w:vAlign w:val="bottom"/>
            <w:shd w:val="clear" w:color="auto" w:fill="F5F5F5"/>
          </w:tcPr>
          <w:p>
            <w:pPr>
              <w:spacing w:after="0"/>
              <w:rPr>
                <w:sz w:val="17"/>
                <w:szCs w:val="17"/>
                <w:color w:val="auto"/>
              </w:rPr>
            </w:pPr>
          </w:p>
        </w:tc>
        <w:tc>
          <w:tcPr>
            <w:tcW w:w="1020" w:type="dxa"/>
            <w:vAlign w:val="bottom"/>
            <w:shd w:val="clear" w:color="auto" w:fill="F5F5F5"/>
          </w:tcPr>
          <w:p>
            <w:pPr>
              <w:jc w:val="right"/>
              <w:ind w:right="108"/>
              <w:spacing w:after="0"/>
              <w:rPr>
                <w:sz w:val="20"/>
                <w:szCs w:val="20"/>
                <w:color w:val="auto"/>
              </w:rPr>
            </w:pPr>
            <w:r>
              <w:rPr>
                <w:rFonts w:ascii="Arial" w:cs="Arial" w:eastAsia="Arial" w:hAnsi="Arial"/>
                <w:sz w:val="14"/>
                <w:szCs w:val="14"/>
                <w:color w:val="auto"/>
              </w:rPr>
              <w:t>0.515</w:t>
            </w:r>
          </w:p>
        </w:tc>
      </w:tr>
    </w:tbl>
    <w:p>
      <w:pPr>
        <w:spacing w:after="0" w:line="32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C7E65"/>
        </w:rPr>
        <w:t>Stock Appreciation Rights</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stock appreciation rights activity for Fiscal 2024:</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Number of</w:t>
            </w: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rPr>
              <w:t>Weighted-Average</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rPr>
              <w:t>Weighted-Average</w:t>
            </w:r>
          </w:p>
        </w:tc>
        <w:tc>
          <w:tcPr>
            <w:tcW w:w="200" w:type="dxa"/>
            <w:vAlign w:val="bottom"/>
          </w:tcPr>
          <w:p>
            <w:pPr>
              <w:spacing w:after="0"/>
              <w:rPr>
                <w:sz w:val="12"/>
                <w:szCs w:val="12"/>
                <w:color w:val="auto"/>
              </w:rPr>
            </w:pPr>
          </w:p>
        </w:tc>
        <w:tc>
          <w:tcPr>
            <w:tcW w:w="1440" w:type="dxa"/>
            <w:vAlign w:val="bottom"/>
            <w:gridSpan w:val="2"/>
            <w:vMerge w:val="restart"/>
          </w:tcPr>
          <w:p>
            <w:pPr>
              <w:jc w:val="center"/>
              <w:ind w:right="300"/>
              <w:spacing w:after="0"/>
              <w:rPr>
                <w:sz w:val="20"/>
                <w:szCs w:val="20"/>
                <w:color w:val="auto"/>
              </w:rPr>
            </w:pPr>
            <w:r>
              <w:rPr>
                <w:rFonts w:ascii="Arial" w:cs="Arial" w:eastAsia="Arial" w:hAnsi="Arial"/>
                <w:sz w:val="14"/>
                <w:szCs w:val="14"/>
                <w:color w:val="auto"/>
              </w:rPr>
              <w:t>Aggregate</w:t>
            </w:r>
          </w:p>
        </w:tc>
        <w:tc>
          <w:tcPr>
            <w:tcW w:w="1520" w:type="dxa"/>
            <w:vAlign w:val="bottom"/>
          </w:tcPr>
          <w:p>
            <w:pPr>
              <w:jc w:val="center"/>
              <w:spacing w:after="0" w:line="149" w:lineRule="exact"/>
              <w:rPr>
                <w:sz w:val="20"/>
                <w:szCs w:val="20"/>
                <w:color w:val="auto"/>
              </w:rPr>
            </w:pPr>
            <w:r>
              <w:rPr>
                <w:rFonts w:ascii="Arial" w:cs="Arial" w:eastAsia="Arial" w:hAnsi="Arial"/>
                <w:sz w:val="14"/>
                <w:szCs w:val="14"/>
                <w:color w:val="auto"/>
              </w:rPr>
              <w:t>Remaining</w:t>
            </w:r>
          </w:p>
        </w:tc>
        <w:tc>
          <w:tcPr>
            <w:tcW w:w="0" w:type="dxa"/>
            <w:vAlign w:val="bottom"/>
          </w:tcPr>
          <w:p>
            <w:pPr>
              <w:spacing w:after="0"/>
              <w:rPr>
                <w:sz w:val="1"/>
                <w:szCs w:val="1"/>
                <w:color w:val="auto"/>
              </w:rPr>
            </w:pPr>
          </w:p>
        </w:tc>
      </w:tr>
      <w:tr>
        <w:trPr>
          <w:trHeight w:val="144"/>
        </w:trPr>
        <w:tc>
          <w:tcPr>
            <w:tcW w:w="4780" w:type="dxa"/>
            <w:vAlign w:val="bottom"/>
          </w:tcPr>
          <w:p>
            <w:pPr>
              <w:spacing w:after="0"/>
              <w:rPr>
                <w:sz w:val="12"/>
                <w:szCs w:val="12"/>
                <w:color w:val="auto"/>
              </w:rPr>
            </w:pPr>
          </w:p>
        </w:tc>
        <w:tc>
          <w:tcPr>
            <w:tcW w:w="1620" w:type="dxa"/>
            <w:vAlign w:val="bottom"/>
            <w:gridSpan w:val="2"/>
          </w:tcPr>
          <w:p>
            <w:pPr>
              <w:jc w:val="center"/>
              <w:ind w:right="100"/>
              <w:spacing w:after="0" w:line="145" w:lineRule="exact"/>
              <w:rPr>
                <w:sz w:val="20"/>
                <w:szCs w:val="20"/>
                <w:color w:val="auto"/>
              </w:rPr>
            </w:pPr>
            <w:r>
              <w:rPr>
                <w:rFonts w:ascii="Arial" w:cs="Arial" w:eastAsia="Arial" w:hAnsi="Arial"/>
                <w:sz w:val="14"/>
                <w:szCs w:val="14"/>
                <w:color w:val="auto"/>
              </w:rPr>
              <w:t>Underlying</w:t>
            </w:r>
          </w:p>
        </w:tc>
        <w:tc>
          <w:tcPr>
            <w:tcW w:w="1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20" w:type="dxa"/>
            <w:vAlign w:val="bottom"/>
          </w:tcPr>
          <w:p>
            <w:pPr>
              <w:jc w:val="center"/>
              <w:spacing w:after="0" w:line="145" w:lineRule="exact"/>
              <w:rPr>
                <w:sz w:val="20"/>
                <w:szCs w:val="20"/>
                <w:color w:val="auto"/>
              </w:rPr>
            </w:pPr>
            <w:r>
              <w:rPr>
                <w:rFonts w:ascii="Arial" w:cs="Arial" w:eastAsia="Arial" w:hAnsi="Arial"/>
                <w:sz w:val="14"/>
                <w:szCs w:val="14"/>
                <w:color w:val="auto"/>
              </w:rPr>
              <w:t>Contractual Life</w:t>
            </w:r>
          </w:p>
        </w:tc>
        <w:tc>
          <w:tcPr>
            <w:tcW w:w="0" w:type="dxa"/>
            <w:vAlign w:val="bottom"/>
          </w:tcPr>
          <w:p>
            <w:pPr>
              <w:spacing w:after="0"/>
              <w:rPr>
                <w:sz w:val="1"/>
                <w:szCs w:val="1"/>
                <w:color w:val="auto"/>
              </w:rPr>
            </w:pPr>
          </w:p>
        </w:tc>
      </w:tr>
      <w:tr>
        <w:trPr>
          <w:trHeight w:val="189"/>
        </w:trPr>
        <w:tc>
          <w:tcPr>
            <w:tcW w:w="478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color w:val="auto"/>
              </w:rPr>
              <w:t>Shares</w:t>
            </w:r>
          </w:p>
        </w:tc>
        <w:tc>
          <w:tcPr>
            <w:tcW w:w="14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color w:val="auto"/>
              </w:rPr>
              <w:t>Exercise Price</w:t>
            </w:r>
          </w:p>
        </w:tc>
        <w:tc>
          <w:tcPr>
            <w:tcW w:w="200" w:type="dxa"/>
            <w:vAlign w:val="bottom"/>
          </w:tcPr>
          <w:p>
            <w:pPr>
              <w:spacing w:after="0"/>
              <w:rPr>
                <w:sz w:val="16"/>
                <w:szCs w:val="16"/>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color w:val="auto"/>
              </w:rPr>
              <w:t>Intrinsic Value</w:t>
            </w:r>
          </w:p>
        </w:tc>
        <w:tc>
          <w:tcPr>
            <w:tcW w:w="1520" w:type="dxa"/>
            <w:vAlign w:val="bottom"/>
          </w:tcPr>
          <w:p>
            <w:pPr>
              <w:jc w:val="center"/>
              <w:spacing w:after="0"/>
              <w:rPr>
                <w:sz w:val="20"/>
                <w:szCs w:val="20"/>
                <w:color w:val="auto"/>
              </w:rPr>
            </w:pPr>
            <w:r>
              <w:rPr>
                <w:rFonts w:ascii="Arial" w:cs="Arial" w:eastAsia="Arial" w:hAnsi="Arial"/>
                <w:sz w:val="14"/>
                <w:szCs w:val="14"/>
                <w:color w:val="auto"/>
              </w:rPr>
              <w:t>(years)</w:t>
            </w:r>
          </w:p>
        </w:tc>
        <w:tc>
          <w:tcPr>
            <w:tcW w:w="0" w:type="dxa"/>
            <w:vAlign w:val="bottom"/>
          </w:tcPr>
          <w:p>
            <w:pPr>
              <w:spacing w:after="0"/>
              <w:rPr>
                <w:sz w:val="1"/>
                <w:szCs w:val="1"/>
                <w:color w:val="auto"/>
              </w:rPr>
            </w:pPr>
          </w:p>
        </w:tc>
      </w:tr>
      <w:tr>
        <w:trPr>
          <w:trHeight w:val="196"/>
        </w:trPr>
        <w:tc>
          <w:tcPr>
            <w:tcW w:w="4780" w:type="dxa"/>
            <w:vAlign w:val="bottom"/>
            <w:tcBorders>
              <w:top w:val="single" w:sz="8" w:color="F5F5F5"/>
            </w:tcBorders>
            <w:shd w:val="clear" w:color="auto" w:fill="F5F5F5"/>
          </w:tcPr>
          <w:p>
            <w:pPr>
              <w:ind w:left="20"/>
              <w:spacing w:after="0"/>
              <w:rPr>
                <w:sz w:val="20"/>
                <w:szCs w:val="20"/>
                <w:color w:val="auto"/>
              </w:rPr>
            </w:pPr>
            <w:r>
              <w:rPr>
                <w:rFonts w:ascii="Arial" w:cs="Arial" w:eastAsia="Arial" w:hAnsi="Arial"/>
                <w:sz w:val="14"/>
                <w:szCs w:val="14"/>
                <w:color w:val="auto"/>
              </w:rPr>
              <w:t>Outstanding at February 3, 2024</w:t>
            </w:r>
          </w:p>
        </w:tc>
        <w:tc>
          <w:tcPr>
            <w:tcW w:w="152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25,600</w:t>
            </w:r>
          </w:p>
        </w:tc>
        <w:tc>
          <w:tcPr>
            <w:tcW w:w="100" w:type="dxa"/>
            <w:vAlign w:val="bottom"/>
            <w:tcBorders>
              <w:top w:val="single" w:sz="8" w:color="F5F5F5"/>
            </w:tcBorders>
            <w:shd w:val="clear" w:color="auto" w:fill="F5F5F5"/>
          </w:tcPr>
          <w:p>
            <w:pPr>
              <w:spacing w:after="0"/>
              <w:rPr>
                <w:sz w:val="17"/>
                <w:szCs w:val="17"/>
                <w:color w:val="auto"/>
              </w:rPr>
            </w:pPr>
          </w:p>
        </w:tc>
        <w:tc>
          <w:tcPr>
            <w:tcW w:w="14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29.29</w:t>
            </w:r>
          </w:p>
        </w:tc>
        <w:tc>
          <w:tcPr>
            <w:tcW w:w="100" w:type="dxa"/>
            <w:vAlign w:val="bottom"/>
            <w:tcBorders>
              <w:top w:val="single" w:sz="8" w:color="F5F5F5"/>
            </w:tcBorders>
            <w:shd w:val="clear" w:color="auto" w:fill="F5F5F5"/>
          </w:tcPr>
          <w:p>
            <w:pPr>
              <w:spacing w:after="0"/>
              <w:rPr>
                <w:sz w:val="17"/>
                <w:szCs w:val="17"/>
                <w:color w:val="auto"/>
              </w:rPr>
            </w:pPr>
          </w:p>
        </w:tc>
        <w:tc>
          <w:tcPr>
            <w:tcW w:w="200" w:type="dxa"/>
            <w:vAlign w:val="bottom"/>
            <w:tcBorders>
              <w:top w:val="single" w:sz="8" w:color="auto"/>
            </w:tcBorders>
            <w:shd w:val="clear" w:color="auto" w:fill="F5F5F5"/>
          </w:tcPr>
          <w:p>
            <w:pPr>
              <w:spacing w:after="0"/>
              <w:rPr>
                <w:sz w:val="17"/>
                <w:szCs w:val="17"/>
                <w:color w:val="auto"/>
              </w:rPr>
            </w:pPr>
          </w:p>
        </w:tc>
        <w:tc>
          <w:tcPr>
            <w:tcW w:w="1320" w:type="dxa"/>
            <w:vAlign w:val="bottom"/>
            <w:tcBorders>
              <w:top w:val="single" w:sz="8" w:color="auto"/>
            </w:tcBorders>
            <w:shd w:val="clear" w:color="auto" w:fill="F5F5F5"/>
          </w:tcPr>
          <w:p>
            <w:pPr>
              <w:spacing w:after="0"/>
              <w:rPr>
                <w:sz w:val="17"/>
                <w:szCs w:val="17"/>
                <w:color w:val="auto"/>
              </w:rPr>
            </w:pPr>
          </w:p>
        </w:tc>
        <w:tc>
          <w:tcPr>
            <w:tcW w:w="120" w:type="dxa"/>
            <w:vAlign w:val="bottom"/>
            <w:tcBorders>
              <w:top w:val="single" w:sz="8" w:color="F5F5F5"/>
            </w:tcBorders>
            <w:shd w:val="clear" w:color="auto" w:fill="F5F5F5"/>
          </w:tcPr>
          <w:p>
            <w:pPr>
              <w:spacing w:after="0"/>
              <w:rPr>
                <w:sz w:val="17"/>
                <w:szCs w:val="17"/>
                <w:color w:val="auto"/>
              </w:rPr>
            </w:pPr>
          </w:p>
        </w:tc>
        <w:tc>
          <w:tcPr>
            <w:tcW w:w="1520" w:type="dxa"/>
            <w:vAlign w:val="bottom"/>
            <w:tcBorders>
              <w:top w:val="single" w:sz="8" w:color="auto"/>
            </w:tcBorders>
            <w:shd w:val="clear" w:color="auto" w:fill="F5F5F5"/>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780" w:type="dxa"/>
            <w:vAlign w:val="bottom"/>
          </w:tcPr>
          <w:p>
            <w:pPr>
              <w:ind w:left="220"/>
              <w:spacing w:after="0"/>
              <w:rPr>
                <w:sz w:val="20"/>
                <w:szCs w:val="20"/>
                <w:color w:val="auto"/>
              </w:rPr>
            </w:pPr>
            <w:r>
              <w:rPr>
                <w:rFonts w:ascii="Arial" w:cs="Arial" w:eastAsia="Arial" w:hAnsi="Arial"/>
                <w:sz w:val="14"/>
                <w:szCs w:val="14"/>
                <w:color w:val="auto"/>
              </w:rPr>
              <w:t>Granted</w:t>
            </w:r>
          </w:p>
        </w:tc>
        <w:tc>
          <w:tcPr>
            <w:tcW w:w="1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780" w:type="dxa"/>
            <w:vAlign w:val="bottom"/>
            <w:shd w:val="clear" w:color="auto" w:fill="F5F5F5"/>
          </w:tcPr>
          <w:p>
            <w:pPr>
              <w:ind w:left="220"/>
              <w:spacing w:after="0"/>
              <w:rPr>
                <w:sz w:val="20"/>
                <w:szCs w:val="20"/>
                <w:color w:val="auto"/>
              </w:rPr>
            </w:pPr>
            <w:r>
              <w:rPr>
                <w:rFonts w:ascii="Arial" w:cs="Arial" w:eastAsia="Arial" w:hAnsi="Arial"/>
                <w:sz w:val="14"/>
                <w:szCs w:val="14"/>
                <w:color w:val="auto"/>
              </w:rPr>
              <w:t>Exercised</w:t>
            </w:r>
          </w:p>
        </w:tc>
        <w:tc>
          <w:tcPr>
            <w:tcW w:w="1520" w:type="dxa"/>
            <w:vAlign w:val="bottom"/>
            <w:shd w:val="clear" w:color="auto" w:fill="F5F5F5"/>
          </w:tcPr>
          <w:p>
            <w:pPr>
              <w:jc w:val="right"/>
              <w:spacing w:after="0"/>
              <w:rPr>
                <w:sz w:val="20"/>
                <w:szCs w:val="20"/>
                <w:color w:val="auto"/>
              </w:rPr>
            </w:pPr>
            <w:r>
              <w:rPr>
                <w:rFonts w:ascii="Arial" w:cs="Arial" w:eastAsia="Arial" w:hAnsi="Arial"/>
                <w:sz w:val="14"/>
                <w:szCs w:val="14"/>
                <w:color w:val="auto"/>
              </w:rPr>
              <w:t>(25,600)</w:t>
            </w:r>
          </w:p>
        </w:tc>
        <w:tc>
          <w:tcPr>
            <w:tcW w:w="100" w:type="dxa"/>
            <w:vAlign w:val="bottom"/>
            <w:shd w:val="clear" w:color="auto" w:fill="F5F5F5"/>
          </w:tcPr>
          <w:p>
            <w:pPr>
              <w:spacing w:after="0"/>
              <w:rPr>
                <w:sz w:val="17"/>
                <w:szCs w:val="17"/>
                <w:color w:val="auto"/>
              </w:rPr>
            </w:pPr>
          </w:p>
        </w:tc>
        <w:tc>
          <w:tcPr>
            <w:tcW w:w="140" w:type="dxa"/>
            <w:vAlign w:val="bottom"/>
            <w:shd w:val="clear" w:color="auto" w:fill="F5F5F5"/>
          </w:tcPr>
          <w:p>
            <w:pPr>
              <w:spacing w:after="0"/>
              <w:rPr>
                <w:sz w:val="17"/>
                <w:szCs w:val="17"/>
                <w:color w:val="auto"/>
              </w:rPr>
            </w:pPr>
          </w:p>
        </w:tc>
        <w:tc>
          <w:tcPr>
            <w:tcW w:w="140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29.29</w:t>
            </w:r>
          </w:p>
        </w:tc>
        <w:tc>
          <w:tcPr>
            <w:tcW w:w="100" w:type="dxa"/>
            <w:vAlign w:val="bottom"/>
            <w:shd w:val="clear" w:color="auto" w:fill="F5F5F5"/>
          </w:tcPr>
          <w:p>
            <w:pPr>
              <w:spacing w:after="0"/>
              <w:rPr>
                <w:sz w:val="17"/>
                <w:szCs w:val="17"/>
                <w:color w:val="auto"/>
              </w:rPr>
            </w:pPr>
          </w:p>
        </w:tc>
        <w:tc>
          <w:tcPr>
            <w:tcW w:w="200" w:type="dxa"/>
            <w:vAlign w:val="bottom"/>
            <w:shd w:val="clear" w:color="auto" w:fill="F5F5F5"/>
          </w:tcPr>
          <w:p>
            <w:pPr>
              <w:spacing w:after="0"/>
              <w:rPr>
                <w:sz w:val="17"/>
                <w:szCs w:val="17"/>
                <w:color w:val="auto"/>
              </w:rPr>
            </w:pPr>
          </w:p>
        </w:tc>
        <w:tc>
          <w:tcPr>
            <w:tcW w:w="1320" w:type="dxa"/>
            <w:vAlign w:val="bottom"/>
            <w:shd w:val="clear" w:color="auto" w:fill="F5F5F5"/>
          </w:tcPr>
          <w:p>
            <w:pPr>
              <w:spacing w:after="0"/>
              <w:rPr>
                <w:sz w:val="17"/>
                <w:szCs w:val="17"/>
                <w:color w:val="auto"/>
              </w:rPr>
            </w:pPr>
          </w:p>
        </w:tc>
        <w:tc>
          <w:tcPr>
            <w:tcW w:w="120" w:type="dxa"/>
            <w:vAlign w:val="bottom"/>
            <w:shd w:val="clear" w:color="auto" w:fill="F5F5F5"/>
          </w:tcPr>
          <w:p>
            <w:pPr>
              <w:spacing w:after="0"/>
              <w:rPr>
                <w:sz w:val="17"/>
                <w:szCs w:val="17"/>
                <w:color w:val="auto"/>
              </w:rPr>
            </w:pPr>
          </w:p>
        </w:tc>
        <w:tc>
          <w:tcPr>
            <w:tcW w:w="1520" w:type="dxa"/>
            <w:vAlign w:val="bottom"/>
            <w:shd w:val="clear" w:color="auto" w:fill="F5F5F5"/>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780" w:type="dxa"/>
            <w:vAlign w:val="bottom"/>
            <w:tcBorders>
              <w:bottom w:val="single" w:sz="8" w:color="F5F5F5"/>
            </w:tcBorders>
          </w:tcPr>
          <w:p>
            <w:pPr>
              <w:ind w:left="220"/>
              <w:spacing w:after="0"/>
              <w:rPr>
                <w:sz w:val="20"/>
                <w:szCs w:val="20"/>
                <w:color w:val="auto"/>
              </w:rPr>
            </w:pPr>
            <w:r>
              <w:rPr>
                <w:rFonts w:ascii="Arial" w:cs="Arial" w:eastAsia="Arial" w:hAnsi="Arial"/>
                <w:sz w:val="14"/>
                <w:szCs w:val="14"/>
                <w:color w:val="auto"/>
              </w:rPr>
              <w:t>Forfeited or expired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F5F5F5"/>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F5F5F5"/>
            </w:tcBorders>
          </w:tcPr>
          <w:p>
            <w:pPr>
              <w:spacing w:after="0"/>
              <w:rPr>
                <w:sz w:val="17"/>
                <w:szCs w:val="17"/>
                <w:color w:val="auto"/>
              </w:rPr>
            </w:pPr>
          </w:p>
        </w:tc>
        <w:tc>
          <w:tcPr>
            <w:tcW w:w="200" w:type="dxa"/>
            <w:vAlign w:val="bottom"/>
            <w:tcBorders>
              <w:bottom w:val="single" w:sz="8" w:color="F5F5F5"/>
            </w:tcBorders>
          </w:tcPr>
          <w:p>
            <w:pPr>
              <w:spacing w:after="0"/>
              <w:rPr>
                <w:sz w:val="17"/>
                <w:szCs w:val="17"/>
                <w:color w:val="auto"/>
              </w:rPr>
            </w:pPr>
          </w:p>
        </w:tc>
        <w:tc>
          <w:tcPr>
            <w:tcW w:w="1320" w:type="dxa"/>
            <w:vAlign w:val="bottom"/>
            <w:tcBorders>
              <w:bottom w:val="single" w:sz="8" w:color="F5F5F5"/>
            </w:tcBorders>
          </w:tcPr>
          <w:p>
            <w:pPr>
              <w:spacing w:after="0"/>
              <w:rPr>
                <w:sz w:val="17"/>
                <w:szCs w:val="17"/>
                <w:color w:val="auto"/>
              </w:rPr>
            </w:pPr>
          </w:p>
        </w:tc>
        <w:tc>
          <w:tcPr>
            <w:tcW w:w="120" w:type="dxa"/>
            <w:vAlign w:val="bottom"/>
            <w:tcBorders>
              <w:bottom w:val="single" w:sz="8" w:color="F5F5F5"/>
            </w:tcBorders>
          </w:tcPr>
          <w:p>
            <w:pPr>
              <w:spacing w:after="0"/>
              <w:rPr>
                <w:sz w:val="17"/>
                <w:szCs w:val="17"/>
                <w:color w:val="auto"/>
              </w:rPr>
            </w:pPr>
          </w:p>
        </w:tc>
        <w:tc>
          <w:tcPr>
            <w:tcW w:w="1520" w:type="dxa"/>
            <w:vAlign w:val="bottom"/>
            <w:tcBorders>
              <w:bottom w:val="single" w:sz="8" w:color="F5F5F5"/>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tcBorders>
              <w:bottom w:val="single" w:sz="8" w:color="F5F5F5"/>
            </w:tcBorders>
            <w:shd w:val="clear" w:color="auto" w:fill="F5F5F5"/>
          </w:tcPr>
          <w:p>
            <w:pPr>
              <w:ind w:left="20"/>
              <w:spacing w:after="0"/>
              <w:rPr>
                <w:sz w:val="20"/>
                <w:szCs w:val="20"/>
                <w:color w:val="auto"/>
              </w:rPr>
            </w:pPr>
            <w:r>
              <w:rPr>
                <w:rFonts w:ascii="Arial" w:cs="Arial" w:eastAsia="Arial" w:hAnsi="Arial"/>
                <w:sz w:val="14"/>
                <w:szCs w:val="14"/>
                <w:color w:val="auto"/>
              </w:rPr>
              <w:t>Outstanding at February 1, 2025</w:t>
            </w:r>
          </w:p>
        </w:tc>
        <w:tc>
          <w:tcPr>
            <w:tcW w:w="152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F5F5F5"/>
            </w:tcBorders>
            <w:shd w:val="clear" w:color="auto" w:fill="F5F5F5"/>
          </w:tcPr>
          <w:p>
            <w:pPr>
              <w:spacing w:after="0"/>
              <w:rPr>
                <w:sz w:val="18"/>
                <w:szCs w:val="18"/>
                <w:color w:val="auto"/>
              </w:rPr>
            </w:pPr>
          </w:p>
        </w:tc>
        <w:tc>
          <w:tcPr>
            <w:tcW w:w="14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F5F5F5"/>
            </w:tcBorders>
            <w:shd w:val="clear" w:color="auto" w:fill="F5F5F5"/>
          </w:tcPr>
          <w:p>
            <w:pPr>
              <w:spacing w:after="0"/>
              <w:rPr>
                <w:sz w:val="18"/>
                <w:szCs w:val="18"/>
                <w:color w:val="auto"/>
              </w:rPr>
            </w:pPr>
          </w:p>
        </w:tc>
        <w:tc>
          <w:tcPr>
            <w:tcW w:w="200" w:type="dxa"/>
            <w:vAlign w:val="bottom"/>
            <w:tcBorders>
              <w:bottom w:val="single" w:sz="8" w:color="auto"/>
            </w:tcBorders>
            <w:shd w:val="clear" w:color="auto" w:fill="F5F5F5"/>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F5F5F5"/>
          </w:tcPr>
          <w:p>
            <w:pPr>
              <w:ind w:left="11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F5F5F5"/>
            </w:tcBorders>
            <w:shd w:val="clear" w:color="auto" w:fill="F5F5F5"/>
          </w:tcPr>
          <w:p>
            <w:pPr>
              <w:spacing w:after="0"/>
              <w:rPr>
                <w:sz w:val="18"/>
                <w:szCs w:val="18"/>
                <w:color w:val="auto"/>
              </w:rPr>
            </w:pPr>
          </w:p>
        </w:tc>
        <w:tc>
          <w:tcPr>
            <w:tcW w:w="152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0"/>
        </w:trPr>
        <w:tc>
          <w:tcPr>
            <w:tcW w:w="4780" w:type="dxa"/>
            <w:vAlign w:val="bottom"/>
            <w:vMerge w:val="restart"/>
          </w:tcPr>
          <w:p>
            <w:pPr>
              <w:ind w:left="20"/>
              <w:spacing w:after="0"/>
              <w:rPr>
                <w:sz w:val="20"/>
                <w:szCs w:val="20"/>
                <w:color w:val="auto"/>
              </w:rPr>
            </w:pPr>
            <w:r>
              <w:rPr>
                <w:rFonts w:ascii="Arial" w:cs="Arial" w:eastAsia="Arial" w:hAnsi="Arial"/>
                <w:sz w:val="14"/>
                <w:szCs w:val="14"/>
                <w:color w:val="auto"/>
              </w:rPr>
              <w:t>Stock appreciation rights exercisable at February 1, 2025</w:t>
            </w: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780" w:type="dxa"/>
            <w:vAlign w:val="bottom"/>
            <w:vMerge w:val="continue"/>
          </w:tcPr>
          <w:p>
            <w:pPr>
              <w:spacing w:after="0"/>
              <w:rPr>
                <w:sz w:val="15"/>
                <w:szCs w:val="15"/>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4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5"/>
        </w:trPr>
        <w:tc>
          <w:tcPr>
            <w:tcW w:w="4780" w:type="dxa"/>
            <w:vAlign w:val="bottom"/>
          </w:tcPr>
          <w:p>
            <w:pPr>
              <w:spacing w:after="0"/>
              <w:rPr>
                <w:sz w:val="2"/>
                <w:szCs w:val="2"/>
                <w:color w:val="auto"/>
              </w:rPr>
            </w:pPr>
          </w:p>
        </w:tc>
        <w:tc>
          <w:tcPr>
            <w:tcW w:w="15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4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3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additional information pertaining to grant date fair value of awards exercised during Fiscal 2024, Fiscal 2023 and Fiscal 2022:</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0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6"/>
                <w:szCs w:val="16"/>
                <w:color w:val="auto"/>
              </w:rPr>
            </w:pPr>
          </w:p>
        </w:tc>
        <w:tc>
          <w:tcPr>
            <w:tcW w:w="1080" w:type="dxa"/>
            <w:vAlign w:val="bottom"/>
            <w:gridSpan w:val="2"/>
          </w:tcPr>
          <w:p>
            <w:pPr>
              <w:ind w:left="240"/>
              <w:spacing w:after="0"/>
              <w:rPr>
                <w:sz w:val="20"/>
                <w:szCs w:val="20"/>
                <w:color w:val="auto"/>
              </w:rPr>
            </w:pPr>
            <w:r>
              <w:rPr>
                <w:rFonts w:ascii="Arial" w:cs="Arial" w:eastAsia="Arial" w:hAnsi="Arial"/>
                <w:sz w:val="14"/>
                <w:szCs w:val="14"/>
                <w:color w:val="auto"/>
              </w:rPr>
              <w:t>Fiscal 2024</w:t>
            </w:r>
          </w:p>
        </w:tc>
        <w:tc>
          <w:tcPr>
            <w:tcW w:w="340" w:type="dxa"/>
            <w:vAlign w:val="bottom"/>
          </w:tcPr>
          <w:p>
            <w:pPr>
              <w:spacing w:after="0"/>
              <w:rPr>
                <w:sz w:val="16"/>
                <w:szCs w:val="16"/>
                <w:color w:val="auto"/>
              </w:rPr>
            </w:pPr>
          </w:p>
        </w:tc>
        <w:tc>
          <w:tcPr>
            <w:tcW w:w="1100" w:type="dxa"/>
            <w:vAlign w:val="bottom"/>
            <w:gridSpan w:val="2"/>
          </w:tcPr>
          <w:p>
            <w:pPr>
              <w:ind w:left="240"/>
              <w:spacing w:after="0"/>
              <w:rPr>
                <w:sz w:val="20"/>
                <w:szCs w:val="20"/>
                <w:color w:val="auto"/>
              </w:rPr>
            </w:pPr>
            <w:r>
              <w:rPr>
                <w:rFonts w:ascii="Arial" w:cs="Arial" w:eastAsia="Arial" w:hAnsi="Arial"/>
                <w:sz w:val="14"/>
                <w:szCs w:val="14"/>
                <w:color w:val="auto"/>
              </w:rPr>
              <w:t>Fiscal 2023</w:t>
            </w:r>
          </w:p>
        </w:tc>
        <w:tc>
          <w:tcPr>
            <w:tcW w:w="340" w:type="dxa"/>
            <w:vAlign w:val="bottom"/>
          </w:tcPr>
          <w:p>
            <w:pPr>
              <w:spacing w:after="0"/>
              <w:rPr>
                <w:sz w:val="16"/>
                <w:szCs w:val="16"/>
                <w:color w:val="auto"/>
              </w:rPr>
            </w:pPr>
          </w:p>
        </w:tc>
        <w:tc>
          <w:tcPr>
            <w:tcW w:w="980" w:type="dxa"/>
            <w:vAlign w:val="bottom"/>
          </w:tcPr>
          <w:p>
            <w:pPr>
              <w:ind w:left="220"/>
              <w:spacing w:after="0"/>
              <w:rPr>
                <w:sz w:val="20"/>
                <w:szCs w:val="20"/>
                <w:color w:val="auto"/>
              </w:rPr>
            </w:pPr>
            <w:r>
              <w:rPr>
                <w:rFonts w:ascii="Arial" w:cs="Arial" w:eastAsia="Arial" w:hAnsi="Arial"/>
                <w:sz w:val="14"/>
                <w:szCs w:val="14"/>
                <w:color w:val="auto"/>
              </w:rPr>
              <w:t>Fiscal 2022</w:t>
            </w:r>
          </w:p>
        </w:tc>
      </w:tr>
      <w:tr>
        <w:trPr>
          <w:trHeight w:val="200"/>
        </w:trPr>
        <w:tc>
          <w:tcPr>
            <w:tcW w:w="7060" w:type="dxa"/>
            <w:vAlign w:val="bottom"/>
            <w:tcBorders>
              <w:top w:val="single" w:sz="8" w:color="F5F5F5"/>
            </w:tcBorders>
            <w:shd w:val="clear" w:color="auto" w:fill="F5F5F5"/>
          </w:tcPr>
          <w:p>
            <w:pPr>
              <w:ind w:left="20"/>
              <w:spacing w:after="0"/>
              <w:rPr>
                <w:sz w:val="20"/>
                <w:szCs w:val="20"/>
                <w:color w:val="auto"/>
              </w:rPr>
            </w:pPr>
            <w:r>
              <w:rPr>
                <w:rFonts w:ascii="Arial" w:cs="Arial" w:eastAsia="Arial" w:hAnsi="Arial"/>
                <w:sz w:val="14"/>
                <w:szCs w:val="14"/>
                <w:color w:val="auto"/>
              </w:rPr>
              <w:t>Total grant date fair value of awards exercised</w:t>
            </w:r>
          </w:p>
        </w:tc>
        <w:tc>
          <w:tcPr>
            <w:tcW w:w="340" w:type="dxa"/>
            <w:vAlign w:val="bottom"/>
            <w:tcBorders>
              <w:top w:val="single" w:sz="8" w:color="auto"/>
            </w:tcBorders>
            <w:shd w:val="clear" w:color="auto" w:fill="F5F5F5"/>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267</w:t>
            </w:r>
          </w:p>
        </w:tc>
        <w:tc>
          <w:tcPr>
            <w:tcW w:w="80" w:type="dxa"/>
            <w:vAlign w:val="bottom"/>
            <w:tcBorders>
              <w:top w:val="single" w:sz="8" w:color="F5F5F5"/>
            </w:tcBorders>
            <w:shd w:val="clear" w:color="auto" w:fill="F5F5F5"/>
          </w:tcPr>
          <w:p>
            <w:pPr>
              <w:spacing w:after="0"/>
              <w:rPr>
                <w:sz w:val="17"/>
                <w:szCs w:val="17"/>
                <w:color w:val="auto"/>
              </w:rPr>
            </w:pPr>
          </w:p>
        </w:tc>
        <w:tc>
          <w:tcPr>
            <w:tcW w:w="340" w:type="dxa"/>
            <w:vAlign w:val="bottom"/>
            <w:tcBorders>
              <w:top w:val="single" w:sz="8" w:color="auto"/>
            </w:tcBorders>
            <w:shd w:val="clear" w:color="auto" w:fill="F5F5F5"/>
          </w:tcPr>
          <w:p>
            <w:pPr>
              <w:jc w:val="right"/>
              <w:ind w:right="1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1,409</w:t>
            </w:r>
          </w:p>
        </w:tc>
        <w:tc>
          <w:tcPr>
            <w:tcW w:w="120" w:type="dxa"/>
            <w:vAlign w:val="bottom"/>
            <w:tcBorders>
              <w:top w:val="single" w:sz="8" w:color="F5F5F5"/>
            </w:tcBorders>
            <w:shd w:val="clear" w:color="auto" w:fill="F5F5F5"/>
          </w:tcPr>
          <w:p>
            <w:pPr>
              <w:spacing w:after="0"/>
              <w:rPr>
                <w:sz w:val="17"/>
                <w:szCs w:val="17"/>
                <w:color w:val="auto"/>
              </w:rPr>
            </w:pPr>
          </w:p>
        </w:tc>
        <w:tc>
          <w:tcPr>
            <w:tcW w:w="340" w:type="dxa"/>
            <w:vAlign w:val="bottom"/>
            <w:tcBorders>
              <w:top w:val="single" w:sz="8" w:color="auto"/>
            </w:tcBorders>
            <w:shd w:val="clear" w:color="auto" w:fill="F5F5F5"/>
          </w:tcPr>
          <w:p>
            <w:pPr>
              <w:jc w:val="right"/>
              <w:ind w:right="1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F5F5F5"/>
          </w:tcPr>
          <w:p>
            <w:pPr>
              <w:ind w:left="760"/>
              <w:spacing w:after="0"/>
              <w:rPr>
                <w:sz w:val="20"/>
                <w:szCs w:val="20"/>
                <w:color w:val="auto"/>
              </w:rPr>
            </w:pPr>
            <w:r>
              <w:rPr>
                <w:rFonts w:ascii="Arial" w:cs="Arial" w:eastAsia="Arial" w:hAnsi="Arial"/>
                <w:sz w:val="14"/>
                <w:szCs w:val="14"/>
                <w:color w:val="auto"/>
              </w:rPr>
              <w:t>—</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No stock appreciation rights were exercised during Fiscal 2022.</w:t>
      </w:r>
    </w:p>
    <w:p>
      <w:pPr>
        <w:spacing w:after="0" w:line="262"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 xml:space="preserve">Refer to Note 2, </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0000FF"/>
        </w:rPr>
        <w:t>SUMMARY OF SIGNIFICANT ACCOUNTING POLICIES - Share-Based Compensation</w:t>
      </w:r>
      <w:r>
        <w:rPr>
          <w:rFonts w:ascii="Arial" w:cs="Arial" w:eastAsia="Arial" w:hAnsi="Arial"/>
          <w:sz w:val="16"/>
          <w:szCs w:val="16"/>
          <w:color w:val="auto"/>
        </w:rPr>
        <w:t>,” for discussion regarding significant accounting policies related to share-based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73</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sz w:val="20"/>
          <w:szCs w:val="20"/>
          <w:color w:val="auto"/>
        </w:rPr>
      </w:pPr>
      <w:r>
        <w:rPr>
          <w:rFonts w:ascii="Arial" w:cs="Arial" w:eastAsia="Arial" w:hAnsi="Arial"/>
          <w:sz w:val="16"/>
          <w:szCs w:val="16"/>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Abercrombie &amp; Fitch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b w:val="1"/>
          <w:bCs w:val="1"/>
          <w:color w:val="AC7E65"/>
        </w:rPr>
        <w:t>14. DERIVATIVE INSTRUMENTS</w:t>
      </w:r>
    </w:p>
    <w:p>
      <w:pPr>
        <w:spacing w:after="0" w:line="24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of February 1, 2025, the Company had outstanding the following foreign currency exchange forward contracts that were entered into to hedge either a portion, or all, of forecasted foreign-currency-denominated intercompany inventory transactions, the resulting settlement of the foreign-currency-denominated intercompany accounts receivable, or both:</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540" w:type="dxa"/>
            <w:vAlign w:val="bottom"/>
            <w:tcBorders>
              <w:bottom w:val="single" w:sz="8" w:color="F5F5F5"/>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xml:space="preserve">Notional Amount </w:t>
            </w:r>
            <w:r>
              <w:rPr>
                <w:rFonts w:ascii="Arial" w:cs="Arial" w:eastAsia="Arial" w:hAnsi="Arial"/>
                <w:sz w:val="18"/>
                <w:szCs w:val="18"/>
                <w:color w:val="auto"/>
                <w:vertAlign w:val="superscript"/>
              </w:rPr>
              <w:t>(1)</w:t>
            </w:r>
          </w:p>
        </w:tc>
      </w:tr>
      <w:tr>
        <w:trPr>
          <w:trHeight w:val="196"/>
        </w:trPr>
        <w:tc>
          <w:tcPr>
            <w:tcW w:w="9540" w:type="dxa"/>
            <w:vAlign w:val="bottom"/>
            <w:shd w:val="clear" w:color="auto" w:fill="F5F5F5"/>
          </w:tcPr>
          <w:p>
            <w:pPr>
              <w:ind w:left="20"/>
              <w:spacing w:after="0"/>
              <w:rPr>
                <w:sz w:val="20"/>
                <w:szCs w:val="20"/>
                <w:color w:val="auto"/>
              </w:rPr>
            </w:pPr>
            <w:r>
              <w:rPr>
                <w:rFonts w:ascii="Arial" w:cs="Arial" w:eastAsia="Arial" w:hAnsi="Arial"/>
                <w:sz w:val="14"/>
                <w:szCs w:val="14"/>
                <w:color w:val="auto"/>
              </w:rPr>
              <w:t>Euro</w:t>
            </w:r>
          </w:p>
        </w:tc>
        <w:tc>
          <w:tcPr>
            <w:tcW w:w="280" w:type="dxa"/>
            <w:vAlign w:val="bottom"/>
            <w:shd w:val="clear" w:color="auto" w:fill="F5F5F5"/>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shd w:val="clear" w:color="auto" w:fill="F5F5F5"/>
          </w:tcPr>
          <w:p>
            <w:pPr>
              <w:jc w:val="right"/>
              <w:spacing w:after="0"/>
              <w:rPr>
                <w:sz w:val="20"/>
                <w:szCs w:val="20"/>
                <w:color w:val="auto"/>
              </w:rPr>
            </w:pPr>
            <w:r>
              <w:rPr>
                <w:rFonts w:ascii="Arial" w:cs="Arial" w:eastAsia="Arial" w:hAnsi="Arial"/>
                <w:sz w:val="14"/>
                <w:szCs w:val="14"/>
                <w:color w:val="auto"/>
              </w:rPr>
              <w:t>72,219</w:t>
            </w:r>
          </w:p>
        </w:tc>
      </w:tr>
      <w:tr>
        <w:trPr>
          <w:trHeight w:val="198"/>
        </w:trPr>
        <w:tc>
          <w:tcPr>
            <w:tcW w:w="9540" w:type="dxa"/>
            <w:vAlign w:val="bottom"/>
          </w:tcPr>
          <w:p>
            <w:pPr>
              <w:ind w:left="20"/>
              <w:spacing w:after="0"/>
              <w:rPr>
                <w:sz w:val="20"/>
                <w:szCs w:val="20"/>
                <w:color w:val="auto"/>
              </w:rPr>
            </w:pPr>
            <w:r>
              <w:rPr>
                <w:rFonts w:ascii="Arial" w:cs="Arial" w:eastAsia="Arial" w:hAnsi="Arial"/>
                <w:sz w:val="14"/>
                <w:szCs w:val="14"/>
                <w:color w:val="auto"/>
              </w:rPr>
              <w:t>British pound</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79,206</w:t>
            </w:r>
          </w:p>
        </w:tc>
      </w:tr>
      <w:tr>
        <w:trPr>
          <w:trHeight w:val="207"/>
        </w:trPr>
        <w:tc>
          <w:tcPr>
            <w:tcW w:w="9540" w:type="dxa"/>
            <w:vAlign w:val="bottom"/>
            <w:shd w:val="clear" w:color="auto" w:fill="F5F5F5"/>
          </w:tcPr>
          <w:p>
            <w:pPr>
              <w:ind w:left="20"/>
              <w:spacing w:after="0"/>
              <w:rPr>
                <w:sz w:val="20"/>
                <w:szCs w:val="20"/>
                <w:color w:val="auto"/>
              </w:rPr>
            </w:pPr>
            <w:r>
              <w:rPr>
                <w:rFonts w:ascii="Arial" w:cs="Arial" w:eastAsia="Arial" w:hAnsi="Arial"/>
                <w:sz w:val="14"/>
                <w:szCs w:val="14"/>
                <w:color w:val="auto"/>
              </w:rPr>
              <w:t>Canadian dollar</w:t>
            </w:r>
          </w:p>
        </w:tc>
        <w:tc>
          <w:tcPr>
            <w:tcW w:w="280" w:type="dxa"/>
            <w:vAlign w:val="bottom"/>
            <w:shd w:val="clear" w:color="auto" w:fill="F5F5F5"/>
          </w:tcPr>
          <w:p>
            <w:pPr>
              <w:spacing w:after="0"/>
              <w:rPr>
                <w:sz w:val="17"/>
                <w:szCs w:val="17"/>
                <w:color w:val="auto"/>
              </w:rPr>
            </w:pPr>
          </w:p>
        </w:tc>
        <w:tc>
          <w:tcPr>
            <w:tcW w:w="1420" w:type="dxa"/>
            <w:vAlign w:val="bottom"/>
            <w:shd w:val="clear" w:color="auto" w:fill="F5F5F5"/>
          </w:tcPr>
          <w:p>
            <w:pPr>
              <w:jc w:val="right"/>
              <w:spacing w:after="0"/>
              <w:rPr>
                <w:sz w:val="20"/>
                <w:szCs w:val="20"/>
                <w:color w:val="auto"/>
              </w:rPr>
            </w:pPr>
            <w:r>
              <w:rPr>
                <w:rFonts w:ascii="Arial" w:cs="Arial" w:eastAsia="Arial" w:hAnsi="Arial"/>
                <w:sz w:val="14"/>
                <w:szCs w:val="14"/>
                <w:color w:val="auto"/>
              </w:rPr>
              <w:t>26,186</w:t>
            </w:r>
          </w:p>
        </w:tc>
      </w:tr>
    </w:tbl>
    <w:p>
      <w:pPr>
        <w:spacing w:after="0" w:line="51" w:lineRule="exact"/>
        <w:rPr>
          <w:sz w:val="20"/>
          <w:szCs w:val="20"/>
          <w:color w:val="auto"/>
        </w:rPr>
      </w:pPr>
    </w:p>
    <w:p>
      <w:pPr>
        <w:ind w:left="340" w:hanging="332"/>
        <w:spacing w:after="0"/>
        <w:tabs>
          <w:tab w:leader="none" w:pos="340" w:val="left"/>
        </w:tabs>
        <w:numPr>
          <w:ilvl w:val="0"/>
          <w:numId w:val="71"/>
        </w:numPr>
        <w:rPr>
          <w:rFonts w:ascii="Arial" w:cs="Arial" w:eastAsia="Arial" w:hAnsi="Arial"/>
          <w:sz w:val="18"/>
          <w:szCs w:val="18"/>
          <w:color w:val="auto"/>
          <w:vertAlign w:val="superscript"/>
        </w:rPr>
      </w:pPr>
      <w:r>
        <w:rPr>
          <w:rFonts w:ascii="Arial" w:cs="Arial" w:eastAsia="Arial" w:hAnsi="Arial"/>
          <w:sz w:val="13"/>
          <w:szCs w:val="13"/>
          <w:color w:val="auto"/>
        </w:rPr>
        <w:t>Amounts reported are the U.S. Dollar notional amounts outstanding as of February 1, 2025.</w:t>
      </w:r>
    </w:p>
    <w:p>
      <w:pPr>
        <w:spacing w:after="0" w:line="200" w:lineRule="exact"/>
        <w:rPr>
          <w:sz w:val="20"/>
          <w:szCs w:val="20"/>
          <w:color w:val="auto"/>
        </w:rPr>
      </w:pPr>
    </w:p>
    <w:p>
      <w:pPr>
        <w:spacing w:after="0" w:line="27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fair value of derivative instruments is determined using quoted market prices of the same or similar instruments, adjusted for counterparty risk. The location and amounts of derivative fair values of foreign currency exchange forward contracts on the Consolidated Balance Sheets as of February 1, 2025, and February 3, 2024 were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500" w:type="dxa"/>
            <w:vAlign w:val="bottom"/>
            <w:tcBorders>
              <w:bottom w:val="single" w:sz="8" w:color="F5F5F5"/>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Location</w:t>
            </w:r>
          </w:p>
        </w:tc>
        <w:tc>
          <w:tcPr>
            <w:tcW w:w="100" w:type="dxa"/>
            <w:vAlign w:val="bottom"/>
            <w:tcBorders>
              <w:bottom w:val="single" w:sz="8" w:color="F5F5F5"/>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February 1, 2025</w:t>
            </w:r>
          </w:p>
        </w:tc>
        <w:tc>
          <w:tcPr>
            <w:tcW w:w="100" w:type="dxa"/>
            <w:vAlign w:val="bottom"/>
            <w:tcBorders>
              <w:bottom w:val="single" w:sz="8" w:color="F5F5F5"/>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February 3, 2024</w:t>
            </w:r>
          </w:p>
        </w:tc>
        <w:tc>
          <w:tcPr>
            <w:tcW w:w="100" w:type="dxa"/>
            <w:vAlign w:val="bottom"/>
            <w:tcBorders>
              <w:bottom w:val="single" w:sz="8" w:color="F5F5F5"/>
            </w:tcBorders>
          </w:tcPr>
          <w:p>
            <w:pPr>
              <w:spacing w:after="0"/>
              <w:rPr>
                <w:sz w:val="16"/>
                <w:szCs w:val="16"/>
                <w:color w:val="auto"/>
              </w:rPr>
            </w:pP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Location</w:t>
            </w:r>
          </w:p>
        </w:tc>
        <w:tc>
          <w:tcPr>
            <w:tcW w:w="100" w:type="dxa"/>
            <w:vAlign w:val="bottom"/>
            <w:tcBorders>
              <w:bottom w:val="single" w:sz="8" w:color="F5F5F5"/>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February 1, 2025</w:t>
            </w:r>
          </w:p>
        </w:tc>
        <w:tc>
          <w:tcPr>
            <w:tcW w:w="120" w:type="dxa"/>
            <w:vAlign w:val="bottom"/>
            <w:tcBorders>
              <w:bottom w:val="single" w:sz="8" w:color="F5F5F5"/>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February 3, 2024</w:t>
            </w:r>
          </w:p>
        </w:tc>
        <w:tc>
          <w:tcPr>
            <w:tcW w:w="0" w:type="dxa"/>
            <w:vAlign w:val="bottom"/>
          </w:tcPr>
          <w:p>
            <w:pPr>
              <w:spacing w:after="0"/>
              <w:rPr>
                <w:sz w:val="1"/>
                <w:szCs w:val="1"/>
                <w:color w:val="auto"/>
              </w:rPr>
            </w:pPr>
          </w:p>
        </w:tc>
      </w:tr>
      <w:tr>
        <w:trPr>
          <w:trHeight w:val="146"/>
        </w:trPr>
        <w:tc>
          <w:tcPr>
            <w:tcW w:w="2500" w:type="dxa"/>
            <w:vAlign w:val="bottom"/>
            <w:shd w:val="clear" w:color="auto" w:fill="F5F5F5"/>
          </w:tcPr>
          <w:p>
            <w:pPr>
              <w:ind w:left="20"/>
              <w:spacing w:after="0" w:line="146" w:lineRule="exact"/>
              <w:rPr>
                <w:sz w:val="20"/>
                <w:szCs w:val="20"/>
                <w:color w:val="auto"/>
              </w:rPr>
            </w:pPr>
            <w:r>
              <w:rPr>
                <w:rFonts w:ascii="Arial" w:cs="Arial" w:eastAsia="Arial" w:hAnsi="Arial"/>
                <w:sz w:val="14"/>
                <w:szCs w:val="14"/>
                <w:color w:val="auto"/>
              </w:rPr>
              <w:t>Derivatives designated as cash flow</w:t>
            </w:r>
          </w:p>
        </w:tc>
        <w:tc>
          <w:tcPr>
            <w:tcW w:w="1260" w:type="dxa"/>
            <w:vAlign w:val="bottom"/>
            <w:gridSpan w:val="2"/>
            <w:shd w:val="clear" w:color="auto" w:fill="F5F5F5"/>
          </w:tcPr>
          <w:p>
            <w:pPr>
              <w:ind w:left="20"/>
              <w:spacing w:after="0" w:line="146" w:lineRule="exact"/>
              <w:rPr>
                <w:sz w:val="20"/>
                <w:szCs w:val="20"/>
                <w:color w:val="auto"/>
              </w:rPr>
            </w:pPr>
            <w:r>
              <w:rPr>
                <w:rFonts w:ascii="Arial" w:cs="Arial" w:eastAsia="Arial" w:hAnsi="Arial"/>
                <w:sz w:val="14"/>
                <w:szCs w:val="14"/>
                <w:color w:val="auto"/>
              </w:rPr>
              <w:t>Other current</w:t>
            </w:r>
          </w:p>
        </w:tc>
        <w:tc>
          <w:tcPr>
            <w:tcW w:w="260" w:type="dxa"/>
            <w:vAlign w:val="bottom"/>
            <w:vMerge w:val="restart"/>
            <w:shd w:val="clear" w:color="auto" w:fill="F5F5F5"/>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F5F5F5"/>
          </w:tcPr>
          <w:p>
            <w:pPr>
              <w:jc w:val="right"/>
              <w:spacing w:after="0"/>
              <w:rPr>
                <w:sz w:val="20"/>
                <w:szCs w:val="20"/>
                <w:color w:val="auto"/>
              </w:rPr>
            </w:pPr>
            <w:r>
              <w:rPr>
                <w:rFonts w:ascii="Arial" w:cs="Arial" w:eastAsia="Arial" w:hAnsi="Arial"/>
                <w:sz w:val="14"/>
                <w:szCs w:val="14"/>
                <w:color w:val="auto"/>
              </w:rPr>
              <w:t>4,315</w:t>
            </w:r>
          </w:p>
        </w:tc>
        <w:tc>
          <w:tcPr>
            <w:tcW w:w="100" w:type="dxa"/>
            <w:vAlign w:val="bottom"/>
            <w:shd w:val="clear" w:color="auto" w:fill="F5F5F5"/>
          </w:tcPr>
          <w:p>
            <w:pPr>
              <w:spacing w:after="0"/>
              <w:rPr>
                <w:sz w:val="12"/>
                <w:szCs w:val="12"/>
                <w:color w:val="auto"/>
              </w:rPr>
            </w:pPr>
          </w:p>
        </w:tc>
        <w:tc>
          <w:tcPr>
            <w:tcW w:w="240" w:type="dxa"/>
            <w:vAlign w:val="bottom"/>
            <w:vMerge w:val="restart"/>
            <w:shd w:val="clear" w:color="auto" w:fill="F5F5F5"/>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F5F5F5"/>
          </w:tcPr>
          <w:p>
            <w:pPr>
              <w:jc w:val="right"/>
              <w:spacing w:after="0"/>
              <w:rPr>
                <w:sz w:val="20"/>
                <w:szCs w:val="20"/>
                <w:color w:val="auto"/>
              </w:rPr>
            </w:pPr>
            <w:r>
              <w:rPr>
                <w:rFonts w:ascii="Arial" w:cs="Arial" w:eastAsia="Arial" w:hAnsi="Arial"/>
                <w:sz w:val="14"/>
                <w:szCs w:val="14"/>
                <w:color w:val="auto"/>
              </w:rPr>
              <w:t>1,090</w:t>
            </w:r>
          </w:p>
        </w:tc>
        <w:tc>
          <w:tcPr>
            <w:tcW w:w="100" w:type="dxa"/>
            <w:vAlign w:val="bottom"/>
            <w:shd w:val="clear" w:color="auto" w:fill="F5F5F5"/>
          </w:tcPr>
          <w:p>
            <w:pPr>
              <w:spacing w:after="0"/>
              <w:rPr>
                <w:sz w:val="12"/>
                <w:szCs w:val="12"/>
                <w:color w:val="auto"/>
              </w:rPr>
            </w:pPr>
          </w:p>
        </w:tc>
        <w:tc>
          <w:tcPr>
            <w:tcW w:w="1120" w:type="dxa"/>
            <w:vAlign w:val="bottom"/>
            <w:gridSpan w:val="2"/>
            <w:shd w:val="clear" w:color="auto" w:fill="F5F5F5"/>
          </w:tcPr>
          <w:p>
            <w:pPr>
              <w:ind w:left="20"/>
              <w:spacing w:after="0" w:line="146" w:lineRule="exact"/>
              <w:rPr>
                <w:sz w:val="20"/>
                <w:szCs w:val="20"/>
                <w:color w:val="auto"/>
              </w:rPr>
            </w:pPr>
            <w:r>
              <w:rPr>
                <w:rFonts w:ascii="Arial" w:cs="Arial" w:eastAsia="Arial" w:hAnsi="Arial"/>
                <w:sz w:val="14"/>
                <w:szCs w:val="14"/>
                <w:color w:val="auto"/>
              </w:rPr>
              <w:t>Accrued</w:t>
            </w:r>
          </w:p>
        </w:tc>
        <w:tc>
          <w:tcPr>
            <w:tcW w:w="260" w:type="dxa"/>
            <w:vAlign w:val="bottom"/>
            <w:vMerge w:val="restart"/>
            <w:shd w:val="clear" w:color="auto" w:fill="F5F5F5"/>
          </w:tcPr>
          <w:p>
            <w:pPr>
              <w:jc w:val="right"/>
              <w:ind w:right="88"/>
              <w:spacing w:after="0"/>
              <w:rPr>
                <w:sz w:val="20"/>
                <w:szCs w:val="20"/>
                <w:color w:val="auto"/>
              </w:rPr>
            </w:pPr>
            <w:r>
              <w:rPr>
                <w:rFonts w:ascii="Arial" w:cs="Arial" w:eastAsia="Arial" w:hAnsi="Arial"/>
                <w:sz w:val="14"/>
                <w:szCs w:val="14"/>
                <w:color w:val="auto"/>
              </w:rPr>
              <w:t>$</w:t>
            </w:r>
          </w:p>
        </w:tc>
        <w:tc>
          <w:tcPr>
            <w:tcW w:w="1400" w:type="dxa"/>
            <w:vAlign w:val="bottom"/>
            <w:gridSpan w:val="2"/>
            <w:vMerge w:val="restart"/>
            <w:shd w:val="clear" w:color="auto" w:fill="F5F5F5"/>
          </w:tcPr>
          <w:p>
            <w:pPr>
              <w:ind w:left="1080"/>
              <w:spacing w:after="0"/>
              <w:rPr>
                <w:sz w:val="20"/>
                <w:szCs w:val="20"/>
                <w:color w:val="auto"/>
              </w:rPr>
            </w:pPr>
            <w:r>
              <w:rPr>
                <w:rFonts w:ascii="Arial" w:cs="Arial" w:eastAsia="Arial" w:hAnsi="Arial"/>
                <w:sz w:val="14"/>
                <w:szCs w:val="14"/>
                <w:color w:val="auto"/>
              </w:rPr>
              <w:t>—</w:t>
            </w:r>
          </w:p>
        </w:tc>
        <w:tc>
          <w:tcPr>
            <w:tcW w:w="220" w:type="dxa"/>
            <w:vAlign w:val="bottom"/>
            <w:vMerge w:val="restart"/>
            <w:shd w:val="clear" w:color="auto" w:fill="F5F5F5"/>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vMerge w:val="restart"/>
            <w:shd w:val="clear" w:color="auto" w:fill="F5F5F5"/>
          </w:tcPr>
          <w:p>
            <w:pPr>
              <w:jc w:val="right"/>
              <w:spacing w:after="0"/>
              <w:rPr>
                <w:sz w:val="20"/>
                <w:szCs w:val="20"/>
                <w:color w:val="auto"/>
              </w:rPr>
            </w:pPr>
            <w:r>
              <w:rPr>
                <w:rFonts w:ascii="Arial" w:cs="Arial" w:eastAsia="Arial" w:hAnsi="Arial"/>
                <w:sz w:val="14"/>
                <w:szCs w:val="14"/>
                <w:color w:val="auto"/>
              </w:rPr>
              <w:t>539</w:t>
            </w:r>
          </w:p>
        </w:tc>
        <w:tc>
          <w:tcPr>
            <w:tcW w:w="0" w:type="dxa"/>
            <w:vAlign w:val="bottom"/>
          </w:tcPr>
          <w:p>
            <w:pPr>
              <w:spacing w:after="0"/>
              <w:rPr>
                <w:sz w:val="1"/>
                <w:szCs w:val="1"/>
                <w:color w:val="auto"/>
              </w:rPr>
            </w:pPr>
          </w:p>
        </w:tc>
      </w:tr>
      <w:tr>
        <w:trPr>
          <w:trHeight w:val="189"/>
        </w:trPr>
        <w:tc>
          <w:tcPr>
            <w:tcW w:w="2500" w:type="dxa"/>
            <w:vAlign w:val="bottom"/>
            <w:shd w:val="clear" w:color="auto" w:fill="F5F5F5"/>
          </w:tcPr>
          <w:p>
            <w:pPr>
              <w:ind w:left="180"/>
              <w:spacing w:after="0"/>
              <w:rPr>
                <w:sz w:val="20"/>
                <w:szCs w:val="20"/>
                <w:color w:val="auto"/>
              </w:rPr>
            </w:pPr>
            <w:r>
              <w:rPr>
                <w:rFonts w:ascii="Arial" w:cs="Arial" w:eastAsia="Arial" w:hAnsi="Arial"/>
                <w:sz w:val="14"/>
                <w:szCs w:val="14"/>
                <w:color w:val="auto"/>
              </w:rPr>
              <w:t>hedging instruments</w:t>
            </w:r>
          </w:p>
        </w:tc>
        <w:tc>
          <w:tcPr>
            <w:tcW w:w="1260" w:type="dxa"/>
            <w:vAlign w:val="bottom"/>
            <w:gridSpan w:val="2"/>
            <w:shd w:val="clear" w:color="auto" w:fill="F5F5F5"/>
          </w:tcPr>
          <w:p>
            <w:pPr>
              <w:ind w:left="20"/>
              <w:spacing w:after="0"/>
              <w:rPr>
                <w:sz w:val="20"/>
                <w:szCs w:val="20"/>
                <w:color w:val="auto"/>
              </w:rPr>
            </w:pPr>
            <w:r>
              <w:rPr>
                <w:rFonts w:ascii="Arial" w:cs="Arial" w:eastAsia="Arial" w:hAnsi="Arial"/>
                <w:sz w:val="14"/>
                <w:szCs w:val="14"/>
                <w:color w:val="auto"/>
              </w:rPr>
              <w:t>assets</w:t>
            </w:r>
          </w:p>
        </w:tc>
        <w:tc>
          <w:tcPr>
            <w:tcW w:w="260" w:type="dxa"/>
            <w:vAlign w:val="bottom"/>
            <w:vMerge w:val="continue"/>
            <w:shd w:val="clear" w:color="auto" w:fill="F5F5F5"/>
          </w:tcPr>
          <w:p>
            <w:pPr>
              <w:spacing w:after="0"/>
              <w:rPr>
                <w:sz w:val="16"/>
                <w:szCs w:val="16"/>
                <w:color w:val="auto"/>
              </w:rPr>
            </w:pPr>
          </w:p>
        </w:tc>
        <w:tc>
          <w:tcPr>
            <w:tcW w:w="1280" w:type="dxa"/>
            <w:vAlign w:val="bottom"/>
            <w:vMerge w:val="continue"/>
            <w:shd w:val="clear" w:color="auto" w:fill="F5F5F5"/>
          </w:tcPr>
          <w:p>
            <w:pPr>
              <w:spacing w:after="0"/>
              <w:rPr>
                <w:sz w:val="16"/>
                <w:szCs w:val="16"/>
                <w:color w:val="auto"/>
              </w:rPr>
            </w:pPr>
          </w:p>
        </w:tc>
        <w:tc>
          <w:tcPr>
            <w:tcW w:w="100" w:type="dxa"/>
            <w:vAlign w:val="bottom"/>
            <w:shd w:val="clear" w:color="auto" w:fill="F5F5F5"/>
          </w:tcPr>
          <w:p>
            <w:pPr>
              <w:spacing w:after="0"/>
              <w:rPr>
                <w:sz w:val="16"/>
                <w:szCs w:val="16"/>
                <w:color w:val="auto"/>
              </w:rPr>
            </w:pPr>
          </w:p>
        </w:tc>
        <w:tc>
          <w:tcPr>
            <w:tcW w:w="240" w:type="dxa"/>
            <w:vAlign w:val="bottom"/>
            <w:vMerge w:val="continue"/>
            <w:shd w:val="clear" w:color="auto" w:fill="F5F5F5"/>
          </w:tcPr>
          <w:p>
            <w:pPr>
              <w:spacing w:after="0"/>
              <w:rPr>
                <w:sz w:val="16"/>
                <w:szCs w:val="16"/>
                <w:color w:val="auto"/>
              </w:rPr>
            </w:pPr>
          </w:p>
        </w:tc>
        <w:tc>
          <w:tcPr>
            <w:tcW w:w="1240" w:type="dxa"/>
            <w:vAlign w:val="bottom"/>
            <w:vMerge w:val="continue"/>
            <w:shd w:val="clear" w:color="auto" w:fill="F5F5F5"/>
          </w:tcPr>
          <w:p>
            <w:pPr>
              <w:spacing w:after="0"/>
              <w:rPr>
                <w:sz w:val="16"/>
                <w:szCs w:val="16"/>
                <w:color w:val="auto"/>
              </w:rPr>
            </w:pPr>
          </w:p>
        </w:tc>
        <w:tc>
          <w:tcPr>
            <w:tcW w:w="100" w:type="dxa"/>
            <w:vAlign w:val="bottom"/>
            <w:shd w:val="clear" w:color="auto" w:fill="F5F5F5"/>
          </w:tcPr>
          <w:p>
            <w:pPr>
              <w:spacing w:after="0"/>
              <w:rPr>
                <w:sz w:val="16"/>
                <w:szCs w:val="16"/>
                <w:color w:val="auto"/>
              </w:rPr>
            </w:pPr>
          </w:p>
        </w:tc>
        <w:tc>
          <w:tcPr>
            <w:tcW w:w="1120" w:type="dxa"/>
            <w:vAlign w:val="bottom"/>
            <w:gridSpan w:val="2"/>
            <w:shd w:val="clear" w:color="auto" w:fill="F5F5F5"/>
          </w:tcPr>
          <w:p>
            <w:pPr>
              <w:ind w:left="20"/>
              <w:spacing w:after="0"/>
              <w:rPr>
                <w:sz w:val="20"/>
                <w:szCs w:val="20"/>
                <w:color w:val="auto"/>
              </w:rPr>
            </w:pPr>
            <w:r>
              <w:rPr>
                <w:rFonts w:ascii="Arial" w:cs="Arial" w:eastAsia="Arial" w:hAnsi="Arial"/>
                <w:sz w:val="14"/>
                <w:szCs w:val="14"/>
                <w:color w:val="auto"/>
              </w:rPr>
              <w:t>expenses</w:t>
            </w:r>
          </w:p>
        </w:tc>
        <w:tc>
          <w:tcPr>
            <w:tcW w:w="260" w:type="dxa"/>
            <w:vAlign w:val="bottom"/>
            <w:vMerge w:val="continue"/>
            <w:shd w:val="clear" w:color="auto" w:fill="F5F5F5"/>
          </w:tcPr>
          <w:p>
            <w:pPr>
              <w:spacing w:after="0"/>
              <w:rPr>
                <w:sz w:val="16"/>
                <w:szCs w:val="16"/>
                <w:color w:val="auto"/>
              </w:rPr>
            </w:pPr>
          </w:p>
        </w:tc>
        <w:tc>
          <w:tcPr>
            <w:tcW w:w="1400" w:type="dxa"/>
            <w:vAlign w:val="bottom"/>
            <w:gridSpan w:val="2"/>
            <w:vMerge w:val="continue"/>
            <w:shd w:val="clear" w:color="auto" w:fill="F5F5F5"/>
          </w:tcPr>
          <w:p>
            <w:pPr>
              <w:spacing w:after="0"/>
              <w:rPr>
                <w:sz w:val="16"/>
                <w:szCs w:val="16"/>
                <w:color w:val="auto"/>
              </w:rPr>
            </w:pPr>
          </w:p>
        </w:tc>
        <w:tc>
          <w:tcPr>
            <w:tcW w:w="220" w:type="dxa"/>
            <w:vAlign w:val="bottom"/>
            <w:vMerge w:val="continue"/>
            <w:shd w:val="clear" w:color="auto" w:fill="F5F5F5"/>
          </w:tcPr>
          <w:p>
            <w:pPr>
              <w:spacing w:after="0"/>
              <w:rPr>
                <w:sz w:val="16"/>
                <w:szCs w:val="16"/>
                <w:color w:val="auto"/>
              </w:rPr>
            </w:pPr>
          </w:p>
        </w:tc>
        <w:tc>
          <w:tcPr>
            <w:tcW w:w="1260" w:type="dxa"/>
            <w:vAlign w:val="bottom"/>
            <w:vMerge w:val="continue"/>
            <w:shd w:val="clear" w:color="auto" w:fill="F5F5F5"/>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7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Derivatives not designated as hedging Other current</w:t>
            </w:r>
          </w:p>
        </w:tc>
        <w:tc>
          <w:tcPr>
            <w:tcW w:w="260" w:type="dxa"/>
            <w:vAlign w:val="bottom"/>
          </w:tcPr>
          <w:p>
            <w:pPr>
              <w:spacing w:after="0"/>
              <w:rPr>
                <w:sz w:val="12"/>
                <w:szCs w:val="12"/>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2"/>
                <w:szCs w:val="12"/>
                <w:color w:val="auto"/>
              </w:rPr>
            </w:pPr>
          </w:p>
        </w:tc>
        <w:tc>
          <w:tcPr>
            <w:tcW w:w="11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Accrued</w:t>
            </w:r>
          </w:p>
        </w:tc>
        <w:tc>
          <w:tcPr>
            <w:tcW w:w="260" w:type="dxa"/>
            <w:vAlign w:val="bottom"/>
          </w:tcPr>
          <w:p>
            <w:pPr>
              <w:spacing w:after="0"/>
              <w:rPr>
                <w:sz w:val="12"/>
                <w:szCs w:val="12"/>
                <w:color w:val="auto"/>
              </w:rPr>
            </w:pPr>
          </w:p>
        </w:tc>
        <w:tc>
          <w:tcPr>
            <w:tcW w:w="1280" w:type="dxa"/>
            <w:vAlign w:val="bottom"/>
            <w:vMerge w:val="restart"/>
          </w:tcPr>
          <w:p>
            <w:pPr>
              <w:ind w:left="108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500" w:type="dxa"/>
            <w:vAlign w:val="bottom"/>
            <w:tcBorders>
              <w:bottom w:val="single" w:sz="8" w:color="F5F5F5"/>
            </w:tcBorders>
          </w:tcPr>
          <w:p>
            <w:pPr>
              <w:ind w:left="180"/>
              <w:spacing w:after="0"/>
              <w:rPr>
                <w:sz w:val="20"/>
                <w:szCs w:val="20"/>
                <w:color w:val="auto"/>
              </w:rPr>
            </w:pPr>
            <w:r>
              <w:rPr>
                <w:rFonts w:ascii="Arial" w:cs="Arial" w:eastAsia="Arial" w:hAnsi="Arial"/>
                <w:sz w:val="14"/>
                <w:szCs w:val="14"/>
                <w:color w:val="auto"/>
              </w:rPr>
              <w:t>instruments</w:t>
            </w:r>
          </w:p>
        </w:tc>
        <w:tc>
          <w:tcPr>
            <w:tcW w:w="1260" w:type="dxa"/>
            <w:vAlign w:val="bottom"/>
            <w:tcBorders>
              <w:bottom w:val="single" w:sz="8" w:color="F5F5F5"/>
            </w:tcBorders>
            <w:gridSpan w:val="2"/>
          </w:tcPr>
          <w:p>
            <w:pPr>
              <w:ind w:left="20"/>
              <w:spacing w:after="0"/>
              <w:rPr>
                <w:sz w:val="20"/>
                <w:szCs w:val="20"/>
                <w:color w:val="auto"/>
              </w:rPr>
            </w:pPr>
            <w:r>
              <w:rPr>
                <w:rFonts w:ascii="Arial" w:cs="Arial" w:eastAsia="Arial" w:hAnsi="Arial"/>
                <w:sz w:val="14"/>
                <w:szCs w:val="14"/>
                <w:color w:val="auto"/>
              </w:rPr>
              <w:t>assets</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F5F5F5"/>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F5F5F5"/>
            </w:tcBorders>
          </w:tcPr>
          <w:p>
            <w:pPr>
              <w:spacing w:after="0"/>
              <w:rPr>
                <w:sz w:val="16"/>
                <w:szCs w:val="16"/>
                <w:color w:val="auto"/>
              </w:rPr>
            </w:pPr>
          </w:p>
        </w:tc>
        <w:tc>
          <w:tcPr>
            <w:tcW w:w="1120" w:type="dxa"/>
            <w:vAlign w:val="bottom"/>
            <w:tcBorders>
              <w:bottom w:val="single" w:sz="8" w:color="F5F5F5"/>
            </w:tcBorders>
            <w:gridSpan w:val="2"/>
          </w:tcPr>
          <w:p>
            <w:pPr>
              <w:ind w:left="20"/>
              <w:spacing w:after="0"/>
              <w:rPr>
                <w:sz w:val="20"/>
                <w:szCs w:val="20"/>
                <w:color w:val="auto"/>
              </w:rPr>
            </w:pPr>
            <w:r>
              <w:rPr>
                <w:rFonts w:ascii="Arial" w:cs="Arial" w:eastAsia="Arial" w:hAnsi="Arial"/>
                <w:sz w:val="14"/>
                <w:szCs w:val="14"/>
                <w:color w:val="auto"/>
              </w:rPr>
              <w:t>expenses</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F5F5F5"/>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F5F5F5"/>
          </w:tcPr>
          <w:p>
            <w:pPr>
              <w:ind w:left="20"/>
              <w:spacing w:after="0"/>
              <w:rPr>
                <w:sz w:val="20"/>
                <w:szCs w:val="20"/>
                <w:color w:val="auto"/>
              </w:rPr>
            </w:pPr>
            <w:r>
              <w:rPr>
                <w:rFonts w:ascii="Arial" w:cs="Arial" w:eastAsia="Arial" w:hAnsi="Arial"/>
                <w:sz w:val="14"/>
                <w:szCs w:val="14"/>
                <w:color w:val="auto"/>
              </w:rPr>
              <w:t>Total</w:t>
            </w:r>
          </w:p>
        </w:tc>
        <w:tc>
          <w:tcPr>
            <w:tcW w:w="1160" w:type="dxa"/>
            <w:vAlign w:val="bottom"/>
            <w:shd w:val="clear" w:color="auto" w:fill="F5F5F5"/>
          </w:tcPr>
          <w:p>
            <w:pPr>
              <w:spacing w:after="0"/>
              <w:rPr>
                <w:sz w:val="18"/>
                <w:szCs w:val="18"/>
                <w:color w:val="auto"/>
              </w:rPr>
            </w:pPr>
          </w:p>
        </w:tc>
        <w:tc>
          <w:tcPr>
            <w:tcW w:w="100" w:type="dxa"/>
            <w:vAlign w:val="bottom"/>
            <w:shd w:val="clear" w:color="auto" w:fill="F5F5F5"/>
          </w:tcPr>
          <w:p>
            <w:pPr>
              <w:spacing w:after="0"/>
              <w:rPr>
                <w:sz w:val="18"/>
                <w:szCs w:val="18"/>
                <w:color w:val="auto"/>
              </w:rPr>
            </w:pPr>
          </w:p>
        </w:tc>
        <w:tc>
          <w:tcPr>
            <w:tcW w:w="260" w:type="dxa"/>
            <w:vAlign w:val="bottom"/>
            <w:shd w:val="clear" w:color="auto" w:fill="F5F5F5"/>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4,315</w:t>
            </w:r>
          </w:p>
        </w:tc>
        <w:tc>
          <w:tcPr>
            <w:tcW w:w="100" w:type="dxa"/>
            <w:vAlign w:val="bottom"/>
            <w:shd w:val="clear" w:color="auto" w:fill="F5F5F5"/>
          </w:tcPr>
          <w:p>
            <w:pPr>
              <w:spacing w:after="0"/>
              <w:rPr>
                <w:sz w:val="18"/>
                <w:szCs w:val="18"/>
                <w:color w:val="auto"/>
              </w:rPr>
            </w:pPr>
          </w:p>
        </w:tc>
        <w:tc>
          <w:tcPr>
            <w:tcW w:w="240" w:type="dxa"/>
            <w:vAlign w:val="bottom"/>
            <w:shd w:val="clear" w:color="auto" w:fill="F5F5F5"/>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1,092</w:t>
            </w:r>
          </w:p>
        </w:tc>
        <w:tc>
          <w:tcPr>
            <w:tcW w:w="100" w:type="dxa"/>
            <w:vAlign w:val="bottom"/>
            <w:shd w:val="clear" w:color="auto" w:fill="F5F5F5"/>
          </w:tcPr>
          <w:p>
            <w:pPr>
              <w:spacing w:after="0"/>
              <w:rPr>
                <w:sz w:val="18"/>
                <w:szCs w:val="18"/>
                <w:color w:val="auto"/>
              </w:rPr>
            </w:pPr>
          </w:p>
        </w:tc>
        <w:tc>
          <w:tcPr>
            <w:tcW w:w="1020" w:type="dxa"/>
            <w:vAlign w:val="bottom"/>
            <w:shd w:val="clear" w:color="auto" w:fill="F5F5F5"/>
          </w:tcPr>
          <w:p>
            <w:pPr>
              <w:spacing w:after="0"/>
              <w:rPr>
                <w:sz w:val="18"/>
                <w:szCs w:val="18"/>
                <w:color w:val="auto"/>
              </w:rPr>
            </w:pPr>
          </w:p>
        </w:tc>
        <w:tc>
          <w:tcPr>
            <w:tcW w:w="100" w:type="dxa"/>
            <w:vAlign w:val="bottom"/>
            <w:shd w:val="clear" w:color="auto" w:fill="F5F5F5"/>
          </w:tcPr>
          <w:p>
            <w:pPr>
              <w:spacing w:after="0"/>
              <w:rPr>
                <w:sz w:val="18"/>
                <w:szCs w:val="18"/>
                <w:color w:val="auto"/>
              </w:rPr>
            </w:pPr>
          </w:p>
        </w:tc>
        <w:tc>
          <w:tcPr>
            <w:tcW w:w="260" w:type="dxa"/>
            <w:vAlign w:val="bottom"/>
            <w:shd w:val="clear" w:color="auto" w:fill="F5F5F5"/>
          </w:tcPr>
          <w:p>
            <w:pPr>
              <w:jc w:val="right"/>
              <w:ind w:right="88"/>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F5F5F5"/>
          </w:tcPr>
          <w:p>
            <w:pPr>
              <w:ind w:left="1080"/>
              <w:spacing w:after="0"/>
              <w:rPr>
                <w:sz w:val="20"/>
                <w:szCs w:val="20"/>
                <w:color w:val="auto"/>
              </w:rPr>
            </w:pPr>
            <w:r>
              <w:rPr>
                <w:rFonts w:ascii="Arial" w:cs="Arial" w:eastAsia="Arial" w:hAnsi="Arial"/>
                <w:sz w:val="14"/>
                <w:szCs w:val="14"/>
                <w:color w:val="auto"/>
              </w:rPr>
              <w:t>—</w:t>
            </w:r>
          </w:p>
        </w:tc>
        <w:tc>
          <w:tcPr>
            <w:tcW w:w="220" w:type="dxa"/>
            <w:vAlign w:val="bottom"/>
            <w:shd w:val="clear" w:color="auto" w:fill="F5F5F5"/>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F5F5F5"/>
          </w:tcPr>
          <w:p>
            <w:pPr>
              <w:jc w:val="right"/>
              <w:spacing w:after="0"/>
              <w:rPr>
                <w:sz w:val="20"/>
                <w:szCs w:val="20"/>
                <w:color w:val="auto"/>
              </w:rPr>
            </w:pPr>
            <w:r>
              <w:rPr>
                <w:rFonts w:ascii="Arial" w:cs="Arial" w:eastAsia="Arial" w:hAnsi="Arial"/>
                <w:sz w:val="14"/>
                <w:szCs w:val="14"/>
                <w:color w:val="auto"/>
              </w:rPr>
              <w:t>539</w:t>
            </w:r>
          </w:p>
        </w:tc>
        <w:tc>
          <w:tcPr>
            <w:tcW w:w="0" w:type="dxa"/>
            <w:vAlign w:val="bottom"/>
          </w:tcPr>
          <w:p>
            <w:pPr>
              <w:spacing w:after="0"/>
              <w:rPr>
                <w:sz w:val="1"/>
                <w:szCs w:val="1"/>
                <w:color w:val="auto"/>
              </w:rPr>
            </w:pPr>
          </w:p>
        </w:tc>
      </w:tr>
      <w:tr>
        <w:trPr>
          <w:trHeight w:val="20"/>
        </w:trPr>
        <w:tc>
          <w:tcPr>
            <w:tcW w:w="2500" w:type="dxa"/>
            <w:vAlign w:val="bottom"/>
            <w:tcBorders>
              <w:top w:val="single" w:sz="8" w:color="F5F5F5"/>
            </w:tcBorders>
          </w:tcPr>
          <w:p>
            <w:pPr>
              <w:spacing w:after="0" w:line="20" w:lineRule="exact"/>
              <w:rPr>
                <w:sz w:val="1"/>
                <w:szCs w:val="1"/>
                <w:color w:val="auto"/>
              </w:rPr>
            </w:pPr>
          </w:p>
        </w:tc>
        <w:tc>
          <w:tcPr>
            <w:tcW w:w="1160" w:type="dxa"/>
            <w:vAlign w:val="bottom"/>
            <w:tcBorders>
              <w:top w:val="single" w:sz="8" w:color="F5F5F5"/>
            </w:tcBorders>
          </w:tcPr>
          <w:p>
            <w:pPr>
              <w:spacing w:after="0" w:line="20" w:lineRule="exact"/>
              <w:rPr>
                <w:sz w:val="1"/>
                <w:szCs w:val="1"/>
                <w:color w:val="auto"/>
              </w:rPr>
            </w:pPr>
          </w:p>
        </w:tc>
        <w:tc>
          <w:tcPr>
            <w:tcW w:w="100" w:type="dxa"/>
            <w:vAlign w:val="bottom"/>
            <w:tcBorders>
              <w:top w:val="single" w:sz="8" w:color="F5F5F5"/>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5F5F5"/>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5F5F5"/>
            </w:tcBorders>
          </w:tcPr>
          <w:p>
            <w:pPr>
              <w:spacing w:after="0" w:line="20" w:lineRule="exact"/>
              <w:rPr>
                <w:sz w:val="1"/>
                <w:szCs w:val="1"/>
                <w:color w:val="auto"/>
              </w:rPr>
            </w:pPr>
          </w:p>
        </w:tc>
        <w:tc>
          <w:tcPr>
            <w:tcW w:w="1020" w:type="dxa"/>
            <w:vAlign w:val="bottom"/>
            <w:tcBorders>
              <w:top w:val="single" w:sz="8" w:color="F5F5F5"/>
            </w:tcBorders>
          </w:tcPr>
          <w:p>
            <w:pPr>
              <w:spacing w:after="0" w:line="20" w:lineRule="exact"/>
              <w:rPr>
                <w:sz w:val="1"/>
                <w:szCs w:val="1"/>
                <w:color w:val="auto"/>
              </w:rPr>
            </w:pPr>
          </w:p>
        </w:tc>
        <w:tc>
          <w:tcPr>
            <w:tcW w:w="100" w:type="dxa"/>
            <w:vAlign w:val="bottom"/>
            <w:tcBorders>
              <w:top w:val="single" w:sz="8" w:color="F5F5F5"/>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5F5F5"/>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Refer to Note 4, “</w:t>
      </w:r>
      <w:r>
        <w:rPr>
          <w:rFonts w:ascii="Arial" w:cs="Arial" w:eastAsia="Arial" w:hAnsi="Arial"/>
          <w:sz w:val="16"/>
          <w:szCs w:val="16"/>
          <w:i w:val="1"/>
          <w:iCs w:val="1"/>
          <w:u w:val="single" w:color="auto"/>
          <w:color w:val="0000FF"/>
        </w:rPr>
        <w:t>FAIR VALUE</w:t>
      </w:r>
      <w:r>
        <w:rPr>
          <w:rFonts w:ascii="Arial" w:cs="Arial" w:eastAsia="Arial" w:hAnsi="Arial"/>
          <w:sz w:val="16"/>
          <w:szCs w:val="16"/>
          <w:i w:val="1"/>
          <w:iCs w:val="1"/>
          <w:color w:val="auto"/>
        </w:rPr>
        <w:t>,</w:t>
      </w:r>
      <w:r>
        <w:rPr>
          <w:rFonts w:ascii="Arial" w:cs="Arial" w:eastAsia="Arial" w:hAnsi="Arial"/>
          <w:sz w:val="16"/>
          <w:szCs w:val="16"/>
          <w:color w:val="auto"/>
        </w:rPr>
        <w:t>” for further discussion of the determination of the fair value of derivative instruments. Additional information pertaining to derivative gains or losses from foreign currency exchange forward contracts designated as cash flow hedging instruments for Fiscal 2024, Fiscal 2023 and Fiscal 2022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2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6"/>
                <w:szCs w:val="16"/>
                <w:color w:val="auto"/>
              </w:rPr>
            </w:pPr>
          </w:p>
        </w:tc>
        <w:tc>
          <w:tcPr>
            <w:tcW w:w="1080" w:type="dxa"/>
            <w:vAlign w:val="bottom"/>
            <w:gridSpan w:val="2"/>
          </w:tcPr>
          <w:p>
            <w:pPr>
              <w:ind w:left="220"/>
              <w:spacing w:after="0"/>
              <w:rPr>
                <w:sz w:val="20"/>
                <w:szCs w:val="20"/>
                <w:color w:val="auto"/>
              </w:rPr>
            </w:pPr>
            <w:r>
              <w:rPr>
                <w:rFonts w:ascii="Arial" w:cs="Arial" w:eastAsia="Arial" w:hAnsi="Arial"/>
                <w:sz w:val="14"/>
                <w:szCs w:val="14"/>
                <w:color w:val="auto"/>
              </w:rPr>
              <w:t>Fiscal 2024</w:t>
            </w:r>
          </w:p>
        </w:tc>
        <w:tc>
          <w:tcPr>
            <w:tcW w:w="300" w:type="dxa"/>
            <w:vAlign w:val="bottom"/>
          </w:tcPr>
          <w:p>
            <w:pPr>
              <w:spacing w:after="0"/>
              <w:rPr>
                <w:sz w:val="16"/>
                <w:szCs w:val="16"/>
                <w:color w:val="auto"/>
              </w:rPr>
            </w:pPr>
          </w:p>
        </w:tc>
        <w:tc>
          <w:tcPr>
            <w:tcW w:w="1080" w:type="dxa"/>
            <w:vAlign w:val="bottom"/>
            <w:gridSpan w:val="2"/>
          </w:tcPr>
          <w:p>
            <w:pPr>
              <w:ind w:left="200"/>
              <w:spacing w:after="0"/>
              <w:rPr>
                <w:sz w:val="20"/>
                <w:szCs w:val="20"/>
                <w:color w:val="auto"/>
              </w:rPr>
            </w:pPr>
            <w:r>
              <w:rPr>
                <w:rFonts w:ascii="Arial" w:cs="Arial" w:eastAsia="Arial" w:hAnsi="Arial"/>
                <w:sz w:val="14"/>
                <w:szCs w:val="14"/>
                <w:color w:val="auto"/>
              </w:rPr>
              <w:t>Fiscal 2023</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Fiscal 2022</w:t>
            </w:r>
          </w:p>
        </w:tc>
      </w:tr>
      <w:tr>
        <w:trPr>
          <w:trHeight w:val="200"/>
        </w:trPr>
        <w:tc>
          <w:tcPr>
            <w:tcW w:w="7220" w:type="dxa"/>
            <w:vAlign w:val="bottom"/>
            <w:tcBorders>
              <w:top w:val="single" w:sz="8" w:color="F5F5F5"/>
            </w:tcBorders>
            <w:shd w:val="clear" w:color="auto" w:fill="F5F5F5"/>
          </w:tcPr>
          <w:p>
            <w:pPr>
              <w:ind w:left="20"/>
              <w:spacing w:after="0" w:line="200" w:lineRule="exact"/>
              <w:rPr>
                <w:sz w:val="20"/>
                <w:szCs w:val="20"/>
                <w:color w:val="auto"/>
              </w:rPr>
            </w:pPr>
            <w:r>
              <w:rPr>
                <w:rFonts w:ascii="Arial" w:cs="Arial" w:eastAsia="Arial" w:hAnsi="Arial"/>
                <w:sz w:val="14"/>
                <w:szCs w:val="14"/>
                <w:color w:val="auto"/>
              </w:rPr>
              <w:t xml:space="preserve">Gain recognized in AOCL </w:t>
            </w:r>
            <w:r>
              <w:rPr>
                <w:rFonts w:ascii="Arial" w:cs="Arial" w:eastAsia="Arial" w:hAnsi="Arial"/>
                <w:sz w:val="18"/>
                <w:szCs w:val="18"/>
                <w:color w:val="auto"/>
                <w:vertAlign w:val="superscript"/>
              </w:rPr>
              <w:t>(1)</w:t>
            </w:r>
          </w:p>
        </w:tc>
        <w:tc>
          <w:tcPr>
            <w:tcW w:w="300" w:type="dxa"/>
            <w:vAlign w:val="bottom"/>
            <w:tcBorders>
              <w:top w:val="single" w:sz="8" w:color="auto"/>
            </w:tcBorders>
            <w:shd w:val="clear" w:color="auto" w:fill="F5F5F5"/>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6,473</w:t>
            </w:r>
          </w:p>
        </w:tc>
        <w:tc>
          <w:tcPr>
            <w:tcW w:w="120" w:type="dxa"/>
            <w:vAlign w:val="bottom"/>
            <w:tcBorders>
              <w:top w:val="single" w:sz="8" w:color="F5F5F5"/>
            </w:tcBorders>
            <w:shd w:val="clear" w:color="auto" w:fill="F5F5F5"/>
          </w:tcPr>
          <w:p>
            <w:pPr>
              <w:spacing w:after="0"/>
              <w:rPr>
                <w:sz w:val="17"/>
                <w:szCs w:val="17"/>
                <w:color w:val="auto"/>
              </w:rPr>
            </w:pPr>
          </w:p>
        </w:tc>
        <w:tc>
          <w:tcPr>
            <w:tcW w:w="300" w:type="dxa"/>
            <w:vAlign w:val="bottom"/>
            <w:tcBorders>
              <w:top w:val="single" w:sz="8" w:color="auto"/>
            </w:tcBorders>
            <w:shd w:val="clear" w:color="auto" w:fill="F5F5F5"/>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3,618</w:t>
            </w:r>
          </w:p>
        </w:tc>
        <w:tc>
          <w:tcPr>
            <w:tcW w:w="120" w:type="dxa"/>
            <w:vAlign w:val="bottom"/>
            <w:tcBorders>
              <w:top w:val="single" w:sz="8" w:color="F5F5F5"/>
            </w:tcBorders>
            <w:shd w:val="clear" w:color="auto" w:fill="F5F5F5"/>
          </w:tcPr>
          <w:p>
            <w:pPr>
              <w:spacing w:after="0"/>
              <w:rPr>
                <w:sz w:val="17"/>
                <w:szCs w:val="17"/>
                <w:color w:val="auto"/>
              </w:rPr>
            </w:pPr>
          </w:p>
        </w:tc>
        <w:tc>
          <w:tcPr>
            <w:tcW w:w="300" w:type="dxa"/>
            <w:vAlign w:val="bottom"/>
            <w:tcBorders>
              <w:top w:val="single" w:sz="8" w:color="auto"/>
            </w:tcBorders>
            <w:shd w:val="clear" w:color="auto" w:fill="F5F5F5"/>
          </w:tcPr>
          <w:p>
            <w:pPr>
              <w:jc w:val="right"/>
              <w:ind w:right="14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2,844</w:t>
            </w:r>
          </w:p>
        </w:tc>
      </w:tr>
      <w:tr>
        <w:trPr>
          <w:trHeight w:val="251"/>
        </w:trPr>
        <w:tc>
          <w:tcPr>
            <w:tcW w:w="7220" w:type="dxa"/>
            <w:vAlign w:val="bottom"/>
          </w:tcPr>
          <w:p>
            <w:pPr>
              <w:ind w:left="20"/>
              <w:spacing w:after="0"/>
              <w:rPr>
                <w:sz w:val="20"/>
                <w:szCs w:val="20"/>
                <w:color w:val="auto"/>
              </w:rPr>
            </w:pPr>
            <w:r>
              <w:rPr>
                <w:rFonts w:ascii="Arial" w:cs="Arial" w:eastAsia="Arial" w:hAnsi="Arial"/>
                <w:sz w:val="14"/>
                <w:szCs w:val="14"/>
                <w:color w:val="auto"/>
              </w:rPr>
              <w:t xml:space="preserve">Gain(loss) reclassified from AOCL into cost of sales, exclusive of depreciation and amortization </w:t>
            </w:r>
            <w:r>
              <w:rPr>
                <w:rFonts w:ascii="Arial" w:cs="Arial" w:eastAsia="Arial" w:hAnsi="Arial"/>
                <w:sz w:val="18"/>
                <w:szCs w:val="18"/>
                <w:color w:val="auto"/>
                <w:vertAlign w:val="superscript"/>
              </w:rPr>
              <w:t>(2)</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2,113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(1,846)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13,781</w:t>
            </w:r>
          </w:p>
        </w:tc>
      </w:tr>
    </w:tbl>
    <w:p>
      <w:pPr>
        <w:spacing w:after="0" w:line="4" w:lineRule="exact"/>
        <w:rPr>
          <w:sz w:val="20"/>
          <w:szCs w:val="20"/>
          <w:color w:val="auto"/>
        </w:rPr>
      </w:pPr>
    </w:p>
    <w:p>
      <w:pPr>
        <w:ind w:left="320" w:hanging="312"/>
        <w:spacing w:after="0"/>
        <w:tabs>
          <w:tab w:leader="none" w:pos="320" w:val="left"/>
        </w:tabs>
        <w:numPr>
          <w:ilvl w:val="0"/>
          <w:numId w:val="72"/>
        </w:numPr>
        <w:rPr>
          <w:rFonts w:ascii="Arial" w:cs="Arial" w:eastAsia="Arial" w:hAnsi="Arial"/>
          <w:sz w:val="16"/>
          <w:szCs w:val="16"/>
          <w:color w:val="auto"/>
          <w:vertAlign w:val="superscript"/>
        </w:rPr>
      </w:pPr>
      <w:r>
        <w:rPr>
          <w:rFonts w:ascii="Arial" w:cs="Arial" w:eastAsia="Arial" w:hAnsi="Arial"/>
          <w:sz w:val="13"/>
          <w:szCs w:val="13"/>
          <w:color w:val="auto"/>
        </w:rPr>
        <w:t>Amount represents the change in fair value of derivative instruments.</w:t>
      </w:r>
    </w:p>
    <w:p>
      <w:pPr>
        <w:ind w:left="340" w:hanging="332"/>
        <w:spacing w:after="0" w:line="217" w:lineRule="auto"/>
        <w:tabs>
          <w:tab w:leader="none" w:pos="332" w:val="left"/>
        </w:tabs>
        <w:numPr>
          <w:ilvl w:val="0"/>
          <w:numId w:val="72"/>
        </w:numPr>
        <w:rPr>
          <w:rFonts w:ascii="Arial" w:cs="Arial" w:eastAsia="Arial" w:hAnsi="Arial"/>
          <w:sz w:val="16"/>
          <w:szCs w:val="16"/>
          <w:color w:val="auto"/>
          <w:vertAlign w:val="superscript"/>
        </w:rPr>
      </w:pPr>
      <w:r>
        <w:rPr>
          <w:rFonts w:ascii="Arial" w:cs="Arial" w:eastAsia="Arial" w:hAnsi="Arial"/>
          <w:sz w:val="13"/>
          <w:szCs w:val="13"/>
          <w:color w:val="auto"/>
        </w:rPr>
        <w:t>Amount represents gain reclassified from AOCL to cost of sales, exclusive of depreciation and amortization, on the Consolidated Statements of Operations and Comprehensive Income (Loss) when the hedged item affected earnings, which was when merchandise was converted to cost of sales, exclusive of depreciation and amortization.</w:t>
      </w:r>
    </w:p>
    <w:p>
      <w:pPr>
        <w:spacing w:after="0" w:line="230"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Substantially all of the unrealized gains or losses related to foreign currency exchange forward contracts designated as cash flow hedging instruments as of February 1, 2025 will be recognized within the Consolidated Statements of Operations and Comprehensive Income (Loss) over the next 12 months.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Additional information pertaining to derivative gains or losses from foreign currency exchange forward contracts not designated as hedging instruments for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Fiscal 2024, Fiscal 2023 and Fiscal 2022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3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440" w:type="dxa"/>
            <w:vAlign w:val="bottom"/>
          </w:tcPr>
          <w:p>
            <w:pPr>
              <w:spacing w:after="0"/>
              <w:rPr>
                <w:sz w:val="16"/>
                <w:szCs w:val="16"/>
                <w:color w:val="auto"/>
              </w:rPr>
            </w:pPr>
          </w:p>
        </w:tc>
        <w:tc>
          <w:tcPr>
            <w:tcW w:w="1220" w:type="dxa"/>
            <w:vAlign w:val="bottom"/>
            <w:gridSpan w:val="2"/>
          </w:tcPr>
          <w:p>
            <w:pPr>
              <w:ind w:left="360"/>
              <w:spacing w:after="0"/>
              <w:rPr>
                <w:sz w:val="20"/>
                <w:szCs w:val="20"/>
                <w:color w:val="auto"/>
              </w:rPr>
            </w:pPr>
            <w:r>
              <w:rPr>
                <w:rFonts w:ascii="Arial" w:cs="Arial" w:eastAsia="Arial" w:hAnsi="Arial"/>
                <w:sz w:val="14"/>
                <w:szCs w:val="14"/>
                <w:color w:val="auto"/>
              </w:rPr>
              <w:t>Fiscal 2024</w:t>
            </w:r>
          </w:p>
        </w:tc>
        <w:tc>
          <w:tcPr>
            <w:tcW w:w="460" w:type="dxa"/>
            <w:vAlign w:val="bottom"/>
          </w:tcPr>
          <w:p>
            <w:pPr>
              <w:spacing w:after="0"/>
              <w:rPr>
                <w:sz w:val="16"/>
                <w:szCs w:val="16"/>
                <w:color w:val="auto"/>
              </w:rPr>
            </w:pPr>
          </w:p>
        </w:tc>
        <w:tc>
          <w:tcPr>
            <w:tcW w:w="1220" w:type="dxa"/>
            <w:vAlign w:val="bottom"/>
            <w:gridSpan w:val="2"/>
          </w:tcPr>
          <w:p>
            <w:pPr>
              <w:ind w:left="360"/>
              <w:spacing w:after="0"/>
              <w:rPr>
                <w:sz w:val="20"/>
                <w:szCs w:val="20"/>
                <w:color w:val="auto"/>
              </w:rPr>
            </w:pPr>
            <w:r>
              <w:rPr>
                <w:rFonts w:ascii="Arial" w:cs="Arial" w:eastAsia="Arial" w:hAnsi="Arial"/>
                <w:sz w:val="14"/>
                <w:szCs w:val="14"/>
                <w:color w:val="auto"/>
              </w:rPr>
              <w:t>Fiscal 2023</w:t>
            </w:r>
          </w:p>
        </w:tc>
        <w:tc>
          <w:tcPr>
            <w:tcW w:w="4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Fiscal 2022</w:t>
            </w:r>
          </w:p>
        </w:tc>
      </w:tr>
      <w:tr>
        <w:trPr>
          <w:trHeight w:val="200"/>
        </w:trPr>
        <w:tc>
          <w:tcPr>
            <w:tcW w:w="6340" w:type="dxa"/>
            <w:vAlign w:val="bottom"/>
            <w:tcBorders>
              <w:top w:val="single" w:sz="8" w:color="F5F5F5"/>
            </w:tcBorders>
            <w:shd w:val="clear" w:color="auto" w:fill="F5F5F5"/>
          </w:tcPr>
          <w:p>
            <w:pPr>
              <w:ind w:left="20"/>
              <w:spacing w:after="0"/>
              <w:rPr>
                <w:sz w:val="20"/>
                <w:szCs w:val="20"/>
                <w:color w:val="auto"/>
              </w:rPr>
            </w:pPr>
            <w:r>
              <w:rPr>
                <w:rFonts w:ascii="Arial" w:cs="Arial" w:eastAsia="Arial" w:hAnsi="Arial"/>
                <w:sz w:val="14"/>
                <w:szCs w:val="14"/>
                <w:color w:val="auto"/>
              </w:rPr>
              <w:t>Gain(loss) recognized in other operating income, net</w:t>
            </w:r>
          </w:p>
        </w:tc>
        <w:tc>
          <w:tcPr>
            <w:tcW w:w="440" w:type="dxa"/>
            <w:vAlign w:val="bottom"/>
            <w:tcBorders>
              <w:top w:val="single" w:sz="8" w:color="auto"/>
            </w:tcBorders>
            <w:shd w:val="clear" w:color="auto" w:fill="F5F5F5"/>
          </w:tcPr>
          <w:p>
            <w:pPr>
              <w:jc w:val="right"/>
              <w:ind w:right="2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370</w:t>
            </w:r>
          </w:p>
        </w:tc>
        <w:tc>
          <w:tcPr>
            <w:tcW w:w="100" w:type="dxa"/>
            <w:vAlign w:val="bottom"/>
            <w:tcBorders>
              <w:top w:val="single" w:sz="8" w:color="F5F5F5"/>
            </w:tcBorders>
            <w:shd w:val="clear" w:color="auto" w:fill="F5F5F5"/>
          </w:tcPr>
          <w:p>
            <w:pPr>
              <w:spacing w:after="0"/>
              <w:rPr>
                <w:sz w:val="17"/>
                <w:szCs w:val="17"/>
                <w:color w:val="auto"/>
              </w:rPr>
            </w:pPr>
          </w:p>
        </w:tc>
        <w:tc>
          <w:tcPr>
            <w:tcW w:w="460" w:type="dxa"/>
            <w:vAlign w:val="bottom"/>
            <w:tcBorders>
              <w:top w:val="single" w:sz="8" w:color="auto"/>
            </w:tcBorders>
            <w:shd w:val="clear" w:color="auto" w:fill="F5F5F5"/>
          </w:tcPr>
          <w:p>
            <w:pPr>
              <w:jc w:val="right"/>
              <w:ind w:right="28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(1,206)</w:t>
            </w:r>
          </w:p>
        </w:tc>
        <w:tc>
          <w:tcPr>
            <w:tcW w:w="120" w:type="dxa"/>
            <w:vAlign w:val="bottom"/>
            <w:tcBorders>
              <w:top w:val="single" w:sz="8" w:color="F5F5F5"/>
            </w:tcBorders>
            <w:shd w:val="clear" w:color="auto" w:fill="F5F5F5"/>
          </w:tcPr>
          <w:p>
            <w:pPr>
              <w:spacing w:after="0"/>
              <w:rPr>
                <w:sz w:val="17"/>
                <w:szCs w:val="17"/>
                <w:color w:val="auto"/>
              </w:rPr>
            </w:pPr>
          </w:p>
        </w:tc>
        <w:tc>
          <w:tcPr>
            <w:tcW w:w="440" w:type="dxa"/>
            <w:vAlign w:val="bottom"/>
            <w:tcBorders>
              <w:top w:val="single" w:sz="8" w:color="auto"/>
            </w:tcBorders>
            <w:shd w:val="clear" w:color="auto" w:fill="F5F5F5"/>
          </w:tcPr>
          <w:p>
            <w:pPr>
              <w:jc w:val="right"/>
              <w:ind w:right="2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1,226</w:t>
            </w:r>
          </w:p>
        </w:tc>
      </w:tr>
    </w:tbl>
    <w:p>
      <w:pPr>
        <w:spacing w:after="0" w:line="3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Refer to Note 2, </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0000FF"/>
        </w:rPr>
        <w:t>SUMMARY OF SIGNIFICANT ACCOUNTING POLICIES - Derivative Instruments</w:t>
      </w:r>
      <w:r>
        <w:rPr>
          <w:rFonts w:ascii="Arial" w:cs="Arial" w:eastAsia="Arial" w:hAnsi="Arial"/>
          <w:sz w:val="16"/>
          <w:szCs w:val="16"/>
          <w:color w:val="auto"/>
        </w:rPr>
        <w:t>,” for discussion regarding significant accounting policies related to the Company’s derivative instruments.</w:t>
      </w:r>
    </w:p>
    <w:p>
      <w:pPr>
        <w:spacing w:after="0" w:line="200" w:lineRule="exact"/>
        <w:rPr>
          <w:sz w:val="20"/>
          <w:szCs w:val="20"/>
          <w:color w:val="auto"/>
        </w:rPr>
      </w:pPr>
    </w:p>
    <w:p>
      <w:pPr>
        <w:spacing w:after="0" w:line="271"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74</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sz w:val="20"/>
          <w:szCs w:val="20"/>
          <w:color w:val="auto"/>
        </w:rPr>
      </w:pPr>
      <w:r>
        <w:rPr>
          <w:rFonts w:ascii="Arial" w:cs="Arial" w:eastAsia="Arial" w:hAnsi="Arial"/>
          <w:sz w:val="16"/>
          <w:szCs w:val="16"/>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Abercrombie &amp; Fitch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b w:val="1"/>
          <w:bCs w:val="1"/>
          <w:color w:val="AC7E65"/>
        </w:rPr>
        <w:t>15. ACCUMULATED OTHER COMPREHENSIVE LOSS</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For Fiscal 2024, the activity in AOCL was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color w:val="auto"/>
              </w:rPr>
              <w:t>Fiscal 2024</w:t>
            </w: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5160" w:type="dxa"/>
            <w:vAlign w:val="bottom"/>
          </w:tcPr>
          <w:p>
            <w:pPr>
              <w:spacing w:after="0"/>
              <w:rPr>
                <w:sz w:val="12"/>
                <w:szCs w:val="12"/>
                <w:color w:val="auto"/>
              </w:rPr>
            </w:pPr>
          </w:p>
        </w:tc>
        <w:tc>
          <w:tcPr>
            <w:tcW w:w="2060" w:type="dxa"/>
            <w:vAlign w:val="bottom"/>
            <w:gridSpan w:val="3"/>
            <w:vMerge w:val="restart"/>
          </w:tcPr>
          <w:p>
            <w:pPr>
              <w:jc w:val="center"/>
              <w:ind w:right="120"/>
              <w:spacing w:after="0"/>
              <w:rPr>
                <w:sz w:val="20"/>
                <w:szCs w:val="20"/>
                <w:color w:val="auto"/>
              </w:rPr>
            </w:pPr>
            <w:r>
              <w:rPr>
                <w:rFonts w:ascii="Arial" w:cs="Arial" w:eastAsia="Arial" w:hAnsi="Arial"/>
                <w:sz w:val="14"/>
                <w:szCs w:val="14"/>
                <w:color w:val="auto"/>
              </w:rPr>
              <w:t>Foreign Currency Translation</w:t>
            </w:r>
          </w:p>
        </w:tc>
        <w:tc>
          <w:tcPr>
            <w:tcW w:w="120" w:type="dxa"/>
            <w:vAlign w:val="bottom"/>
          </w:tcPr>
          <w:p>
            <w:pPr>
              <w:spacing w:after="0"/>
              <w:rPr>
                <w:sz w:val="12"/>
                <w:szCs w:val="12"/>
                <w:color w:val="auto"/>
              </w:rPr>
            </w:pPr>
          </w:p>
        </w:tc>
        <w:tc>
          <w:tcPr>
            <w:tcW w:w="1940" w:type="dxa"/>
            <w:vAlign w:val="bottom"/>
            <w:gridSpan w:val="2"/>
          </w:tcPr>
          <w:p>
            <w:pPr>
              <w:jc w:val="center"/>
              <w:ind w:right="220"/>
              <w:spacing w:after="0" w:line="146" w:lineRule="exact"/>
              <w:rPr>
                <w:sz w:val="20"/>
                <w:szCs w:val="20"/>
                <w:color w:val="auto"/>
              </w:rPr>
            </w:pPr>
            <w:r>
              <w:rPr>
                <w:rFonts w:ascii="Arial" w:cs="Arial" w:eastAsia="Arial" w:hAnsi="Arial"/>
                <w:sz w:val="14"/>
                <w:szCs w:val="14"/>
                <w:color w:val="auto"/>
              </w:rPr>
              <w:t>Unrealized Gain (Loss) on</w:t>
            </w:r>
          </w:p>
        </w:tc>
        <w:tc>
          <w:tcPr>
            <w:tcW w:w="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0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Derivative Financial</w:t>
            </w:r>
          </w:p>
        </w:tc>
        <w:tc>
          <w:tcPr>
            <w:tcW w:w="460" w:type="dxa"/>
            <w:vAlign w:val="bottom"/>
          </w:tcPr>
          <w:p>
            <w:pPr>
              <w:spacing w:after="0"/>
              <w:rPr>
                <w:sz w:val="12"/>
                <w:szCs w:val="12"/>
                <w:color w:val="auto"/>
              </w:rPr>
            </w:pPr>
          </w:p>
        </w:tc>
        <w:tc>
          <w:tcPr>
            <w:tcW w:w="1500" w:type="dxa"/>
            <w:vAlign w:val="bottom"/>
            <w:vMerge w:val="restart"/>
          </w:tcPr>
          <w:p>
            <w:pPr>
              <w:jc w:val="right"/>
              <w:ind w:right="74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9"/>
        </w:trPr>
        <w:tc>
          <w:tcPr>
            <w:tcW w:w="51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4"/>
                <w:szCs w:val="14"/>
                <w:color w:val="auto"/>
              </w:rPr>
              <w:t>Adjustment</w:t>
            </w:r>
          </w:p>
        </w:tc>
        <w:tc>
          <w:tcPr>
            <w:tcW w:w="120" w:type="dxa"/>
            <w:vAlign w:val="bottom"/>
          </w:tcPr>
          <w:p>
            <w:pPr>
              <w:spacing w:after="0"/>
              <w:rPr>
                <w:sz w:val="16"/>
                <w:szCs w:val="16"/>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4"/>
                <w:szCs w:val="14"/>
                <w:color w:val="auto"/>
              </w:rPr>
              <w:t>Instruments</w:t>
            </w:r>
          </w:p>
        </w:tc>
        <w:tc>
          <w:tcPr>
            <w:tcW w:w="46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60" w:type="dxa"/>
            <w:vAlign w:val="bottom"/>
            <w:tcBorders>
              <w:top w:val="single" w:sz="8" w:color="F5F5F5"/>
            </w:tcBorders>
            <w:shd w:val="clear" w:color="auto" w:fill="F5F5F5"/>
          </w:tcPr>
          <w:p>
            <w:pPr>
              <w:ind w:left="20"/>
              <w:spacing w:after="0"/>
              <w:rPr>
                <w:sz w:val="20"/>
                <w:szCs w:val="20"/>
                <w:color w:val="auto"/>
              </w:rPr>
            </w:pPr>
            <w:r>
              <w:rPr>
                <w:rFonts w:ascii="Arial" w:cs="Arial" w:eastAsia="Arial" w:hAnsi="Arial"/>
                <w:sz w:val="14"/>
                <w:szCs w:val="14"/>
                <w:color w:val="auto"/>
              </w:rPr>
              <w:t>Beginning balance at February 3, 2024</w:t>
            </w:r>
          </w:p>
        </w:tc>
        <w:tc>
          <w:tcPr>
            <w:tcW w:w="360" w:type="dxa"/>
            <w:vAlign w:val="bottom"/>
            <w:tcBorders>
              <w:top w:val="single" w:sz="8" w:color="auto"/>
            </w:tcBorders>
            <w:shd w:val="clear" w:color="auto" w:fill="F5F5F5"/>
          </w:tcPr>
          <w:p>
            <w:pPr>
              <w:jc w:val="right"/>
              <w:ind w:right="188"/>
              <w:spacing w:after="0"/>
              <w:rPr>
                <w:sz w:val="20"/>
                <w:szCs w:val="20"/>
                <w:color w:val="auto"/>
              </w:rPr>
            </w:pPr>
            <w:r>
              <w:rPr>
                <w:rFonts w:ascii="Arial" w:cs="Arial" w:eastAsia="Arial" w:hAnsi="Arial"/>
                <w:sz w:val="14"/>
                <w:szCs w:val="14"/>
                <w:color w:val="auto"/>
              </w:rPr>
              <w:t>$</w:t>
            </w:r>
          </w:p>
        </w:tc>
        <w:tc>
          <w:tcPr>
            <w:tcW w:w="158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(136,532)</w:t>
            </w:r>
          </w:p>
        </w:tc>
        <w:tc>
          <w:tcPr>
            <w:tcW w:w="120" w:type="dxa"/>
            <w:vAlign w:val="bottom"/>
            <w:tcBorders>
              <w:top w:val="single" w:sz="8" w:color="F5F5F5"/>
            </w:tcBorders>
            <w:shd w:val="clear" w:color="auto" w:fill="F5F5F5"/>
          </w:tcPr>
          <w:p>
            <w:pPr>
              <w:spacing w:after="0"/>
              <w:rPr>
                <w:sz w:val="17"/>
                <w:szCs w:val="17"/>
                <w:color w:val="auto"/>
              </w:rPr>
            </w:pPr>
          </w:p>
        </w:tc>
        <w:tc>
          <w:tcPr>
            <w:tcW w:w="12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w:t>
            </w:r>
          </w:p>
        </w:tc>
        <w:tc>
          <w:tcPr>
            <w:tcW w:w="1840" w:type="dxa"/>
            <w:vAlign w:val="bottom"/>
            <w:tcBorders>
              <w:top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564</w:t>
            </w:r>
          </w:p>
        </w:tc>
        <w:tc>
          <w:tcPr>
            <w:tcW w:w="100" w:type="dxa"/>
            <w:vAlign w:val="bottom"/>
            <w:tcBorders>
              <w:top w:val="single" w:sz="8" w:color="F5F5F5"/>
            </w:tcBorders>
            <w:shd w:val="clear" w:color="auto" w:fill="F5F5F5"/>
          </w:tcPr>
          <w:p>
            <w:pPr>
              <w:spacing w:after="0"/>
              <w:rPr>
                <w:sz w:val="17"/>
                <w:szCs w:val="17"/>
                <w:color w:val="auto"/>
              </w:rPr>
            </w:pPr>
          </w:p>
        </w:tc>
        <w:tc>
          <w:tcPr>
            <w:tcW w:w="460" w:type="dxa"/>
            <w:vAlign w:val="bottom"/>
            <w:tcBorders>
              <w:top w:val="single" w:sz="8" w:color="auto"/>
            </w:tcBorders>
            <w:shd w:val="clear" w:color="auto" w:fill="F5F5F5"/>
          </w:tcPr>
          <w:p>
            <w:pPr>
              <w:jc w:val="right"/>
              <w:ind w:right="28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(135,968)</w:t>
            </w:r>
          </w:p>
        </w:tc>
        <w:tc>
          <w:tcPr>
            <w:tcW w:w="0" w:type="dxa"/>
            <w:vAlign w:val="bottom"/>
          </w:tcPr>
          <w:p>
            <w:pPr>
              <w:spacing w:after="0"/>
              <w:rPr>
                <w:sz w:val="1"/>
                <w:szCs w:val="1"/>
                <w:color w:val="auto"/>
              </w:rPr>
            </w:pPr>
          </w:p>
        </w:tc>
      </w:tr>
      <w:tr>
        <w:trPr>
          <w:trHeight w:val="198"/>
        </w:trPr>
        <w:tc>
          <w:tcPr>
            <w:tcW w:w="5160" w:type="dxa"/>
            <w:vAlign w:val="bottom"/>
          </w:tcPr>
          <w:p>
            <w:pPr>
              <w:ind w:left="20"/>
              <w:spacing w:after="0"/>
              <w:rPr>
                <w:sz w:val="20"/>
                <w:szCs w:val="20"/>
                <w:color w:val="auto"/>
              </w:rPr>
            </w:pPr>
            <w:r>
              <w:rPr>
                <w:rFonts w:ascii="Arial" w:cs="Arial" w:eastAsia="Arial" w:hAnsi="Arial"/>
                <w:sz w:val="14"/>
                <w:szCs w:val="14"/>
                <w:color w:val="auto"/>
              </w:rPr>
              <w:t>Other comprehensive (loss) income before reclassifications</w:t>
            </w:r>
          </w:p>
        </w:tc>
        <w:tc>
          <w:tcPr>
            <w:tcW w:w="3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(7,351)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jc w:val="right"/>
              <w:ind w:right="8"/>
              <w:spacing w:after="0"/>
              <w:rPr>
                <w:sz w:val="20"/>
                <w:szCs w:val="20"/>
                <w:color w:val="auto"/>
              </w:rPr>
            </w:pPr>
            <w:r>
              <w:rPr>
                <w:rFonts w:ascii="Arial" w:cs="Arial" w:eastAsia="Arial" w:hAnsi="Arial"/>
                <w:sz w:val="14"/>
                <w:szCs w:val="14"/>
                <w:color w:val="auto"/>
              </w:rPr>
              <w:t>6,473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(878)</w:t>
            </w:r>
          </w:p>
        </w:tc>
        <w:tc>
          <w:tcPr>
            <w:tcW w:w="0" w:type="dxa"/>
            <w:vAlign w:val="bottom"/>
          </w:tcPr>
          <w:p>
            <w:pPr>
              <w:spacing w:after="0"/>
              <w:rPr>
                <w:sz w:val="1"/>
                <w:szCs w:val="1"/>
                <w:color w:val="auto"/>
              </w:rPr>
            </w:pPr>
          </w:p>
        </w:tc>
      </w:tr>
      <w:tr>
        <w:trPr>
          <w:trHeight w:val="207"/>
        </w:trPr>
        <w:tc>
          <w:tcPr>
            <w:tcW w:w="5160" w:type="dxa"/>
            <w:vAlign w:val="bottom"/>
            <w:shd w:val="clear" w:color="auto" w:fill="F5F5F5"/>
          </w:tcPr>
          <w:p>
            <w:pPr>
              <w:ind w:left="40"/>
              <w:spacing w:after="0"/>
              <w:rPr>
                <w:sz w:val="20"/>
                <w:szCs w:val="20"/>
                <w:color w:val="auto"/>
              </w:rPr>
            </w:pPr>
            <w:r>
              <w:rPr>
                <w:rFonts w:ascii="Arial" w:cs="Arial" w:eastAsia="Arial" w:hAnsi="Arial"/>
                <w:sz w:val="14"/>
                <w:szCs w:val="14"/>
                <w:color w:val="auto"/>
              </w:rPr>
              <w:t xml:space="preserve">Reclassified gain from AOCL </w:t>
            </w:r>
            <w:r>
              <w:rPr>
                <w:rFonts w:ascii="Arial" w:cs="Arial" w:eastAsia="Arial" w:hAnsi="Arial"/>
                <w:sz w:val="18"/>
                <w:szCs w:val="18"/>
                <w:color w:val="auto"/>
                <w:vertAlign w:val="superscript"/>
              </w:rPr>
              <w:t>(1)</w:t>
            </w:r>
          </w:p>
        </w:tc>
        <w:tc>
          <w:tcPr>
            <w:tcW w:w="360" w:type="dxa"/>
            <w:vAlign w:val="bottom"/>
            <w:shd w:val="clear" w:color="auto" w:fill="F5F5F5"/>
          </w:tcPr>
          <w:p>
            <w:pPr>
              <w:spacing w:after="0"/>
              <w:rPr>
                <w:sz w:val="17"/>
                <w:szCs w:val="17"/>
                <w:color w:val="auto"/>
              </w:rPr>
            </w:pPr>
          </w:p>
        </w:tc>
        <w:tc>
          <w:tcPr>
            <w:tcW w:w="1700" w:type="dxa"/>
            <w:vAlign w:val="bottom"/>
            <w:gridSpan w:val="2"/>
            <w:shd w:val="clear" w:color="auto" w:fill="F5F5F5"/>
          </w:tcPr>
          <w:p>
            <w:pPr>
              <w:ind w:left="1380"/>
              <w:spacing w:after="0"/>
              <w:rPr>
                <w:sz w:val="20"/>
                <w:szCs w:val="20"/>
                <w:color w:val="auto"/>
              </w:rPr>
            </w:pPr>
            <w:r>
              <w:rPr>
                <w:rFonts w:ascii="Arial" w:cs="Arial" w:eastAsia="Arial" w:hAnsi="Arial"/>
                <w:sz w:val="14"/>
                <w:szCs w:val="14"/>
                <w:color w:val="auto"/>
              </w:rPr>
              <w:t>—</w:t>
            </w:r>
          </w:p>
        </w:tc>
        <w:tc>
          <w:tcPr>
            <w:tcW w:w="120" w:type="dxa"/>
            <w:vAlign w:val="bottom"/>
            <w:shd w:val="clear" w:color="auto" w:fill="F5F5F5"/>
          </w:tcPr>
          <w:p>
            <w:pPr>
              <w:spacing w:after="0"/>
              <w:rPr>
                <w:sz w:val="17"/>
                <w:szCs w:val="17"/>
                <w:color w:val="auto"/>
              </w:rPr>
            </w:pPr>
          </w:p>
        </w:tc>
        <w:tc>
          <w:tcPr>
            <w:tcW w:w="1840" w:type="dxa"/>
            <w:vAlign w:val="bottom"/>
            <w:shd w:val="clear" w:color="auto" w:fill="F5F5F5"/>
          </w:tcPr>
          <w:p>
            <w:pPr>
              <w:jc w:val="right"/>
              <w:spacing w:after="0"/>
              <w:rPr>
                <w:sz w:val="20"/>
                <w:szCs w:val="20"/>
                <w:color w:val="auto"/>
              </w:rPr>
            </w:pPr>
            <w:r>
              <w:rPr>
                <w:rFonts w:ascii="Arial" w:cs="Arial" w:eastAsia="Arial" w:hAnsi="Arial"/>
                <w:sz w:val="14"/>
                <w:szCs w:val="14"/>
                <w:color w:val="auto"/>
              </w:rPr>
              <w:t>(2,113)</w:t>
            </w:r>
          </w:p>
        </w:tc>
        <w:tc>
          <w:tcPr>
            <w:tcW w:w="100" w:type="dxa"/>
            <w:vAlign w:val="bottom"/>
            <w:shd w:val="clear" w:color="auto" w:fill="F5F5F5"/>
          </w:tcPr>
          <w:p>
            <w:pPr>
              <w:spacing w:after="0"/>
              <w:rPr>
                <w:sz w:val="17"/>
                <w:szCs w:val="17"/>
                <w:color w:val="auto"/>
              </w:rPr>
            </w:pPr>
          </w:p>
        </w:tc>
        <w:tc>
          <w:tcPr>
            <w:tcW w:w="460" w:type="dxa"/>
            <w:vAlign w:val="bottom"/>
            <w:shd w:val="clear" w:color="auto" w:fill="F5F5F5"/>
          </w:tcPr>
          <w:p>
            <w:pPr>
              <w:spacing w:after="0"/>
              <w:rPr>
                <w:sz w:val="17"/>
                <w:szCs w:val="17"/>
                <w:color w:val="auto"/>
              </w:rPr>
            </w:pPr>
          </w:p>
        </w:tc>
        <w:tc>
          <w:tcPr>
            <w:tcW w:w="15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(2,113)</w:t>
            </w:r>
          </w:p>
        </w:tc>
        <w:tc>
          <w:tcPr>
            <w:tcW w:w="0" w:type="dxa"/>
            <w:vAlign w:val="bottom"/>
          </w:tcPr>
          <w:p>
            <w:pPr>
              <w:spacing w:after="0"/>
              <w:rPr>
                <w:sz w:val="1"/>
                <w:szCs w:val="1"/>
                <w:color w:val="auto"/>
              </w:rPr>
            </w:pPr>
          </w:p>
        </w:tc>
      </w:tr>
      <w:tr>
        <w:trPr>
          <w:trHeight w:val="198"/>
        </w:trPr>
        <w:tc>
          <w:tcPr>
            <w:tcW w:w="5160" w:type="dxa"/>
            <w:vAlign w:val="bottom"/>
          </w:tcPr>
          <w:p>
            <w:pPr>
              <w:ind w:left="20"/>
              <w:spacing w:after="0"/>
              <w:rPr>
                <w:sz w:val="20"/>
                <w:szCs w:val="20"/>
                <w:color w:val="auto"/>
              </w:rPr>
            </w:pPr>
            <w:r>
              <w:rPr>
                <w:rFonts w:ascii="Arial" w:cs="Arial" w:eastAsia="Arial" w:hAnsi="Arial"/>
                <w:sz w:val="14"/>
                <w:szCs w:val="14"/>
                <w:color w:val="auto"/>
              </w:rPr>
              <w:t>Tax effect</w:t>
            </w:r>
          </w:p>
        </w:tc>
        <w:tc>
          <w:tcPr>
            <w:tcW w:w="360" w:type="dxa"/>
            <w:vAlign w:val="bottom"/>
          </w:tcPr>
          <w:p>
            <w:pPr>
              <w:spacing w:after="0"/>
              <w:rPr>
                <w:sz w:val="17"/>
                <w:szCs w:val="17"/>
                <w:color w:val="auto"/>
              </w:rPr>
            </w:pPr>
          </w:p>
        </w:tc>
        <w:tc>
          <w:tcPr>
            <w:tcW w:w="1700" w:type="dxa"/>
            <w:vAlign w:val="bottom"/>
            <w:gridSpan w:val="2"/>
          </w:tcPr>
          <w:p>
            <w:pPr>
              <w:ind w:left="1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96"/>
        </w:trPr>
        <w:tc>
          <w:tcPr>
            <w:tcW w:w="5160" w:type="dxa"/>
            <w:vAlign w:val="bottom"/>
            <w:tcBorders>
              <w:top w:val="single" w:sz="8" w:color="F5F5F5"/>
            </w:tcBorders>
            <w:shd w:val="clear" w:color="auto" w:fill="F5F5F5"/>
          </w:tcPr>
          <w:p>
            <w:pPr>
              <w:ind w:left="20"/>
              <w:spacing w:after="0"/>
              <w:rPr>
                <w:sz w:val="20"/>
                <w:szCs w:val="20"/>
                <w:color w:val="auto"/>
              </w:rPr>
            </w:pPr>
            <w:r>
              <w:rPr>
                <w:rFonts w:ascii="Arial" w:cs="Arial" w:eastAsia="Arial" w:hAnsi="Arial"/>
                <w:sz w:val="14"/>
                <w:szCs w:val="14"/>
                <w:color w:val="auto"/>
              </w:rPr>
              <w:t>Other comprehensive (loss) income after reclassifications</w:t>
            </w:r>
          </w:p>
        </w:tc>
        <w:tc>
          <w:tcPr>
            <w:tcW w:w="360" w:type="dxa"/>
            <w:vAlign w:val="bottom"/>
            <w:tcBorders>
              <w:top w:val="single" w:sz="8" w:color="auto"/>
              <w:bottom w:val="single" w:sz="8" w:color="auto"/>
            </w:tcBorders>
            <w:shd w:val="clear" w:color="auto" w:fill="F5F5F5"/>
          </w:tcPr>
          <w:p>
            <w:pPr>
              <w:spacing w:after="0"/>
              <w:rPr>
                <w:sz w:val="17"/>
                <w:szCs w:val="17"/>
                <w:color w:val="auto"/>
              </w:rPr>
            </w:pPr>
          </w:p>
        </w:tc>
        <w:tc>
          <w:tcPr>
            <w:tcW w:w="1580" w:type="dxa"/>
            <w:vAlign w:val="bottom"/>
            <w:tcBorders>
              <w:top w:val="single" w:sz="8" w:color="auto"/>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(7,351)</w:t>
            </w:r>
          </w:p>
        </w:tc>
        <w:tc>
          <w:tcPr>
            <w:tcW w:w="120" w:type="dxa"/>
            <w:vAlign w:val="bottom"/>
            <w:tcBorders>
              <w:top w:val="single" w:sz="8" w:color="F5F5F5"/>
            </w:tcBorders>
            <w:shd w:val="clear" w:color="auto" w:fill="F5F5F5"/>
          </w:tcPr>
          <w:p>
            <w:pPr>
              <w:spacing w:after="0"/>
              <w:rPr>
                <w:sz w:val="17"/>
                <w:szCs w:val="17"/>
                <w:color w:val="auto"/>
              </w:rPr>
            </w:pPr>
          </w:p>
        </w:tc>
        <w:tc>
          <w:tcPr>
            <w:tcW w:w="120" w:type="dxa"/>
            <w:vAlign w:val="bottom"/>
            <w:tcBorders>
              <w:top w:val="single" w:sz="8" w:color="auto"/>
              <w:bottom w:val="single" w:sz="8" w:color="auto"/>
            </w:tcBorders>
            <w:shd w:val="clear" w:color="auto" w:fill="F5F5F5"/>
          </w:tcPr>
          <w:p>
            <w:pPr>
              <w:spacing w:after="0"/>
              <w:rPr>
                <w:sz w:val="17"/>
                <w:szCs w:val="17"/>
                <w:color w:val="auto"/>
              </w:rPr>
            </w:pPr>
          </w:p>
        </w:tc>
        <w:tc>
          <w:tcPr>
            <w:tcW w:w="1840" w:type="dxa"/>
            <w:vAlign w:val="bottom"/>
            <w:tcBorders>
              <w:top w:val="single" w:sz="8" w:color="auto"/>
              <w:bottom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4,168</w:t>
            </w:r>
          </w:p>
        </w:tc>
        <w:tc>
          <w:tcPr>
            <w:tcW w:w="100" w:type="dxa"/>
            <w:vAlign w:val="bottom"/>
            <w:tcBorders>
              <w:top w:val="single" w:sz="8" w:color="F5F5F5"/>
            </w:tcBorders>
            <w:shd w:val="clear" w:color="auto" w:fill="F5F5F5"/>
          </w:tcPr>
          <w:p>
            <w:pPr>
              <w:spacing w:after="0"/>
              <w:rPr>
                <w:sz w:val="17"/>
                <w:szCs w:val="17"/>
                <w:color w:val="auto"/>
              </w:rPr>
            </w:pPr>
          </w:p>
        </w:tc>
        <w:tc>
          <w:tcPr>
            <w:tcW w:w="460" w:type="dxa"/>
            <w:vAlign w:val="bottom"/>
            <w:tcBorders>
              <w:top w:val="single" w:sz="8" w:color="auto"/>
              <w:bottom w:val="single" w:sz="8" w:color="auto"/>
            </w:tcBorders>
            <w:shd w:val="clear" w:color="auto" w:fill="F5F5F5"/>
          </w:tcPr>
          <w:p>
            <w:pPr>
              <w:spacing w:after="0"/>
              <w:rPr>
                <w:sz w:val="17"/>
                <w:szCs w:val="17"/>
                <w:color w:val="auto"/>
              </w:rPr>
            </w:pPr>
          </w:p>
        </w:tc>
        <w:tc>
          <w:tcPr>
            <w:tcW w:w="1500" w:type="dxa"/>
            <w:vAlign w:val="bottom"/>
            <w:tcBorders>
              <w:top w:val="single" w:sz="8" w:color="auto"/>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(3,183)</w:t>
            </w:r>
          </w:p>
        </w:tc>
        <w:tc>
          <w:tcPr>
            <w:tcW w:w="0" w:type="dxa"/>
            <w:vAlign w:val="bottom"/>
          </w:tcPr>
          <w:p>
            <w:pPr>
              <w:spacing w:after="0"/>
              <w:rPr>
                <w:sz w:val="1"/>
                <w:szCs w:val="1"/>
                <w:color w:val="auto"/>
              </w:rPr>
            </w:pPr>
          </w:p>
        </w:tc>
      </w:tr>
      <w:tr>
        <w:trPr>
          <w:trHeight w:val="200"/>
        </w:trPr>
        <w:tc>
          <w:tcPr>
            <w:tcW w:w="5160" w:type="dxa"/>
            <w:vAlign w:val="bottom"/>
          </w:tcPr>
          <w:p>
            <w:pPr>
              <w:ind w:left="20"/>
              <w:spacing w:after="0"/>
              <w:rPr>
                <w:sz w:val="20"/>
                <w:szCs w:val="20"/>
                <w:color w:val="auto"/>
              </w:rPr>
            </w:pPr>
            <w:r>
              <w:rPr>
                <w:rFonts w:ascii="Arial" w:cs="Arial" w:eastAsia="Arial" w:hAnsi="Arial"/>
                <w:sz w:val="14"/>
                <w:szCs w:val="14"/>
                <w:color w:val="auto"/>
              </w:rPr>
              <w:t>Ending balance at February 1, 2025</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(143,883)</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4,732</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(139,151)</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340" w:hanging="332"/>
        <w:spacing w:after="0" w:line="220" w:lineRule="auto"/>
        <w:tabs>
          <w:tab w:leader="none" w:pos="333" w:val="left"/>
        </w:tabs>
        <w:numPr>
          <w:ilvl w:val="0"/>
          <w:numId w:val="73"/>
        </w:numPr>
        <w:rPr>
          <w:rFonts w:ascii="Arial" w:cs="Arial" w:eastAsia="Arial" w:hAnsi="Arial"/>
          <w:sz w:val="19"/>
          <w:szCs w:val="19"/>
          <w:color w:val="auto"/>
          <w:vertAlign w:val="superscript"/>
        </w:rPr>
      </w:pPr>
      <w:r>
        <w:rPr>
          <w:rFonts w:ascii="Arial" w:cs="Arial" w:eastAsia="Arial" w:hAnsi="Arial"/>
          <w:sz w:val="13"/>
          <w:szCs w:val="13"/>
          <w:color w:val="auto"/>
        </w:rPr>
        <w:t>Amount represents gain reclassified from AOCL to cost of sales, exclusive of depreciation and amortization, on the Consolidated Statements of Operations and Comprehensive Income (Loss).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For Fiscal 2023, the activity in AOCL was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color w:val="auto"/>
              </w:rPr>
              <w:t>Fiscal 2023</w:t>
            </w: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5160" w:type="dxa"/>
            <w:vAlign w:val="bottom"/>
          </w:tcPr>
          <w:p>
            <w:pPr>
              <w:spacing w:after="0"/>
              <w:rPr>
                <w:sz w:val="13"/>
                <w:szCs w:val="13"/>
                <w:color w:val="auto"/>
              </w:rPr>
            </w:pPr>
          </w:p>
        </w:tc>
        <w:tc>
          <w:tcPr>
            <w:tcW w:w="2060" w:type="dxa"/>
            <w:vAlign w:val="bottom"/>
            <w:gridSpan w:val="3"/>
            <w:vMerge w:val="restart"/>
          </w:tcPr>
          <w:p>
            <w:pPr>
              <w:jc w:val="center"/>
              <w:ind w:right="120"/>
              <w:spacing w:after="0"/>
              <w:rPr>
                <w:sz w:val="20"/>
                <w:szCs w:val="20"/>
                <w:color w:val="auto"/>
              </w:rPr>
            </w:pPr>
            <w:r>
              <w:rPr>
                <w:rFonts w:ascii="Arial" w:cs="Arial" w:eastAsia="Arial" w:hAnsi="Arial"/>
                <w:sz w:val="14"/>
                <w:szCs w:val="14"/>
                <w:color w:val="auto"/>
              </w:rPr>
              <w:t>Foreign Currency Translation</w:t>
            </w:r>
          </w:p>
        </w:tc>
        <w:tc>
          <w:tcPr>
            <w:tcW w:w="120" w:type="dxa"/>
            <w:vAlign w:val="bottom"/>
          </w:tcPr>
          <w:p>
            <w:pPr>
              <w:spacing w:after="0"/>
              <w:rPr>
                <w:sz w:val="13"/>
                <w:szCs w:val="13"/>
                <w:color w:val="auto"/>
              </w:rPr>
            </w:pPr>
          </w:p>
        </w:tc>
        <w:tc>
          <w:tcPr>
            <w:tcW w:w="1940" w:type="dxa"/>
            <w:vAlign w:val="bottom"/>
            <w:gridSpan w:val="2"/>
          </w:tcPr>
          <w:p>
            <w:pPr>
              <w:jc w:val="center"/>
              <w:ind w:right="220"/>
              <w:spacing w:after="0" w:line="151" w:lineRule="exact"/>
              <w:rPr>
                <w:sz w:val="20"/>
                <w:szCs w:val="20"/>
                <w:color w:val="auto"/>
              </w:rPr>
            </w:pPr>
            <w:r>
              <w:rPr>
                <w:rFonts w:ascii="Arial" w:cs="Arial" w:eastAsia="Arial" w:hAnsi="Arial"/>
                <w:sz w:val="14"/>
                <w:szCs w:val="14"/>
                <w:color w:val="auto"/>
              </w:rPr>
              <w:t>Unrealized Gain (Loss) on</w:t>
            </w:r>
          </w:p>
        </w:tc>
        <w:tc>
          <w:tcPr>
            <w:tcW w:w="4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0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Derivative Financial</w:t>
            </w:r>
          </w:p>
        </w:tc>
        <w:tc>
          <w:tcPr>
            <w:tcW w:w="460" w:type="dxa"/>
            <w:vAlign w:val="bottom"/>
          </w:tcPr>
          <w:p>
            <w:pPr>
              <w:spacing w:after="0"/>
              <w:rPr>
                <w:sz w:val="12"/>
                <w:szCs w:val="12"/>
                <w:color w:val="auto"/>
              </w:rPr>
            </w:pPr>
          </w:p>
        </w:tc>
        <w:tc>
          <w:tcPr>
            <w:tcW w:w="1500" w:type="dxa"/>
            <w:vAlign w:val="bottom"/>
            <w:vMerge w:val="restart"/>
          </w:tcPr>
          <w:p>
            <w:pPr>
              <w:jc w:val="right"/>
              <w:ind w:right="74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5"/>
        </w:trPr>
        <w:tc>
          <w:tcPr>
            <w:tcW w:w="51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4"/>
                <w:szCs w:val="14"/>
                <w:color w:val="auto"/>
              </w:rPr>
              <w:t>Adjustment</w:t>
            </w:r>
          </w:p>
        </w:tc>
        <w:tc>
          <w:tcPr>
            <w:tcW w:w="120" w:type="dxa"/>
            <w:vAlign w:val="bottom"/>
          </w:tcPr>
          <w:p>
            <w:pPr>
              <w:spacing w:after="0"/>
              <w:rPr>
                <w:sz w:val="16"/>
                <w:szCs w:val="16"/>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4"/>
                <w:szCs w:val="14"/>
                <w:color w:val="auto"/>
              </w:rPr>
              <w:t>Instruments</w:t>
            </w:r>
          </w:p>
        </w:tc>
        <w:tc>
          <w:tcPr>
            <w:tcW w:w="46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60" w:type="dxa"/>
            <w:vAlign w:val="bottom"/>
            <w:tcBorders>
              <w:top w:val="single" w:sz="8" w:color="F5F5F5"/>
            </w:tcBorders>
            <w:shd w:val="clear" w:color="auto" w:fill="F5F5F5"/>
          </w:tcPr>
          <w:p>
            <w:pPr>
              <w:ind w:left="20"/>
              <w:spacing w:after="0"/>
              <w:rPr>
                <w:sz w:val="20"/>
                <w:szCs w:val="20"/>
                <w:color w:val="auto"/>
              </w:rPr>
            </w:pPr>
            <w:r>
              <w:rPr>
                <w:rFonts w:ascii="Arial" w:cs="Arial" w:eastAsia="Arial" w:hAnsi="Arial"/>
                <w:sz w:val="14"/>
                <w:szCs w:val="14"/>
                <w:color w:val="auto"/>
              </w:rPr>
              <w:t>Beginning balance at January 28, 2023</w:t>
            </w:r>
          </w:p>
        </w:tc>
        <w:tc>
          <w:tcPr>
            <w:tcW w:w="360" w:type="dxa"/>
            <w:vAlign w:val="bottom"/>
            <w:tcBorders>
              <w:top w:val="single" w:sz="8" w:color="auto"/>
            </w:tcBorders>
            <w:shd w:val="clear" w:color="auto" w:fill="F5F5F5"/>
          </w:tcPr>
          <w:p>
            <w:pPr>
              <w:jc w:val="right"/>
              <w:ind w:right="188"/>
              <w:spacing w:after="0"/>
              <w:rPr>
                <w:sz w:val="20"/>
                <w:szCs w:val="20"/>
                <w:color w:val="auto"/>
              </w:rPr>
            </w:pPr>
            <w:r>
              <w:rPr>
                <w:rFonts w:ascii="Arial" w:cs="Arial" w:eastAsia="Arial" w:hAnsi="Arial"/>
                <w:sz w:val="14"/>
                <w:szCs w:val="14"/>
                <w:color w:val="auto"/>
              </w:rPr>
              <w:t>$</w:t>
            </w:r>
          </w:p>
        </w:tc>
        <w:tc>
          <w:tcPr>
            <w:tcW w:w="158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(132,653)</w:t>
            </w:r>
          </w:p>
        </w:tc>
        <w:tc>
          <w:tcPr>
            <w:tcW w:w="120" w:type="dxa"/>
            <w:vAlign w:val="bottom"/>
            <w:tcBorders>
              <w:top w:val="single" w:sz="8" w:color="F5F5F5"/>
            </w:tcBorders>
            <w:shd w:val="clear" w:color="auto" w:fill="F5F5F5"/>
          </w:tcPr>
          <w:p>
            <w:pPr>
              <w:spacing w:after="0"/>
              <w:rPr>
                <w:sz w:val="17"/>
                <w:szCs w:val="17"/>
                <w:color w:val="auto"/>
              </w:rPr>
            </w:pPr>
          </w:p>
        </w:tc>
        <w:tc>
          <w:tcPr>
            <w:tcW w:w="12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w:t>
            </w:r>
          </w:p>
        </w:tc>
        <w:tc>
          <w:tcPr>
            <w:tcW w:w="184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(4,874)</w:t>
            </w:r>
          </w:p>
        </w:tc>
        <w:tc>
          <w:tcPr>
            <w:tcW w:w="100" w:type="dxa"/>
            <w:vAlign w:val="bottom"/>
            <w:tcBorders>
              <w:top w:val="single" w:sz="8" w:color="F5F5F5"/>
            </w:tcBorders>
            <w:shd w:val="clear" w:color="auto" w:fill="F5F5F5"/>
          </w:tcPr>
          <w:p>
            <w:pPr>
              <w:spacing w:after="0"/>
              <w:rPr>
                <w:sz w:val="17"/>
                <w:szCs w:val="17"/>
                <w:color w:val="auto"/>
              </w:rPr>
            </w:pPr>
          </w:p>
        </w:tc>
        <w:tc>
          <w:tcPr>
            <w:tcW w:w="460" w:type="dxa"/>
            <w:vAlign w:val="bottom"/>
            <w:tcBorders>
              <w:top w:val="single" w:sz="8" w:color="auto"/>
            </w:tcBorders>
            <w:shd w:val="clear" w:color="auto" w:fill="F5F5F5"/>
          </w:tcPr>
          <w:p>
            <w:pPr>
              <w:jc w:val="right"/>
              <w:ind w:right="28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(137,527)</w:t>
            </w:r>
          </w:p>
        </w:tc>
        <w:tc>
          <w:tcPr>
            <w:tcW w:w="0" w:type="dxa"/>
            <w:vAlign w:val="bottom"/>
          </w:tcPr>
          <w:p>
            <w:pPr>
              <w:spacing w:after="0"/>
              <w:rPr>
                <w:sz w:val="1"/>
                <w:szCs w:val="1"/>
                <w:color w:val="auto"/>
              </w:rPr>
            </w:pPr>
          </w:p>
        </w:tc>
      </w:tr>
      <w:tr>
        <w:trPr>
          <w:trHeight w:val="198"/>
        </w:trPr>
        <w:tc>
          <w:tcPr>
            <w:tcW w:w="5160" w:type="dxa"/>
            <w:vAlign w:val="bottom"/>
          </w:tcPr>
          <w:p>
            <w:pPr>
              <w:ind w:left="40"/>
              <w:spacing w:after="0"/>
              <w:rPr>
                <w:sz w:val="20"/>
                <w:szCs w:val="20"/>
                <w:color w:val="auto"/>
              </w:rPr>
            </w:pPr>
            <w:r>
              <w:rPr>
                <w:rFonts w:ascii="Arial" w:cs="Arial" w:eastAsia="Arial" w:hAnsi="Arial"/>
                <w:sz w:val="14"/>
                <w:szCs w:val="14"/>
                <w:color w:val="auto"/>
              </w:rPr>
              <w:t>Other comprehensive (loss) income before reclassifications</w:t>
            </w:r>
          </w:p>
        </w:tc>
        <w:tc>
          <w:tcPr>
            <w:tcW w:w="3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(3,879)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jc w:val="right"/>
              <w:ind w:right="8"/>
              <w:spacing w:after="0"/>
              <w:rPr>
                <w:sz w:val="20"/>
                <w:szCs w:val="20"/>
                <w:color w:val="auto"/>
              </w:rPr>
            </w:pPr>
            <w:r>
              <w:rPr>
                <w:rFonts w:ascii="Arial" w:cs="Arial" w:eastAsia="Arial" w:hAnsi="Arial"/>
                <w:sz w:val="14"/>
                <w:szCs w:val="14"/>
                <w:color w:val="auto"/>
              </w:rPr>
              <w:t>3,618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(261)</w:t>
            </w:r>
          </w:p>
        </w:tc>
        <w:tc>
          <w:tcPr>
            <w:tcW w:w="0" w:type="dxa"/>
            <w:vAlign w:val="bottom"/>
          </w:tcPr>
          <w:p>
            <w:pPr>
              <w:spacing w:after="0"/>
              <w:rPr>
                <w:sz w:val="1"/>
                <w:szCs w:val="1"/>
                <w:color w:val="auto"/>
              </w:rPr>
            </w:pPr>
          </w:p>
        </w:tc>
      </w:tr>
      <w:tr>
        <w:trPr>
          <w:trHeight w:val="207"/>
        </w:trPr>
        <w:tc>
          <w:tcPr>
            <w:tcW w:w="5160" w:type="dxa"/>
            <w:vAlign w:val="bottom"/>
            <w:shd w:val="clear" w:color="auto" w:fill="F5F5F5"/>
          </w:tcPr>
          <w:p>
            <w:pPr>
              <w:ind w:left="40"/>
              <w:spacing w:after="0"/>
              <w:rPr>
                <w:sz w:val="20"/>
                <w:szCs w:val="20"/>
                <w:color w:val="auto"/>
              </w:rPr>
            </w:pPr>
            <w:r>
              <w:rPr>
                <w:rFonts w:ascii="Arial" w:cs="Arial" w:eastAsia="Arial" w:hAnsi="Arial"/>
                <w:sz w:val="14"/>
                <w:szCs w:val="14"/>
                <w:color w:val="auto"/>
              </w:rPr>
              <w:t xml:space="preserve">Reclassified loss from AOCL </w:t>
            </w:r>
            <w:r>
              <w:rPr>
                <w:rFonts w:ascii="Arial" w:cs="Arial" w:eastAsia="Arial" w:hAnsi="Arial"/>
                <w:sz w:val="9"/>
                <w:szCs w:val="9"/>
                <w:color w:val="auto"/>
              </w:rPr>
              <w:t>(1)</w:t>
            </w:r>
          </w:p>
        </w:tc>
        <w:tc>
          <w:tcPr>
            <w:tcW w:w="360" w:type="dxa"/>
            <w:vAlign w:val="bottom"/>
            <w:shd w:val="clear" w:color="auto" w:fill="F5F5F5"/>
          </w:tcPr>
          <w:p>
            <w:pPr>
              <w:spacing w:after="0"/>
              <w:rPr>
                <w:sz w:val="17"/>
                <w:szCs w:val="17"/>
                <w:color w:val="auto"/>
              </w:rPr>
            </w:pPr>
          </w:p>
        </w:tc>
        <w:tc>
          <w:tcPr>
            <w:tcW w:w="1700" w:type="dxa"/>
            <w:vAlign w:val="bottom"/>
            <w:gridSpan w:val="2"/>
            <w:shd w:val="clear" w:color="auto" w:fill="F5F5F5"/>
          </w:tcPr>
          <w:p>
            <w:pPr>
              <w:ind w:left="1380"/>
              <w:spacing w:after="0"/>
              <w:rPr>
                <w:sz w:val="20"/>
                <w:szCs w:val="20"/>
                <w:color w:val="auto"/>
              </w:rPr>
            </w:pPr>
            <w:r>
              <w:rPr>
                <w:rFonts w:ascii="Arial" w:cs="Arial" w:eastAsia="Arial" w:hAnsi="Arial"/>
                <w:sz w:val="14"/>
                <w:szCs w:val="14"/>
                <w:color w:val="auto"/>
              </w:rPr>
              <w:t>—</w:t>
            </w:r>
          </w:p>
        </w:tc>
        <w:tc>
          <w:tcPr>
            <w:tcW w:w="120" w:type="dxa"/>
            <w:vAlign w:val="bottom"/>
            <w:shd w:val="clear" w:color="auto" w:fill="F5F5F5"/>
          </w:tcPr>
          <w:p>
            <w:pPr>
              <w:spacing w:after="0"/>
              <w:rPr>
                <w:sz w:val="17"/>
                <w:szCs w:val="17"/>
                <w:color w:val="auto"/>
              </w:rPr>
            </w:pPr>
          </w:p>
        </w:tc>
        <w:tc>
          <w:tcPr>
            <w:tcW w:w="184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1,846</w:t>
            </w:r>
          </w:p>
        </w:tc>
        <w:tc>
          <w:tcPr>
            <w:tcW w:w="100" w:type="dxa"/>
            <w:vAlign w:val="bottom"/>
            <w:shd w:val="clear" w:color="auto" w:fill="F5F5F5"/>
          </w:tcPr>
          <w:p>
            <w:pPr>
              <w:spacing w:after="0"/>
              <w:rPr>
                <w:sz w:val="17"/>
                <w:szCs w:val="17"/>
                <w:color w:val="auto"/>
              </w:rPr>
            </w:pPr>
          </w:p>
        </w:tc>
        <w:tc>
          <w:tcPr>
            <w:tcW w:w="460" w:type="dxa"/>
            <w:vAlign w:val="bottom"/>
            <w:shd w:val="clear" w:color="auto" w:fill="F5F5F5"/>
          </w:tcPr>
          <w:p>
            <w:pPr>
              <w:spacing w:after="0"/>
              <w:rPr>
                <w:sz w:val="17"/>
                <w:szCs w:val="17"/>
                <w:color w:val="auto"/>
              </w:rPr>
            </w:pPr>
          </w:p>
        </w:tc>
        <w:tc>
          <w:tcPr>
            <w:tcW w:w="15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1,846</w:t>
            </w:r>
          </w:p>
        </w:tc>
        <w:tc>
          <w:tcPr>
            <w:tcW w:w="0" w:type="dxa"/>
            <w:vAlign w:val="bottom"/>
          </w:tcPr>
          <w:p>
            <w:pPr>
              <w:spacing w:after="0"/>
              <w:rPr>
                <w:sz w:val="1"/>
                <w:szCs w:val="1"/>
                <w:color w:val="auto"/>
              </w:rPr>
            </w:pPr>
          </w:p>
        </w:tc>
      </w:tr>
      <w:tr>
        <w:trPr>
          <w:trHeight w:val="198"/>
        </w:trPr>
        <w:tc>
          <w:tcPr>
            <w:tcW w:w="5160" w:type="dxa"/>
            <w:vAlign w:val="bottom"/>
          </w:tcPr>
          <w:p>
            <w:pPr>
              <w:ind w:left="40"/>
              <w:spacing w:after="0"/>
              <w:rPr>
                <w:sz w:val="20"/>
                <w:szCs w:val="20"/>
                <w:color w:val="auto"/>
              </w:rPr>
            </w:pPr>
            <w:r>
              <w:rPr>
                <w:rFonts w:ascii="Arial" w:cs="Arial" w:eastAsia="Arial" w:hAnsi="Arial"/>
                <w:sz w:val="14"/>
                <w:szCs w:val="14"/>
                <w:color w:val="auto"/>
              </w:rPr>
              <w:t>Tax effect</w:t>
            </w:r>
          </w:p>
        </w:tc>
        <w:tc>
          <w:tcPr>
            <w:tcW w:w="360" w:type="dxa"/>
            <w:vAlign w:val="bottom"/>
          </w:tcPr>
          <w:p>
            <w:pPr>
              <w:spacing w:after="0"/>
              <w:rPr>
                <w:sz w:val="17"/>
                <w:szCs w:val="17"/>
                <w:color w:val="auto"/>
              </w:rPr>
            </w:pPr>
          </w:p>
        </w:tc>
        <w:tc>
          <w:tcPr>
            <w:tcW w:w="1700" w:type="dxa"/>
            <w:vAlign w:val="bottom"/>
            <w:gridSpan w:val="2"/>
          </w:tcPr>
          <w:p>
            <w:pPr>
              <w:ind w:left="1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96"/>
        </w:trPr>
        <w:tc>
          <w:tcPr>
            <w:tcW w:w="5160" w:type="dxa"/>
            <w:vAlign w:val="bottom"/>
            <w:tcBorders>
              <w:top w:val="single" w:sz="8" w:color="F5F5F5"/>
            </w:tcBorders>
            <w:shd w:val="clear" w:color="auto" w:fill="F5F5F5"/>
          </w:tcPr>
          <w:p>
            <w:pPr>
              <w:ind w:left="20"/>
              <w:spacing w:after="0"/>
              <w:rPr>
                <w:sz w:val="20"/>
                <w:szCs w:val="20"/>
                <w:color w:val="auto"/>
              </w:rPr>
            </w:pPr>
            <w:r>
              <w:rPr>
                <w:rFonts w:ascii="Arial" w:cs="Arial" w:eastAsia="Arial" w:hAnsi="Arial"/>
                <w:sz w:val="14"/>
                <w:szCs w:val="14"/>
                <w:color w:val="auto"/>
              </w:rPr>
              <w:t>Other comprehensive (loss) income after reclassifications</w:t>
            </w:r>
          </w:p>
        </w:tc>
        <w:tc>
          <w:tcPr>
            <w:tcW w:w="360" w:type="dxa"/>
            <w:vAlign w:val="bottom"/>
            <w:tcBorders>
              <w:top w:val="single" w:sz="8" w:color="auto"/>
              <w:bottom w:val="single" w:sz="8" w:color="auto"/>
            </w:tcBorders>
            <w:shd w:val="clear" w:color="auto" w:fill="F5F5F5"/>
          </w:tcPr>
          <w:p>
            <w:pPr>
              <w:spacing w:after="0"/>
              <w:rPr>
                <w:sz w:val="17"/>
                <w:szCs w:val="17"/>
                <w:color w:val="auto"/>
              </w:rPr>
            </w:pPr>
          </w:p>
        </w:tc>
        <w:tc>
          <w:tcPr>
            <w:tcW w:w="1580" w:type="dxa"/>
            <w:vAlign w:val="bottom"/>
            <w:tcBorders>
              <w:top w:val="single" w:sz="8" w:color="auto"/>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(3,879)</w:t>
            </w:r>
          </w:p>
        </w:tc>
        <w:tc>
          <w:tcPr>
            <w:tcW w:w="120" w:type="dxa"/>
            <w:vAlign w:val="bottom"/>
            <w:tcBorders>
              <w:top w:val="single" w:sz="8" w:color="F5F5F5"/>
            </w:tcBorders>
            <w:shd w:val="clear" w:color="auto" w:fill="F5F5F5"/>
          </w:tcPr>
          <w:p>
            <w:pPr>
              <w:spacing w:after="0"/>
              <w:rPr>
                <w:sz w:val="17"/>
                <w:szCs w:val="17"/>
                <w:color w:val="auto"/>
              </w:rPr>
            </w:pPr>
          </w:p>
        </w:tc>
        <w:tc>
          <w:tcPr>
            <w:tcW w:w="120" w:type="dxa"/>
            <w:vAlign w:val="bottom"/>
            <w:tcBorders>
              <w:top w:val="single" w:sz="8" w:color="auto"/>
              <w:bottom w:val="single" w:sz="8" w:color="auto"/>
            </w:tcBorders>
            <w:shd w:val="clear" w:color="auto" w:fill="F5F5F5"/>
          </w:tcPr>
          <w:p>
            <w:pPr>
              <w:spacing w:after="0"/>
              <w:rPr>
                <w:sz w:val="17"/>
                <w:szCs w:val="17"/>
                <w:color w:val="auto"/>
              </w:rPr>
            </w:pPr>
          </w:p>
        </w:tc>
        <w:tc>
          <w:tcPr>
            <w:tcW w:w="1840" w:type="dxa"/>
            <w:vAlign w:val="bottom"/>
            <w:tcBorders>
              <w:top w:val="single" w:sz="8" w:color="auto"/>
              <w:bottom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5,438</w:t>
            </w:r>
          </w:p>
        </w:tc>
        <w:tc>
          <w:tcPr>
            <w:tcW w:w="100" w:type="dxa"/>
            <w:vAlign w:val="bottom"/>
            <w:tcBorders>
              <w:top w:val="single" w:sz="8" w:color="F5F5F5"/>
            </w:tcBorders>
            <w:shd w:val="clear" w:color="auto" w:fill="F5F5F5"/>
          </w:tcPr>
          <w:p>
            <w:pPr>
              <w:spacing w:after="0"/>
              <w:rPr>
                <w:sz w:val="17"/>
                <w:szCs w:val="17"/>
                <w:color w:val="auto"/>
              </w:rPr>
            </w:pPr>
          </w:p>
        </w:tc>
        <w:tc>
          <w:tcPr>
            <w:tcW w:w="460" w:type="dxa"/>
            <w:vAlign w:val="bottom"/>
            <w:tcBorders>
              <w:top w:val="single" w:sz="8" w:color="auto"/>
              <w:bottom w:val="single" w:sz="8" w:color="auto"/>
            </w:tcBorders>
            <w:shd w:val="clear" w:color="auto" w:fill="F5F5F5"/>
          </w:tcPr>
          <w:p>
            <w:pPr>
              <w:spacing w:after="0"/>
              <w:rPr>
                <w:sz w:val="17"/>
                <w:szCs w:val="17"/>
                <w:color w:val="auto"/>
              </w:rPr>
            </w:pPr>
          </w:p>
        </w:tc>
        <w:tc>
          <w:tcPr>
            <w:tcW w:w="1500" w:type="dxa"/>
            <w:vAlign w:val="bottom"/>
            <w:tcBorders>
              <w:top w:val="single" w:sz="8" w:color="auto"/>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1,559</w:t>
            </w:r>
          </w:p>
        </w:tc>
        <w:tc>
          <w:tcPr>
            <w:tcW w:w="0" w:type="dxa"/>
            <w:vAlign w:val="bottom"/>
          </w:tcPr>
          <w:p>
            <w:pPr>
              <w:spacing w:after="0"/>
              <w:rPr>
                <w:sz w:val="1"/>
                <w:szCs w:val="1"/>
                <w:color w:val="auto"/>
              </w:rPr>
            </w:pPr>
          </w:p>
        </w:tc>
      </w:tr>
      <w:tr>
        <w:trPr>
          <w:trHeight w:val="200"/>
        </w:trPr>
        <w:tc>
          <w:tcPr>
            <w:tcW w:w="5160" w:type="dxa"/>
            <w:vAlign w:val="bottom"/>
          </w:tcPr>
          <w:p>
            <w:pPr>
              <w:ind w:left="20"/>
              <w:spacing w:after="0"/>
              <w:rPr>
                <w:sz w:val="20"/>
                <w:szCs w:val="20"/>
                <w:color w:val="auto"/>
              </w:rPr>
            </w:pPr>
            <w:r>
              <w:rPr>
                <w:rFonts w:ascii="Arial" w:cs="Arial" w:eastAsia="Arial" w:hAnsi="Arial"/>
                <w:sz w:val="14"/>
                <w:szCs w:val="14"/>
                <w:color w:val="auto"/>
              </w:rPr>
              <w:t>Ending balance at February 3, 2024</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(136,532)</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564</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(135,968)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340" w:hanging="332"/>
        <w:spacing w:after="0" w:line="220" w:lineRule="auto"/>
        <w:tabs>
          <w:tab w:leader="none" w:pos="333" w:val="left"/>
        </w:tabs>
        <w:numPr>
          <w:ilvl w:val="0"/>
          <w:numId w:val="74"/>
        </w:numPr>
        <w:rPr>
          <w:rFonts w:ascii="Arial" w:cs="Arial" w:eastAsia="Arial" w:hAnsi="Arial"/>
          <w:sz w:val="19"/>
          <w:szCs w:val="19"/>
          <w:color w:val="auto"/>
          <w:vertAlign w:val="superscript"/>
        </w:rPr>
      </w:pPr>
      <w:r>
        <w:rPr>
          <w:rFonts w:ascii="Arial" w:cs="Arial" w:eastAsia="Arial" w:hAnsi="Arial"/>
          <w:sz w:val="13"/>
          <w:szCs w:val="13"/>
          <w:color w:val="auto"/>
        </w:rPr>
        <w:t>Amount represents loss reclassified from AOCL to cost of sales, exclusive of depreciation and amortization, on the Consolidated Statements of Operations and Comprehensive Income (Loss).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For Fiscal 2022, the activity in AOCL was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color w:val="auto"/>
              </w:rPr>
              <w:t>Fiscal 2022</w:t>
            </w: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5160" w:type="dxa"/>
            <w:vAlign w:val="bottom"/>
          </w:tcPr>
          <w:p>
            <w:pPr>
              <w:spacing w:after="0"/>
              <w:rPr>
                <w:sz w:val="13"/>
                <w:szCs w:val="13"/>
                <w:color w:val="auto"/>
              </w:rPr>
            </w:pPr>
          </w:p>
        </w:tc>
        <w:tc>
          <w:tcPr>
            <w:tcW w:w="2060" w:type="dxa"/>
            <w:vAlign w:val="bottom"/>
            <w:gridSpan w:val="3"/>
            <w:vMerge w:val="restart"/>
          </w:tcPr>
          <w:p>
            <w:pPr>
              <w:jc w:val="center"/>
              <w:ind w:right="120"/>
              <w:spacing w:after="0"/>
              <w:rPr>
                <w:sz w:val="20"/>
                <w:szCs w:val="20"/>
                <w:color w:val="auto"/>
              </w:rPr>
            </w:pPr>
            <w:r>
              <w:rPr>
                <w:rFonts w:ascii="Arial" w:cs="Arial" w:eastAsia="Arial" w:hAnsi="Arial"/>
                <w:sz w:val="14"/>
                <w:szCs w:val="14"/>
                <w:color w:val="auto"/>
              </w:rPr>
              <w:t>Foreign Currency Translation</w:t>
            </w:r>
          </w:p>
        </w:tc>
        <w:tc>
          <w:tcPr>
            <w:tcW w:w="120" w:type="dxa"/>
            <w:vAlign w:val="bottom"/>
          </w:tcPr>
          <w:p>
            <w:pPr>
              <w:spacing w:after="0"/>
              <w:rPr>
                <w:sz w:val="13"/>
                <w:szCs w:val="13"/>
                <w:color w:val="auto"/>
              </w:rPr>
            </w:pPr>
          </w:p>
        </w:tc>
        <w:tc>
          <w:tcPr>
            <w:tcW w:w="1940" w:type="dxa"/>
            <w:vAlign w:val="bottom"/>
            <w:gridSpan w:val="2"/>
          </w:tcPr>
          <w:p>
            <w:pPr>
              <w:jc w:val="center"/>
              <w:ind w:right="220"/>
              <w:spacing w:after="0" w:line="151" w:lineRule="exact"/>
              <w:rPr>
                <w:sz w:val="20"/>
                <w:szCs w:val="20"/>
                <w:color w:val="auto"/>
              </w:rPr>
            </w:pPr>
            <w:r>
              <w:rPr>
                <w:rFonts w:ascii="Arial" w:cs="Arial" w:eastAsia="Arial" w:hAnsi="Arial"/>
                <w:sz w:val="14"/>
                <w:szCs w:val="14"/>
                <w:color w:val="auto"/>
              </w:rPr>
              <w:t>Unrealized Gain (Loss) on</w:t>
            </w:r>
          </w:p>
        </w:tc>
        <w:tc>
          <w:tcPr>
            <w:tcW w:w="4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0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Derivative Financial</w:t>
            </w:r>
          </w:p>
        </w:tc>
        <w:tc>
          <w:tcPr>
            <w:tcW w:w="460" w:type="dxa"/>
            <w:vAlign w:val="bottom"/>
          </w:tcPr>
          <w:p>
            <w:pPr>
              <w:spacing w:after="0"/>
              <w:rPr>
                <w:sz w:val="12"/>
                <w:szCs w:val="12"/>
                <w:color w:val="auto"/>
              </w:rPr>
            </w:pPr>
          </w:p>
        </w:tc>
        <w:tc>
          <w:tcPr>
            <w:tcW w:w="1500" w:type="dxa"/>
            <w:vAlign w:val="bottom"/>
            <w:vMerge w:val="restart"/>
          </w:tcPr>
          <w:p>
            <w:pPr>
              <w:jc w:val="right"/>
              <w:ind w:right="74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5"/>
        </w:trPr>
        <w:tc>
          <w:tcPr>
            <w:tcW w:w="51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4"/>
                <w:szCs w:val="14"/>
                <w:color w:val="auto"/>
              </w:rPr>
              <w:t>Adjustment</w:t>
            </w:r>
          </w:p>
        </w:tc>
        <w:tc>
          <w:tcPr>
            <w:tcW w:w="120" w:type="dxa"/>
            <w:vAlign w:val="bottom"/>
          </w:tcPr>
          <w:p>
            <w:pPr>
              <w:spacing w:after="0"/>
              <w:rPr>
                <w:sz w:val="16"/>
                <w:szCs w:val="16"/>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4"/>
                <w:szCs w:val="14"/>
                <w:color w:val="auto"/>
              </w:rPr>
              <w:t>Instruments</w:t>
            </w:r>
          </w:p>
        </w:tc>
        <w:tc>
          <w:tcPr>
            <w:tcW w:w="46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60" w:type="dxa"/>
            <w:vAlign w:val="bottom"/>
            <w:tcBorders>
              <w:top w:val="single" w:sz="8" w:color="F5F5F5"/>
            </w:tcBorders>
            <w:shd w:val="clear" w:color="auto" w:fill="F5F5F5"/>
          </w:tcPr>
          <w:p>
            <w:pPr>
              <w:ind w:left="20"/>
              <w:spacing w:after="0"/>
              <w:rPr>
                <w:sz w:val="20"/>
                <w:szCs w:val="20"/>
                <w:color w:val="auto"/>
              </w:rPr>
            </w:pPr>
            <w:r>
              <w:rPr>
                <w:rFonts w:ascii="Arial" w:cs="Arial" w:eastAsia="Arial" w:hAnsi="Arial"/>
                <w:sz w:val="14"/>
                <w:szCs w:val="14"/>
                <w:color w:val="auto"/>
              </w:rPr>
              <w:t>Beginning balance at January 29, 2022</w:t>
            </w:r>
          </w:p>
        </w:tc>
        <w:tc>
          <w:tcPr>
            <w:tcW w:w="360" w:type="dxa"/>
            <w:vAlign w:val="bottom"/>
            <w:tcBorders>
              <w:top w:val="single" w:sz="8" w:color="auto"/>
            </w:tcBorders>
            <w:shd w:val="clear" w:color="auto" w:fill="F5F5F5"/>
          </w:tcPr>
          <w:p>
            <w:pPr>
              <w:jc w:val="right"/>
              <w:ind w:right="188"/>
              <w:spacing w:after="0"/>
              <w:rPr>
                <w:sz w:val="20"/>
                <w:szCs w:val="20"/>
                <w:color w:val="auto"/>
              </w:rPr>
            </w:pPr>
            <w:r>
              <w:rPr>
                <w:rFonts w:ascii="Arial" w:cs="Arial" w:eastAsia="Arial" w:hAnsi="Arial"/>
                <w:sz w:val="14"/>
                <w:szCs w:val="14"/>
                <w:color w:val="auto"/>
              </w:rPr>
              <w:t>$</w:t>
            </w:r>
          </w:p>
        </w:tc>
        <w:tc>
          <w:tcPr>
            <w:tcW w:w="158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(120,689)</w:t>
            </w:r>
          </w:p>
        </w:tc>
        <w:tc>
          <w:tcPr>
            <w:tcW w:w="120" w:type="dxa"/>
            <w:vAlign w:val="bottom"/>
            <w:tcBorders>
              <w:top w:val="single" w:sz="8" w:color="F5F5F5"/>
            </w:tcBorders>
            <w:shd w:val="clear" w:color="auto" w:fill="F5F5F5"/>
          </w:tcPr>
          <w:p>
            <w:pPr>
              <w:spacing w:after="0"/>
              <w:rPr>
                <w:sz w:val="17"/>
                <w:szCs w:val="17"/>
                <w:color w:val="auto"/>
              </w:rPr>
            </w:pPr>
          </w:p>
        </w:tc>
        <w:tc>
          <w:tcPr>
            <w:tcW w:w="12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w:t>
            </w:r>
          </w:p>
        </w:tc>
        <w:tc>
          <w:tcPr>
            <w:tcW w:w="1840" w:type="dxa"/>
            <w:vAlign w:val="bottom"/>
            <w:tcBorders>
              <w:top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5,983</w:t>
            </w:r>
          </w:p>
        </w:tc>
        <w:tc>
          <w:tcPr>
            <w:tcW w:w="100" w:type="dxa"/>
            <w:vAlign w:val="bottom"/>
            <w:tcBorders>
              <w:top w:val="single" w:sz="8" w:color="F5F5F5"/>
            </w:tcBorders>
            <w:shd w:val="clear" w:color="auto" w:fill="F5F5F5"/>
          </w:tcPr>
          <w:p>
            <w:pPr>
              <w:spacing w:after="0"/>
              <w:rPr>
                <w:sz w:val="17"/>
                <w:szCs w:val="17"/>
                <w:color w:val="auto"/>
              </w:rPr>
            </w:pPr>
          </w:p>
        </w:tc>
        <w:tc>
          <w:tcPr>
            <w:tcW w:w="460" w:type="dxa"/>
            <w:vAlign w:val="bottom"/>
            <w:tcBorders>
              <w:top w:val="single" w:sz="8" w:color="auto"/>
            </w:tcBorders>
            <w:shd w:val="clear" w:color="auto" w:fill="F5F5F5"/>
          </w:tcPr>
          <w:p>
            <w:pPr>
              <w:jc w:val="right"/>
              <w:ind w:right="28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(114,706)</w:t>
            </w:r>
          </w:p>
        </w:tc>
        <w:tc>
          <w:tcPr>
            <w:tcW w:w="0" w:type="dxa"/>
            <w:vAlign w:val="bottom"/>
          </w:tcPr>
          <w:p>
            <w:pPr>
              <w:spacing w:after="0"/>
              <w:rPr>
                <w:sz w:val="1"/>
                <w:szCs w:val="1"/>
                <w:color w:val="auto"/>
              </w:rPr>
            </w:pPr>
          </w:p>
        </w:tc>
      </w:tr>
      <w:tr>
        <w:trPr>
          <w:trHeight w:val="198"/>
        </w:trPr>
        <w:tc>
          <w:tcPr>
            <w:tcW w:w="5160" w:type="dxa"/>
            <w:vAlign w:val="bottom"/>
          </w:tcPr>
          <w:p>
            <w:pPr>
              <w:ind w:left="40"/>
              <w:spacing w:after="0"/>
              <w:rPr>
                <w:sz w:val="20"/>
                <w:szCs w:val="20"/>
                <w:color w:val="auto"/>
              </w:rPr>
            </w:pPr>
            <w:r>
              <w:rPr>
                <w:rFonts w:ascii="Arial" w:cs="Arial" w:eastAsia="Arial" w:hAnsi="Arial"/>
                <w:sz w:val="14"/>
                <w:szCs w:val="14"/>
                <w:color w:val="auto"/>
              </w:rPr>
              <w:t>Other comprehensive (loss) income before reclassifications</w:t>
            </w:r>
          </w:p>
        </w:tc>
        <w:tc>
          <w:tcPr>
            <w:tcW w:w="3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(11,964)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jc w:val="right"/>
              <w:ind w:right="8"/>
              <w:spacing w:after="0"/>
              <w:rPr>
                <w:sz w:val="20"/>
                <w:szCs w:val="20"/>
                <w:color w:val="auto"/>
              </w:rPr>
            </w:pPr>
            <w:r>
              <w:rPr>
                <w:rFonts w:ascii="Arial" w:cs="Arial" w:eastAsia="Arial" w:hAnsi="Arial"/>
                <w:sz w:val="14"/>
                <w:szCs w:val="14"/>
                <w:color w:val="auto"/>
              </w:rPr>
              <w:t>2,844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(9,120)</w:t>
            </w:r>
          </w:p>
        </w:tc>
        <w:tc>
          <w:tcPr>
            <w:tcW w:w="0" w:type="dxa"/>
            <w:vAlign w:val="bottom"/>
          </w:tcPr>
          <w:p>
            <w:pPr>
              <w:spacing w:after="0"/>
              <w:rPr>
                <w:sz w:val="1"/>
                <w:szCs w:val="1"/>
                <w:color w:val="auto"/>
              </w:rPr>
            </w:pPr>
          </w:p>
        </w:tc>
      </w:tr>
      <w:tr>
        <w:trPr>
          <w:trHeight w:val="207"/>
        </w:trPr>
        <w:tc>
          <w:tcPr>
            <w:tcW w:w="5160" w:type="dxa"/>
            <w:vAlign w:val="bottom"/>
            <w:shd w:val="clear" w:color="auto" w:fill="F5F5F5"/>
          </w:tcPr>
          <w:p>
            <w:pPr>
              <w:ind w:left="40"/>
              <w:spacing w:after="0"/>
              <w:rPr>
                <w:sz w:val="20"/>
                <w:szCs w:val="20"/>
                <w:color w:val="auto"/>
              </w:rPr>
            </w:pPr>
            <w:r>
              <w:rPr>
                <w:rFonts w:ascii="Arial" w:cs="Arial" w:eastAsia="Arial" w:hAnsi="Arial"/>
                <w:sz w:val="14"/>
                <w:szCs w:val="14"/>
                <w:color w:val="auto"/>
              </w:rPr>
              <w:t xml:space="preserve">Reclassified gain from AOCL </w:t>
            </w:r>
            <w:r>
              <w:rPr>
                <w:rFonts w:ascii="Arial" w:cs="Arial" w:eastAsia="Arial" w:hAnsi="Arial"/>
                <w:sz w:val="9"/>
                <w:szCs w:val="9"/>
                <w:color w:val="auto"/>
              </w:rPr>
              <w:t>(1)</w:t>
            </w:r>
          </w:p>
        </w:tc>
        <w:tc>
          <w:tcPr>
            <w:tcW w:w="360" w:type="dxa"/>
            <w:vAlign w:val="bottom"/>
            <w:shd w:val="clear" w:color="auto" w:fill="F5F5F5"/>
          </w:tcPr>
          <w:p>
            <w:pPr>
              <w:spacing w:after="0"/>
              <w:rPr>
                <w:sz w:val="17"/>
                <w:szCs w:val="17"/>
                <w:color w:val="auto"/>
              </w:rPr>
            </w:pPr>
          </w:p>
        </w:tc>
        <w:tc>
          <w:tcPr>
            <w:tcW w:w="1700" w:type="dxa"/>
            <w:vAlign w:val="bottom"/>
            <w:gridSpan w:val="2"/>
            <w:shd w:val="clear" w:color="auto" w:fill="F5F5F5"/>
          </w:tcPr>
          <w:p>
            <w:pPr>
              <w:ind w:left="1380"/>
              <w:spacing w:after="0"/>
              <w:rPr>
                <w:sz w:val="20"/>
                <w:szCs w:val="20"/>
                <w:color w:val="auto"/>
              </w:rPr>
            </w:pPr>
            <w:r>
              <w:rPr>
                <w:rFonts w:ascii="Arial" w:cs="Arial" w:eastAsia="Arial" w:hAnsi="Arial"/>
                <w:sz w:val="14"/>
                <w:szCs w:val="14"/>
                <w:color w:val="auto"/>
              </w:rPr>
              <w:t>—</w:t>
            </w:r>
          </w:p>
        </w:tc>
        <w:tc>
          <w:tcPr>
            <w:tcW w:w="120" w:type="dxa"/>
            <w:vAlign w:val="bottom"/>
            <w:shd w:val="clear" w:color="auto" w:fill="F5F5F5"/>
          </w:tcPr>
          <w:p>
            <w:pPr>
              <w:spacing w:after="0"/>
              <w:rPr>
                <w:sz w:val="17"/>
                <w:szCs w:val="17"/>
                <w:color w:val="auto"/>
              </w:rPr>
            </w:pPr>
          </w:p>
        </w:tc>
        <w:tc>
          <w:tcPr>
            <w:tcW w:w="184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(13,781)</w:t>
            </w:r>
          </w:p>
        </w:tc>
        <w:tc>
          <w:tcPr>
            <w:tcW w:w="100" w:type="dxa"/>
            <w:vAlign w:val="bottom"/>
            <w:shd w:val="clear" w:color="auto" w:fill="F5F5F5"/>
          </w:tcPr>
          <w:p>
            <w:pPr>
              <w:spacing w:after="0"/>
              <w:rPr>
                <w:sz w:val="17"/>
                <w:szCs w:val="17"/>
                <w:color w:val="auto"/>
              </w:rPr>
            </w:pPr>
          </w:p>
        </w:tc>
        <w:tc>
          <w:tcPr>
            <w:tcW w:w="460" w:type="dxa"/>
            <w:vAlign w:val="bottom"/>
            <w:shd w:val="clear" w:color="auto" w:fill="F5F5F5"/>
          </w:tcPr>
          <w:p>
            <w:pPr>
              <w:spacing w:after="0"/>
              <w:rPr>
                <w:sz w:val="17"/>
                <w:szCs w:val="17"/>
                <w:color w:val="auto"/>
              </w:rPr>
            </w:pPr>
          </w:p>
        </w:tc>
        <w:tc>
          <w:tcPr>
            <w:tcW w:w="15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(13,781)</w:t>
            </w:r>
          </w:p>
        </w:tc>
        <w:tc>
          <w:tcPr>
            <w:tcW w:w="0" w:type="dxa"/>
            <w:vAlign w:val="bottom"/>
          </w:tcPr>
          <w:p>
            <w:pPr>
              <w:spacing w:after="0"/>
              <w:rPr>
                <w:sz w:val="1"/>
                <w:szCs w:val="1"/>
                <w:color w:val="auto"/>
              </w:rPr>
            </w:pPr>
          </w:p>
        </w:tc>
      </w:tr>
      <w:tr>
        <w:trPr>
          <w:trHeight w:val="198"/>
        </w:trPr>
        <w:tc>
          <w:tcPr>
            <w:tcW w:w="5160" w:type="dxa"/>
            <w:vAlign w:val="bottom"/>
          </w:tcPr>
          <w:p>
            <w:pPr>
              <w:ind w:left="40"/>
              <w:spacing w:after="0"/>
              <w:rPr>
                <w:sz w:val="20"/>
                <w:szCs w:val="20"/>
                <w:color w:val="auto"/>
              </w:rPr>
            </w:pPr>
            <w:r>
              <w:rPr>
                <w:rFonts w:ascii="Arial" w:cs="Arial" w:eastAsia="Arial" w:hAnsi="Arial"/>
                <w:sz w:val="14"/>
                <w:szCs w:val="14"/>
                <w:color w:val="auto"/>
              </w:rPr>
              <w:t>Tax effect</w:t>
            </w:r>
          </w:p>
        </w:tc>
        <w:tc>
          <w:tcPr>
            <w:tcW w:w="360" w:type="dxa"/>
            <w:vAlign w:val="bottom"/>
          </w:tcPr>
          <w:p>
            <w:pPr>
              <w:spacing w:after="0"/>
              <w:rPr>
                <w:sz w:val="17"/>
                <w:szCs w:val="17"/>
                <w:color w:val="auto"/>
              </w:rPr>
            </w:pPr>
          </w:p>
        </w:tc>
        <w:tc>
          <w:tcPr>
            <w:tcW w:w="1700" w:type="dxa"/>
            <w:vAlign w:val="bottom"/>
            <w:gridSpan w:val="2"/>
          </w:tcPr>
          <w:p>
            <w:pPr>
              <w:ind w:left="1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840" w:type="dxa"/>
            <w:vAlign w:val="bottom"/>
          </w:tcPr>
          <w:p>
            <w:pPr>
              <w:jc w:val="right"/>
              <w:ind w:right="8"/>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96"/>
        </w:trPr>
        <w:tc>
          <w:tcPr>
            <w:tcW w:w="5160" w:type="dxa"/>
            <w:vAlign w:val="bottom"/>
            <w:tcBorders>
              <w:top w:val="single" w:sz="8" w:color="F5F5F5"/>
            </w:tcBorders>
            <w:shd w:val="clear" w:color="auto" w:fill="F5F5F5"/>
          </w:tcPr>
          <w:p>
            <w:pPr>
              <w:ind w:left="20"/>
              <w:spacing w:after="0"/>
              <w:rPr>
                <w:sz w:val="20"/>
                <w:szCs w:val="20"/>
                <w:color w:val="auto"/>
              </w:rPr>
            </w:pPr>
            <w:r>
              <w:rPr>
                <w:rFonts w:ascii="Arial" w:cs="Arial" w:eastAsia="Arial" w:hAnsi="Arial"/>
                <w:sz w:val="14"/>
                <w:szCs w:val="14"/>
                <w:color w:val="auto"/>
              </w:rPr>
              <w:t>Other comprehensive loss after reclassifications</w:t>
            </w:r>
          </w:p>
        </w:tc>
        <w:tc>
          <w:tcPr>
            <w:tcW w:w="360" w:type="dxa"/>
            <w:vAlign w:val="bottom"/>
            <w:tcBorders>
              <w:top w:val="single" w:sz="8" w:color="auto"/>
              <w:bottom w:val="single" w:sz="8" w:color="auto"/>
            </w:tcBorders>
            <w:shd w:val="clear" w:color="auto" w:fill="F5F5F5"/>
          </w:tcPr>
          <w:p>
            <w:pPr>
              <w:spacing w:after="0"/>
              <w:rPr>
                <w:sz w:val="17"/>
                <w:szCs w:val="17"/>
                <w:color w:val="auto"/>
              </w:rPr>
            </w:pPr>
          </w:p>
        </w:tc>
        <w:tc>
          <w:tcPr>
            <w:tcW w:w="1580" w:type="dxa"/>
            <w:vAlign w:val="bottom"/>
            <w:tcBorders>
              <w:top w:val="single" w:sz="8" w:color="auto"/>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(11,964)</w:t>
            </w:r>
          </w:p>
        </w:tc>
        <w:tc>
          <w:tcPr>
            <w:tcW w:w="120" w:type="dxa"/>
            <w:vAlign w:val="bottom"/>
            <w:tcBorders>
              <w:top w:val="single" w:sz="8" w:color="F5F5F5"/>
            </w:tcBorders>
            <w:shd w:val="clear" w:color="auto" w:fill="F5F5F5"/>
          </w:tcPr>
          <w:p>
            <w:pPr>
              <w:spacing w:after="0"/>
              <w:rPr>
                <w:sz w:val="17"/>
                <w:szCs w:val="17"/>
                <w:color w:val="auto"/>
              </w:rPr>
            </w:pPr>
          </w:p>
        </w:tc>
        <w:tc>
          <w:tcPr>
            <w:tcW w:w="120" w:type="dxa"/>
            <w:vAlign w:val="bottom"/>
            <w:tcBorders>
              <w:top w:val="single" w:sz="8" w:color="auto"/>
              <w:bottom w:val="single" w:sz="8" w:color="auto"/>
            </w:tcBorders>
            <w:shd w:val="clear" w:color="auto" w:fill="F5F5F5"/>
          </w:tcPr>
          <w:p>
            <w:pPr>
              <w:spacing w:after="0"/>
              <w:rPr>
                <w:sz w:val="17"/>
                <w:szCs w:val="17"/>
                <w:color w:val="auto"/>
              </w:rPr>
            </w:pPr>
          </w:p>
        </w:tc>
        <w:tc>
          <w:tcPr>
            <w:tcW w:w="1840" w:type="dxa"/>
            <w:vAlign w:val="bottom"/>
            <w:tcBorders>
              <w:top w:val="single" w:sz="8" w:color="auto"/>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(10,857)</w:t>
            </w:r>
          </w:p>
        </w:tc>
        <w:tc>
          <w:tcPr>
            <w:tcW w:w="100" w:type="dxa"/>
            <w:vAlign w:val="bottom"/>
            <w:tcBorders>
              <w:top w:val="single" w:sz="8" w:color="F5F5F5"/>
            </w:tcBorders>
            <w:shd w:val="clear" w:color="auto" w:fill="F5F5F5"/>
          </w:tcPr>
          <w:p>
            <w:pPr>
              <w:spacing w:after="0"/>
              <w:rPr>
                <w:sz w:val="17"/>
                <w:szCs w:val="17"/>
                <w:color w:val="auto"/>
              </w:rPr>
            </w:pPr>
          </w:p>
        </w:tc>
        <w:tc>
          <w:tcPr>
            <w:tcW w:w="460" w:type="dxa"/>
            <w:vAlign w:val="bottom"/>
            <w:tcBorders>
              <w:top w:val="single" w:sz="8" w:color="auto"/>
              <w:bottom w:val="single" w:sz="8" w:color="auto"/>
            </w:tcBorders>
            <w:shd w:val="clear" w:color="auto" w:fill="F5F5F5"/>
          </w:tcPr>
          <w:p>
            <w:pPr>
              <w:spacing w:after="0"/>
              <w:rPr>
                <w:sz w:val="17"/>
                <w:szCs w:val="17"/>
                <w:color w:val="auto"/>
              </w:rPr>
            </w:pPr>
          </w:p>
        </w:tc>
        <w:tc>
          <w:tcPr>
            <w:tcW w:w="1500" w:type="dxa"/>
            <w:vAlign w:val="bottom"/>
            <w:tcBorders>
              <w:top w:val="single" w:sz="8" w:color="auto"/>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(22,821)</w:t>
            </w:r>
          </w:p>
        </w:tc>
        <w:tc>
          <w:tcPr>
            <w:tcW w:w="0" w:type="dxa"/>
            <w:vAlign w:val="bottom"/>
          </w:tcPr>
          <w:p>
            <w:pPr>
              <w:spacing w:after="0"/>
              <w:rPr>
                <w:sz w:val="1"/>
                <w:szCs w:val="1"/>
                <w:color w:val="auto"/>
              </w:rPr>
            </w:pPr>
          </w:p>
        </w:tc>
      </w:tr>
      <w:tr>
        <w:trPr>
          <w:trHeight w:val="200"/>
        </w:trPr>
        <w:tc>
          <w:tcPr>
            <w:tcW w:w="5160" w:type="dxa"/>
            <w:vAlign w:val="bottom"/>
          </w:tcPr>
          <w:p>
            <w:pPr>
              <w:ind w:left="20"/>
              <w:spacing w:after="0"/>
              <w:rPr>
                <w:sz w:val="20"/>
                <w:szCs w:val="20"/>
                <w:color w:val="auto"/>
              </w:rPr>
            </w:pPr>
            <w:r>
              <w:rPr>
                <w:rFonts w:ascii="Arial" w:cs="Arial" w:eastAsia="Arial" w:hAnsi="Arial"/>
                <w:sz w:val="14"/>
                <w:szCs w:val="14"/>
                <w:color w:val="auto"/>
              </w:rPr>
              <w:t>Ending balance at January 28, 2023</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(132,653)</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(4,874)</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(137,527)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340" w:hanging="332"/>
        <w:spacing w:after="0" w:line="220" w:lineRule="auto"/>
        <w:tabs>
          <w:tab w:leader="none" w:pos="333" w:val="left"/>
        </w:tabs>
        <w:numPr>
          <w:ilvl w:val="0"/>
          <w:numId w:val="75"/>
        </w:numPr>
        <w:rPr>
          <w:rFonts w:ascii="Arial" w:cs="Arial" w:eastAsia="Arial" w:hAnsi="Arial"/>
          <w:sz w:val="19"/>
          <w:szCs w:val="19"/>
          <w:color w:val="auto"/>
          <w:vertAlign w:val="superscript"/>
        </w:rPr>
      </w:pPr>
      <w:r>
        <w:rPr>
          <w:rFonts w:ascii="Arial" w:cs="Arial" w:eastAsia="Arial" w:hAnsi="Arial"/>
          <w:sz w:val="13"/>
          <w:szCs w:val="13"/>
          <w:color w:val="auto"/>
        </w:rPr>
        <w:t>Amount represents gain reclassified from AOCL to cost of sales, exclusive of depreciation and amortization, on the Consolidated Statements of Operations and Comprehensive Income (Loss).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color w:val="AC7E65"/>
        </w:rPr>
        <w:t>16. SAVINGS AND RETIREMENT PLANS</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 maintains the Abercrombie &amp; Fitch Co. Savings and Retirement Plan, a qualified plan. All U.S. associates are eligible to participate in this plan if they are at least 21 years of age. In addition, the Company maintains the Abercrombie &amp; Fitch Nonqualified Savings and Supplemental Retirement Plan, comprised of two sub-plans (Plan I and Plan II). Plan I contains contributions made through December 31, 2004, while Plan II contains contributions made on and after January 1, 2005. Participation in these plans is based on service and compensation. The Company’s contributions to these plans are based on a percentage of associates’ eligible annual compensation. The cost of the Company’s contributions to these plans was $18.0 million, $16.9 million and $14.7 million for Fiscal 2024, Fiscal 2023 and Fiscal 2022, respectively.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75</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6"/>
          <w:szCs w:val="16"/>
          <w:u w:val="single" w:color="auto"/>
          <w:color w:val="0000FF"/>
        </w:rPr>
        <w:t>Table of Contents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Abercrombie &amp; Fitch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addition, the Company maintains the Supplemental Executive Retirement Plan, which provides retirement income to its former Chief Executive Officer for life, based on averaged compensation before retirement, including base salary and cash incentive compensation. As of February 1, 2025 and February 3, 2024, the Company had recorded $6.1 million and $6.7 million, respectively, in other liabilities on the Consolidated Balance Sheets related to Supplemental Executive Retirement Plan distributions.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AC7E65"/>
        </w:rPr>
        <w:t>17. SEGMENT REPORTING</w:t>
      </w:r>
    </w:p>
    <w:p>
      <w:pPr>
        <w:spacing w:after="0" w:line="24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Company’s reportable segments are based on the financial information the chief operating decision maker (“CODM”) uses to allocate resources and assess performance of its business.</w:t>
      </w:r>
    </w:p>
    <w:p>
      <w:pPr>
        <w:spacing w:after="0" w:line="19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During the second quarter of Fiscal 2023, to leverage the knowledge and experience of our regional teams to better drive brand growth, the Company reorganized its structure and now manages its business on a geographic basis, consisting of three reportable segments: Americas; Europe, the Middle East and Africa (EMEA); and Asia-Pacific (APAC). Corporate functions and other income and expenses are evaluated on a consolidated basis and are not allocated to the Company’s segments, and therefore are included as a reconciling item between segment and total operating income (loss). The Americas reportable segment includes the results of operations in North America and South America. The EMEA reportable segment includes the results of operations in Europe, the Middle East and Africa. The APAC reportable segment includes the results of operations in the Asia-Pacific region, including Asia and Oceania. Intersegment sales and transfers are recorded at cost and are treated as a transfer of inventory. All intercompany revenues are eliminated in consolidation and are not reviewed when evaluating segment performance. All prior periods presented are recast to conform to the new segment presentation.</w:t>
      </w:r>
    </w:p>
    <w:p>
      <w:pPr>
        <w:spacing w:after="0" w:line="38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group comprised of the Company’s (i) Chief Executive Officer, (ii) Chief Operating Officer, and (iii) Chief Financial Officer functions as the Company’s CODM. The Company’s CODM manages business operations and evaluates the performance of each segment based on the net sales and operating income (loss) of the segment. The CODM considers actual performance relative to expectations, and growth potential to determine the appropriate allocation of resources to each segment.</w:t>
      </w:r>
    </w:p>
    <w:p>
      <w:pPr>
        <w:spacing w:after="0" w:line="22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Net sales by segment are presented by attributing revenues on the basis of the segment that fulfills the order. Operating income (loss) for each segment includes net sales to third parties, related cost of sales and operating expenses directly attributed to the segment. Corporate/other expenses include expenses incurred that are not directly attributed to a reportable segment and primarily relate to corporate or global functions such as design, sourcing, brand management, corporate strategy, information technology, finance, treasury, legal, human resources, and other corporate support services, as well as certain globally managed components of the planning, merchandising, and marketing functions.</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The Company reports inventories by segment as that information is used by the CODM in determining allocation of resources to the segments. The Company does not report its other assets by segment as that information is not used by the CODM in assessing segment performance or allocating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76</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sz w:val="20"/>
          <w:szCs w:val="20"/>
          <w:color w:val="auto"/>
        </w:rPr>
      </w:pPr>
      <w:r>
        <w:rPr>
          <w:rFonts w:ascii="Arial" w:cs="Arial" w:eastAsia="Arial" w:hAnsi="Arial"/>
          <w:sz w:val="16"/>
          <w:szCs w:val="16"/>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Abercrombie &amp; Fitch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The following tables provide the Company’s segment information as of February 1, 2025 and February 3, 2024, and for Fiscal 2024, Fiscal 2023 and Fiscal 2022.</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Fiscal 2024</w:t>
            </w:r>
          </w:p>
        </w:tc>
        <w:tc>
          <w:tcPr>
            <w:tcW w:w="10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140" w:type="dxa"/>
            <w:vAlign w:val="bottom"/>
            <w:tcBorders>
              <w:bottom w:val="single" w:sz="8" w:color="F5F5F5"/>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68"/>
              <w:spacing w:after="0" w:line="197" w:lineRule="exact"/>
              <w:rPr>
                <w:sz w:val="20"/>
                <w:szCs w:val="20"/>
                <w:color w:val="auto"/>
              </w:rPr>
            </w:pPr>
            <w:r>
              <w:rPr>
                <w:rFonts w:ascii="Arial" w:cs="Arial" w:eastAsia="Arial" w:hAnsi="Arial"/>
                <w:sz w:val="14"/>
                <w:szCs w:val="14"/>
                <w:b w:val="1"/>
                <w:bCs w:val="1"/>
                <w:color w:val="auto"/>
              </w:rPr>
              <w:t xml:space="preserve">Americas </w:t>
            </w:r>
            <w:r>
              <w:rPr>
                <w:rFonts w:ascii="Arial" w:cs="Arial" w:eastAsia="Arial" w:hAnsi="Arial"/>
                <w:sz w:val="18"/>
                <w:szCs w:val="18"/>
                <w:b w:val="1"/>
                <w:bCs w:val="1"/>
                <w:color w:val="auto"/>
                <w:vertAlign w:val="superscript"/>
              </w:rPr>
              <w:t>(1)</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EMEA</w:t>
            </w: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APAC</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140" w:type="dxa"/>
            <w:vAlign w:val="bottom"/>
            <w:shd w:val="clear" w:color="auto" w:fill="F5F5F5"/>
          </w:tcPr>
          <w:p>
            <w:pPr>
              <w:ind w:left="20"/>
              <w:spacing w:after="0"/>
              <w:rPr>
                <w:sz w:val="20"/>
                <w:szCs w:val="20"/>
                <w:color w:val="auto"/>
              </w:rPr>
            </w:pPr>
            <w:r>
              <w:rPr>
                <w:rFonts w:ascii="Arial" w:cs="Arial" w:eastAsia="Arial" w:hAnsi="Arial"/>
                <w:sz w:val="14"/>
                <w:szCs w:val="14"/>
                <w:color w:val="auto"/>
              </w:rPr>
              <w:t>Net Sales</w:t>
            </w:r>
          </w:p>
        </w:tc>
        <w:tc>
          <w:tcPr>
            <w:tcW w:w="220" w:type="dxa"/>
            <w:vAlign w:val="bottom"/>
            <w:shd w:val="clear" w:color="auto" w:fill="F5F5F5"/>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4,027,514</w:t>
            </w:r>
          </w:p>
        </w:tc>
        <w:tc>
          <w:tcPr>
            <w:tcW w:w="340" w:type="dxa"/>
            <w:vAlign w:val="bottom"/>
            <w:shd w:val="clear" w:color="auto" w:fill="F5F5F5"/>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770,519</w:t>
            </w:r>
          </w:p>
        </w:tc>
        <w:tc>
          <w:tcPr>
            <w:tcW w:w="500" w:type="dxa"/>
            <w:vAlign w:val="bottom"/>
            <w:shd w:val="clear" w:color="auto" w:fill="F5F5F5"/>
          </w:tcPr>
          <w:p>
            <w:pPr>
              <w:jc w:val="right"/>
              <w:ind w:right="308"/>
              <w:spacing w:after="0"/>
              <w:rPr>
                <w:sz w:val="20"/>
                <w:szCs w:val="20"/>
                <w:color w:val="auto"/>
              </w:rPr>
            </w:pPr>
            <w:r>
              <w:rPr>
                <w:rFonts w:ascii="Arial" w:cs="Arial" w:eastAsia="Arial" w:hAnsi="Arial"/>
                <w:sz w:val="14"/>
                <w:szCs w:val="14"/>
                <w:color w:val="auto"/>
              </w:rPr>
              <w:t>$</w:t>
            </w:r>
          </w:p>
        </w:tc>
        <w:tc>
          <w:tcPr>
            <w:tcW w:w="106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150,554</w:t>
            </w:r>
          </w:p>
        </w:tc>
        <w:tc>
          <w:tcPr>
            <w:tcW w:w="340" w:type="dxa"/>
            <w:vAlign w:val="bottom"/>
            <w:shd w:val="clear" w:color="auto" w:fill="F5F5F5"/>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4,948,587</w:t>
            </w:r>
          </w:p>
        </w:tc>
        <w:tc>
          <w:tcPr>
            <w:tcW w:w="0" w:type="dxa"/>
            <w:vAlign w:val="bottom"/>
          </w:tcPr>
          <w:p>
            <w:pPr>
              <w:spacing w:after="0"/>
              <w:rPr>
                <w:sz w:val="1"/>
                <w:szCs w:val="1"/>
                <w:color w:val="auto"/>
              </w:rPr>
            </w:pPr>
          </w:p>
        </w:tc>
      </w:tr>
      <w:tr>
        <w:trPr>
          <w:trHeight w:val="198"/>
        </w:trPr>
        <w:tc>
          <w:tcPr>
            <w:tcW w:w="5140" w:type="dxa"/>
            <w:vAlign w:val="bottom"/>
          </w:tcPr>
          <w:p>
            <w:pPr>
              <w:ind w:left="140"/>
              <w:spacing w:after="0"/>
              <w:rPr>
                <w:sz w:val="20"/>
                <w:szCs w:val="20"/>
                <w:color w:val="auto"/>
              </w:rPr>
            </w:pPr>
            <w:r>
              <w:rPr>
                <w:rFonts w:ascii="Arial" w:cs="Arial" w:eastAsia="Arial" w:hAnsi="Arial"/>
                <w:sz w:val="14"/>
                <w:szCs w:val="14"/>
                <w:color w:val="auto"/>
              </w:rPr>
              <w:t>Cost of sales, exclusive of depreciation and amortization</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1,436,161</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285,734</w:t>
            </w:r>
          </w:p>
        </w:tc>
        <w:tc>
          <w:tcPr>
            <w:tcW w:w="50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52,031</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1,773,926</w:t>
            </w:r>
          </w:p>
        </w:tc>
        <w:tc>
          <w:tcPr>
            <w:tcW w:w="0" w:type="dxa"/>
            <w:vAlign w:val="bottom"/>
          </w:tcPr>
          <w:p>
            <w:pPr>
              <w:spacing w:after="0"/>
              <w:rPr>
                <w:sz w:val="1"/>
                <w:szCs w:val="1"/>
                <w:color w:val="auto"/>
              </w:rPr>
            </w:pPr>
          </w:p>
        </w:tc>
      </w:tr>
      <w:tr>
        <w:trPr>
          <w:trHeight w:val="207"/>
        </w:trPr>
        <w:tc>
          <w:tcPr>
            <w:tcW w:w="5140" w:type="dxa"/>
            <w:vAlign w:val="bottom"/>
            <w:shd w:val="clear" w:color="auto" w:fill="F5F5F5"/>
          </w:tcPr>
          <w:p>
            <w:pPr>
              <w:ind w:left="140"/>
              <w:spacing w:after="0"/>
              <w:rPr>
                <w:sz w:val="20"/>
                <w:szCs w:val="20"/>
                <w:color w:val="auto"/>
              </w:rPr>
            </w:pPr>
            <w:r>
              <w:rPr>
                <w:rFonts w:ascii="Arial" w:cs="Arial" w:eastAsia="Arial" w:hAnsi="Arial"/>
                <w:sz w:val="14"/>
                <w:szCs w:val="14"/>
                <w:color w:val="auto"/>
              </w:rPr>
              <w:t xml:space="preserve">Store occupancy </w:t>
            </w:r>
            <w:r>
              <w:rPr>
                <w:rFonts w:ascii="Arial" w:cs="Arial" w:eastAsia="Arial" w:hAnsi="Arial"/>
                <w:sz w:val="18"/>
                <w:szCs w:val="18"/>
                <w:color w:val="auto"/>
                <w:vertAlign w:val="superscript"/>
              </w:rPr>
              <w:t>(2)</w:t>
            </w:r>
          </w:p>
        </w:tc>
        <w:tc>
          <w:tcPr>
            <w:tcW w:w="220" w:type="dxa"/>
            <w:vAlign w:val="bottom"/>
            <w:shd w:val="clear" w:color="auto" w:fill="F5F5F5"/>
          </w:tcPr>
          <w:p>
            <w:pPr>
              <w:spacing w:after="0"/>
              <w:rPr>
                <w:sz w:val="17"/>
                <w:szCs w:val="17"/>
                <w:color w:val="auto"/>
              </w:rPr>
            </w:pPr>
          </w:p>
        </w:tc>
        <w:tc>
          <w:tcPr>
            <w:tcW w:w="12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327,458</w:t>
            </w:r>
          </w:p>
        </w:tc>
        <w:tc>
          <w:tcPr>
            <w:tcW w:w="340" w:type="dxa"/>
            <w:vAlign w:val="bottom"/>
            <w:shd w:val="clear" w:color="auto" w:fill="F5F5F5"/>
          </w:tcPr>
          <w:p>
            <w:pPr>
              <w:spacing w:after="0"/>
              <w:rPr>
                <w:sz w:val="17"/>
                <w:szCs w:val="17"/>
                <w:color w:val="auto"/>
              </w:rPr>
            </w:pPr>
          </w:p>
        </w:tc>
        <w:tc>
          <w:tcPr>
            <w:tcW w:w="11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114,664</w:t>
            </w:r>
          </w:p>
        </w:tc>
        <w:tc>
          <w:tcPr>
            <w:tcW w:w="500" w:type="dxa"/>
            <w:vAlign w:val="bottom"/>
            <w:shd w:val="clear" w:color="auto" w:fill="F5F5F5"/>
          </w:tcPr>
          <w:p>
            <w:pPr>
              <w:spacing w:after="0"/>
              <w:rPr>
                <w:sz w:val="17"/>
                <w:szCs w:val="17"/>
                <w:color w:val="auto"/>
              </w:rPr>
            </w:pPr>
          </w:p>
        </w:tc>
        <w:tc>
          <w:tcPr>
            <w:tcW w:w="106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33,545</w:t>
            </w:r>
          </w:p>
        </w:tc>
        <w:tc>
          <w:tcPr>
            <w:tcW w:w="340" w:type="dxa"/>
            <w:vAlign w:val="bottom"/>
            <w:shd w:val="clear" w:color="auto" w:fill="F5F5F5"/>
          </w:tcPr>
          <w:p>
            <w:pPr>
              <w:spacing w:after="0"/>
              <w:rPr>
                <w:sz w:val="17"/>
                <w:szCs w:val="17"/>
                <w:color w:val="auto"/>
              </w:rPr>
            </w:pPr>
          </w:p>
        </w:tc>
        <w:tc>
          <w:tcPr>
            <w:tcW w:w="11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475,667</w:t>
            </w:r>
          </w:p>
        </w:tc>
        <w:tc>
          <w:tcPr>
            <w:tcW w:w="0" w:type="dxa"/>
            <w:vAlign w:val="bottom"/>
          </w:tcPr>
          <w:p>
            <w:pPr>
              <w:spacing w:after="0"/>
              <w:rPr>
                <w:sz w:val="1"/>
                <w:szCs w:val="1"/>
                <w:color w:val="auto"/>
              </w:rPr>
            </w:pPr>
          </w:p>
        </w:tc>
      </w:tr>
      <w:tr>
        <w:trPr>
          <w:trHeight w:val="203"/>
        </w:trPr>
        <w:tc>
          <w:tcPr>
            <w:tcW w:w="5140" w:type="dxa"/>
            <w:vAlign w:val="bottom"/>
          </w:tcPr>
          <w:p>
            <w:pPr>
              <w:ind w:left="140"/>
              <w:spacing w:after="0" w:line="202" w:lineRule="exact"/>
              <w:rPr>
                <w:sz w:val="20"/>
                <w:szCs w:val="20"/>
                <w:color w:val="auto"/>
              </w:rPr>
            </w:pPr>
            <w:r>
              <w:rPr>
                <w:rFonts w:ascii="Arial" w:cs="Arial" w:eastAsia="Arial" w:hAnsi="Arial"/>
                <w:sz w:val="14"/>
                <w:szCs w:val="14"/>
                <w:color w:val="auto"/>
              </w:rPr>
              <w:t xml:space="preserve">Fulfillment </w:t>
            </w:r>
            <w:r>
              <w:rPr>
                <w:rFonts w:ascii="Arial" w:cs="Arial" w:eastAsia="Arial" w:hAnsi="Arial"/>
                <w:sz w:val="18"/>
                <w:szCs w:val="18"/>
                <w:color w:val="auto"/>
                <w:vertAlign w:val="superscript"/>
              </w:rPr>
              <w:t>(2)</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403,114</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83,832</w:t>
            </w:r>
          </w:p>
        </w:tc>
        <w:tc>
          <w:tcPr>
            <w:tcW w:w="50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19,306</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506,252</w:t>
            </w:r>
          </w:p>
        </w:tc>
        <w:tc>
          <w:tcPr>
            <w:tcW w:w="0" w:type="dxa"/>
            <w:vAlign w:val="bottom"/>
          </w:tcPr>
          <w:p>
            <w:pPr>
              <w:spacing w:after="0"/>
              <w:rPr>
                <w:sz w:val="1"/>
                <w:szCs w:val="1"/>
                <w:color w:val="auto"/>
              </w:rPr>
            </w:pPr>
          </w:p>
        </w:tc>
      </w:tr>
      <w:tr>
        <w:trPr>
          <w:trHeight w:val="203"/>
        </w:trPr>
        <w:tc>
          <w:tcPr>
            <w:tcW w:w="5140" w:type="dxa"/>
            <w:vAlign w:val="bottom"/>
            <w:shd w:val="clear" w:color="auto" w:fill="F5F5F5"/>
          </w:tcPr>
          <w:p>
            <w:pPr>
              <w:ind w:left="140"/>
              <w:spacing w:after="0" w:line="202" w:lineRule="exact"/>
              <w:rPr>
                <w:sz w:val="20"/>
                <w:szCs w:val="20"/>
                <w:color w:val="auto"/>
              </w:rPr>
            </w:pPr>
            <w:r>
              <w:rPr>
                <w:rFonts w:ascii="Arial" w:cs="Arial" w:eastAsia="Arial" w:hAnsi="Arial"/>
                <w:sz w:val="14"/>
                <w:szCs w:val="14"/>
                <w:color w:val="auto"/>
              </w:rPr>
              <w:t xml:space="preserve">Other expense </w:t>
            </w:r>
            <w:r>
              <w:rPr>
                <w:rFonts w:ascii="Arial" w:cs="Arial" w:eastAsia="Arial" w:hAnsi="Arial"/>
                <w:sz w:val="18"/>
                <w:szCs w:val="18"/>
                <w:color w:val="auto"/>
                <w:vertAlign w:val="superscript"/>
              </w:rPr>
              <w:t>(3)</w:t>
            </w:r>
          </w:p>
        </w:tc>
        <w:tc>
          <w:tcPr>
            <w:tcW w:w="220" w:type="dxa"/>
            <w:vAlign w:val="bottom"/>
            <w:tcBorders>
              <w:bottom w:val="single" w:sz="8" w:color="auto"/>
            </w:tcBorders>
            <w:shd w:val="clear" w:color="auto" w:fill="F5F5F5"/>
          </w:tcPr>
          <w:p>
            <w:pPr>
              <w:spacing w:after="0"/>
              <w:rPr>
                <w:sz w:val="17"/>
                <w:szCs w:val="17"/>
                <w:color w:val="auto"/>
              </w:rPr>
            </w:pPr>
          </w:p>
        </w:tc>
        <w:tc>
          <w:tcPr>
            <w:tcW w:w="128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650,288</w:t>
            </w:r>
          </w:p>
        </w:tc>
        <w:tc>
          <w:tcPr>
            <w:tcW w:w="340" w:type="dxa"/>
            <w:vAlign w:val="bottom"/>
            <w:tcBorders>
              <w:bottom w:val="single" w:sz="8" w:color="auto"/>
            </w:tcBorders>
            <w:shd w:val="clear" w:color="auto" w:fill="F5F5F5"/>
          </w:tcPr>
          <w:p>
            <w:pPr>
              <w:spacing w:after="0"/>
              <w:rPr>
                <w:sz w:val="17"/>
                <w:szCs w:val="17"/>
                <w:color w:val="auto"/>
              </w:rPr>
            </w:pPr>
          </w:p>
        </w:tc>
        <w:tc>
          <w:tcPr>
            <w:tcW w:w="118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176,468</w:t>
            </w:r>
          </w:p>
        </w:tc>
        <w:tc>
          <w:tcPr>
            <w:tcW w:w="500" w:type="dxa"/>
            <w:vAlign w:val="bottom"/>
            <w:tcBorders>
              <w:bottom w:val="single" w:sz="8" w:color="auto"/>
            </w:tcBorders>
            <w:shd w:val="clear" w:color="auto" w:fill="F5F5F5"/>
          </w:tcPr>
          <w:p>
            <w:pPr>
              <w:spacing w:after="0"/>
              <w:rPr>
                <w:sz w:val="17"/>
                <w:szCs w:val="17"/>
                <w:color w:val="auto"/>
              </w:rPr>
            </w:pPr>
          </w:p>
        </w:tc>
        <w:tc>
          <w:tcPr>
            <w:tcW w:w="1060" w:type="dxa"/>
            <w:vAlign w:val="bottom"/>
            <w:tcBorders>
              <w:bottom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57,683</w:t>
            </w:r>
          </w:p>
        </w:tc>
        <w:tc>
          <w:tcPr>
            <w:tcW w:w="340" w:type="dxa"/>
            <w:vAlign w:val="bottom"/>
            <w:tcBorders>
              <w:bottom w:val="single" w:sz="8" w:color="auto"/>
            </w:tcBorders>
            <w:shd w:val="clear" w:color="auto" w:fill="F5F5F5"/>
          </w:tcPr>
          <w:p>
            <w:pPr>
              <w:spacing w:after="0"/>
              <w:rPr>
                <w:sz w:val="17"/>
                <w:szCs w:val="17"/>
                <w:color w:val="auto"/>
              </w:rPr>
            </w:pPr>
          </w:p>
        </w:tc>
        <w:tc>
          <w:tcPr>
            <w:tcW w:w="118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884,439</w:t>
            </w:r>
          </w:p>
        </w:tc>
        <w:tc>
          <w:tcPr>
            <w:tcW w:w="0" w:type="dxa"/>
            <w:vAlign w:val="bottom"/>
          </w:tcPr>
          <w:p>
            <w:pPr>
              <w:spacing w:after="0"/>
              <w:rPr>
                <w:sz w:val="1"/>
                <w:szCs w:val="1"/>
                <w:color w:val="auto"/>
              </w:rPr>
            </w:pPr>
          </w:p>
        </w:tc>
      </w:tr>
      <w:tr>
        <w:trPr>
          <w:trHeight w:val="192"/>
        </w:trPr>
        <w:tc>
          <w:tcPr>
            <w:tcW w:w="5140" w:type="dxa"/>
            <w:vAlign w:val="bottom"/>
          </w:tcPr>
          <w:p>
            <w:pPr>
              <w:ind w:left="20"/>
              <w:spacing w:after="0"/>
              <w:rPr>
                <w:sz w:val="20"/>
                <w:szCs w:val="20"/>
                <w:color w:val="auto"/>
              </w:rPr>
            </w:pPr>
            <w:r>
              <w:rPr>
                <w:rFonts w:ascii="Arial" w:cs="Arial" w:eastAsia="Arial" w:hAnsi="Arial"/>
                <w:sz w:val="14"/>
                <w:szCs w:val="14"/>
                <w:color w:val="auto"/>
              </w:rPr>
              <w:t>Segment income (loss)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1,210,493</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109,821</w:t>
            </w:r>
          </w:p>
        </w:tc>
        <w:tc>
          <w:tcPr>
            <w:tcW w:w="5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(12,011)</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1,308,303</w:t>
            </w:r>
          </w:p>
        </w:tc>
        <w:tc>
          <w:tcPr>
            <w:tcW w:w="0" w:type="dxa"/>
            <w:vAlign w:val="bottom"/>
          </w:tcPr>
          <w:p>
            <w:pPr>
              <w:spacing w:after="0"/>
              <w:rPr>
                <w:sz w:val="1"/>
                <w:szCs w:val="1"/>
                <w:color w:val="auto"/>
              </w:rPr>
            </w:pPr>
          </w:p>
        </w:tc>
      </w:tr>
      <w:tr>
        <w:trPr>
          <w:trHeight w:val="207"/>
        </w:trPr>
        <w:tc>
          <w:tcPr>
            <w:tcW w:w="5140" w:type="dxa"/>
            <w:vAlign w:val="bottom"/>
            <w:shd w:val="clear" w:color="auto" w:fill="F5F5F5"/>
          </w:tcPr>
          <w:p>
            <w:pPr>
              <w:ind w:left="20"/>
              <w:spacing w:after="0"/>
              <w:rPr>
                <w:sz w:val="20"/>
                <w:szCs w:val="20"/>
                <w:color w:val="auto"/>
              </w:rPr>
            </w:pPr>
            <w:r>
              <w:rPr>
                <w:rFonts w:ascii="Arial" w:cs="Arial" w:eastAsia="Arial" w:hAnsi="Arial"/>
                <w:sz w:val="14"/>
                <w:szCs w:val="14"/>
                <w:color w:val="auto"/>
              </w:rPr>
              <w:t>Operating loss not attributed to segments:</w:t>
            </w:r>
          </w:p>
        </w:tc>
        <w:tc>
          <w:tcPr>
            <w:tcW w:w="220" w:type="dxa"/>
            <w:vAlign w:val="bottom"/>
            <w:shd w:val="clear" w:color="auto" w:fill="F5F5F5"/>
          </w:tcPr>
          <w:p>
            <w:pPr>
              <w:spacing w:after="0"/>
              <w:rPr>
                <w:sz w:val="17"/>
                <w:szCs w:val="17"/>
                <w:color w:val="auto"/>
              </w:rPr>
            </w:pPr>
          </w:p>
        </w:tc>
        <w:tc>
          <w:tcPr>
            <w:tcW w:w="1280" w:type="dxa"/>
            <w:vAlign w:val="bottom"/>
            <w:shd w:val="clear" w:color="auto" w:fill="F5F5F5"/>
          </w:tcPr>
          <w:p>
            <w:pPr>
              <w:spacing w:after="0"/>
              <w:rPr>
                <w:sz w:val="17"/>
                <w:szCs w:val="17"/>
                <w:color w:val="auto"/>
              </w:rPr>
            </w:pPr>
          </w:p>
        </w:tc>
        <w:tc>
          <w:tcPr>
            <w:tcW w:w="340" w:type="dxa"/>
            <w:vAlign w:val="bottom"/>
            <w:shd w:val="clear" w:color="auto" w:fill="F5F5F5"/>
          </w:tcPr>
          <w:p>
            <w:pPr>
              <w:spacing w:after="0"/>
              <w:rPr>
                <w:sz w:val="17"/>
                <w:szCs w:val="17"/>
                <w:color w:val="auto"/>
              </w:rPr>
            </w:pPr>
          </w:p>
        </w:tc>
        <w:tc>
          <w:tcPr>
            <w:tcW w:w="1180" w:type="dxa"/>
            <w:vAlign w:val="bottom"/>
            <w:shd w:val="clear" w:color="auto" w:fill="F5F5F5"/>
          </w:tcPr>
          <w:p>
            <w:pPr>
              <w:spacing w:after="0"/>
              <w:rPr>
                <w:sz w:val="17"/>
                <w:szCs w:val="17"/>
                <w:color w:val="auto"/>
              </w:rPr>
            </w:pPr>
          </w:p>
        </w:tc>
        <w:tc>
          <w:tcPr>
            <w:tcW w:w="500" w:type="dxa"/>
            <w:vAlign w:val="bottom"/>
            <w:shd w:val="clear" w:color="auto" w:fill="F5F5F5"/>
          </w:tcPr>
          <w:p>
            <w:pPr>
              <w:spacing w:after="0"/>
              <w:rPr>
                <w:sz w:val="17"/>
                <w:szCs w:val="17"/>
                <w:color w:val="auto"/>
              </w:rPr>
            </w:pPr>
          </w:p>
        </w:tc>
        <w:tc>
          <w:tcPr>
            <w:tcW w:w="1060" w:type="dxa"/>
            <w:vAlign w:val="bottom"/>
            <w:shd w:val="clear" w:color="auto" w:fill="F5F5F5"/>
          </w:tcPr>
          <w:p>
            <w:pPr>
              <w:spacing w:after="0"/>
              <w:rPr>
                <w:sz w:val="17"/>
                <w:szCs w:val="17"/>
                <w:color w:val="auto"/>
              </w:rPr>
            </w:pPr>
          </w:p>
        </w:tc>
        <w:tc>
          <w:tcPr>
            <w:tcW w:w="340" w:type="dxa"/>
            <w:vAlign w:val="bottom"/>
            <w:shd w:val="clear" w:color="auto" w:fill="F5F5F5"/>
          </w:tcPr>
          <w:p>
            <w:pPr>
              <w:spacing w:after="0"/>
              <w:rPr>
                <w:sz w:val="17"/>
                <w:szCs w:val="17"/>
                <w:color w:val="auto"/>
              </w:rPr>
            </w:pPr>
          </w:p>
        </w:tc>
        <w:tc>
          <w:tcPr>
            <w:tcW w:w="1180" w:type="dxa"/>
            <w:vAlign w:val="bottom"/>
            <w:shd w:val="clear" w:color="auto" w:fill="F5F5F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tcBorders>
              <w:bottom w:val="single" w:sz="8" w:color="F5F5F5"/>
            </w:tcBorders>
          </w:tcPr>
          <w:p>
            <w:pPr>
              <w:ind w:left="140"/>
              <w:spacing w:after="0" w:line="202" w:lineRule="exact"/>
              <w:rPr>
                <w:sz w:val="20"/>
                <w:szCs w:val="20"/>
                <w:color w:val="auto"/>
              </w:rPr>
            </w:pPr>
            <w:r>
              <w:rPr>
                <w:rFonts w:ascii="Arial" w:cs="Arial" w:eastAsia="Arial" w:hAnsi="Arial"/>
                <w:sz w:val="14"/>
                <w:szCs w:val="14"/>
                <w:color w:val="auto"/>
              </w:rPr>
              <w:t xml:space="preserve">Corporate and other unallocated expenses </w:t>
            </w:r>
            <w:r>
              <w:rPr>
                <w:rFonts w:ascii="Arial" w:cs="Arial" w:eastAsia="Arial" w:hAnsi="Arial"/>
                <w:sz w:val="18"/>
                <w:szCs w:val="18"/>
                <w:color w:val="auto"/>
                <w:vertAlign w:val="superscript"/>
              </w:rPr>
              <w:t>(4)</w:t>
            </w:r>
          </w:p>
        </w:tc>
        <w:tc>
          <w:tcPr>
            <w:tcW w:w="220" w:type="dxa"/>
            <w:vAlign w:val="bottom"/>
            <w:tcBorders>
              <w:bottom w:val="single" w:sz="8" w:color="F5F5F5"/>
            </w:tcBorders>
          </w:tcPr>
          <w:p>
            <w:pPr>
              <w:spacing w:after="0"/>
              <w:rPr>
                <w:sz w:val="17"/>
                <w:szCs w:val="17"/>
                <w:color w:val="auto"/>
              </w:rPr>
            </w:pPr>
          </w:p>
        </w:tc>
        <w:tc>
          <w:tcPr>
            <w:tcW w:w="1280" w:type="dxa"/>
            <w:vAlign w:val="bottom"/>
            <w:tcBorders>
              <w:bottom w:val="single" w:sz="8" w:color="F5F5F5"/>
            </w:tcBorders>
          </w:tcPr>
          <w:p>
            <w:pPr>
              <w:spacing w:after="0"/>
              <w:rPr>
                <w:sz w:val="17"/>
                <w:szCs w:val="17"/>
                <w:color w:val="auto"/>
              </w:rPr>
            </w:pPr>
          </w:p>
        </w:tc>
        <w:tc>
          <w:tcPr>
            <w:tcW w:w="340" w:type="dxa"/>
            <w:vAlign w:val="bottom"/>
            <w:tcBorders>
              <w:bottom w:val="single" w:sz="8" w:color="F5F5F5"/>
            </w:tcBorders>
          </w:tcPr>
          <w:p>
            <w:pPr>
              <w:spacing w:after="0"/>
              <w:rPr>
                <w:sz w:val="17"/>
                <w:szCs w:val="17"/>
                <w:color w:val="auto"/>
              </w:rPr>
            </w:pPr>
          </w:p>
        </w:tc>
        <w:tc>
          <w:tcPr>
            <w:tcW w:w="1180" w:type="dxa"/>
            <w:vAlign w:val="bottom"/>
            <w:tcBorders>
              <w:bottom w:val="single" w:sz="8" w:color="F5F5F5"/>
            </w:tcBorders>
          </w:tcPr>
          <w:p>
            <w:pPr>
              <w:spacing w:after="0"/>
              <w:rPr>
                <w:sz w:val="17"/>
                <w:szCs w:val="17"/>
                <w:color w:val="auto"/>
              </w:rPr>
            </w:pPr>
          </w:p>
        </w:tc>
        <w:tc>
          <w:tcPr>
            <w:tcW w:w="500" w:type="dxa"/>
            <w:vAlign w:val="bottom"/>
            <w:tcBorders>
              <w:bottom w:val="single" w:sz="8" w:color="F5F5F5"/>
            </w:tcBorders>
          </w:tcPr>
          <w:p>
            <w:pPr>
              <w:spacing w:after="0"/>
              <w:rPr>
                <w:sz w:val="17"/>
                <w:szCs w:val="17"/>
                <w:color w:val="auto"/>
              </w:rPr>
            </w:pPr>
          </w:p>
        </w:tc>
        <w:tc>
          <w:tcPr>
            <w:tcW w:w="1060" w:type="dxa"/>
            <w:vAlign w:val="bottom"/>
            <w:tcBorders>
              <w:bottom w:val="single" w:sz="8" w:color="F5F5F5"/>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(567,483)</w:t>
            </w:r>
          </w:p>
        </w:tc>
        <w:tc>
          <w:tcPr>
            <w:tcW w:w="0" w:type="dxa"/>
            <w:vAlign w:val="bottom"/>
          </w:tcPr>
          <w:p>
            <w:pPr>
              <w:spacing w:after="0"/>
              <w:rPr>
                <w:sz w:val="1"/>
                <w:szCs w:val="1"/>
                <w:color w:val="auto"/>
              </w:rPr>
            </w:pPr>
          </w:p>
        </w:tc>
      </w:tr>
      <w:tr>
        <w:trPr>
          <w:trHeight w:val="196"/>
        </w:trPr>
        <w:tc>
          <w:tcPr>
            <w:tcW w:w="5140" w:type="dxa"/>
            <w:vAlign w:val="bottom"/>
            <w:shd w:val="clear" w:color="auto" w:fill="F5F5F5"/>
          </w:tcPr>
          <w:p>
            <w:pPr>
              <w:ind w:left="20"/>
              <w:spacing w:after="0"/>
              <w:rPr>
                <w:sz w:val="20"/>
                <w:szCs w:val="20"/>
                <w:color w:val="auto"/>
              </w:rPr>
            </w:pPr>
            <w:r>
              <w:rPr>
                <w:rFonts w:ascii="Arial" w:cs="Arial" w:eastAsia="Arial" w:hAnsi="Arial"/>
                <w:sz w:val="14"/>
                <w:szCs w:val="14"/>
                <w:color w:val="auto"/>
              </w:rPr>
              <w:t>Operating income</w:t>
            </w:r>
          </w:p>
        </w:tc>
        <w:tc>
          <w:tcPr>
            <w:tcW w:w="220" w:type="dxa"/>
            <w:vAlign w:val="bottom"/>
            <w:shd w:val="clear" w:color="auto" w:fill="F5F5F5"/>
          </w:tcPr>
          <w:p>
            <w:pPr>
              <w:spacing w:after="0"/>
              <w:rPr>
                <w:sz w:val="17"/>
                <w:szCs w:val="17"/>
                <w:color w:val="auto"/>
              </w:rPr>
            </w:pPr>
          </w:p>
        </w:tc>
        <w:tc>
          <w:tcPr>
            <w:tcW w:w="1280" w:type="dxa"/>
            <w:vAlign w:val="bottom"/>
            <w:shd w:val="clear" w:color="auto" w:fill="F5F5F5"/>
          </w:tcPr>
          <w:p>
            <w:pPr>
              <w:spacing w:after="0"/>
              <w:rPr>
                <w:sz w:val="17"/>
                <w:szCs w:val="17"/>
                <w:color w:val="auto"/>
              </w:rPr>
            </w:pPr>
          </w:p>
        </w:tc>
        <w:tc>
          <w:tcPr>
            <w:tcW w:w="340" w:type="dxa"/>
            <w:vAlign w:val="bottom"/>
            <w:shd w:val="clear" w:color="auto" w:fill="F5F5F5"/>
          </w:tcPr>
          <w:p>
            <w:pPr>
              <w:spacing w:after="0"/>
              <w:rPr>
                <w:sz w:val="17"/>
                <w:szCs w:val="17"/>
                <w:color w:val="auto"/>
              </w:rPr>
            </w:pPr>
          </w:p>
        </w:tc>
        <w:tc>
          <w:tcPr>
            <w:tcW w:w="1180" w:type="dxa"/>
            <w:vAlign w:val="bottom"/>
            <w:shd w:val="clear" w:color="auto" w:fill="F5F5F5"/>
          </w:tcPr>
          <w:p>
            <w:pPr>
              <w:spacing w:after="0"/>
              <w:rPr>
                <w:sz w:val="17"/>
                <w:szCs w:val="17"/>
                <w:color w:val="auto"/>
              </w:rPr>
            </w:pPr>
          </w:p>
        </w:tc>
        <w:tc>
          <w:tcPr>
            <w:tcW w:w="500" w:type="dxa"/>
            <w:vAlign w:val="bottom"/>
            <w:shd w:val="clear" w:color="auto" w:fill="F5F5F5"/>
          </w:tcPr>
          <w:p>
            <w:pPr>
              <w:spacing w:after="0"/>
              <w:rPr>
                <w:sz w:val="17"/>
                <w:szCs w:val="17"/>
                <w:color w:val="auto"/>
              </w:rPr>
            </w:pPr>
          </w:p>
        </w:tc>
        <w:tc>
          <w:tcPr>
            <w:tcW w:w="1060" w:type="dxa"/>
            <w:vAlign w:val="bottom"/>
            <w:shd w:val="clear" w:color="auto" w:fill="F5F5F5"/>
          </w:tcPr>
          <w:p>
            <w:pPr>
              <w:spacing w:after="0"/>
              <w:rPr>
                <w:sz w:val="17"/>
                <w:szCs w:val="17"/>
                <w:color w:val="auto"/>
              </w:rPr>
            </w:pPr>
          </w:p>
        </w:tc>
        <w:tc>
          <w:tcPr>
            <w:tcW w:w="340" w:type="dxa"/>
            <w:vAlign w:val="bottom"/>
            <w:shd w:val="clear" w:color="auto" w:fill="F5F5F5"/>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740,820</w:t>
            </w:r>
          </w:p>
        </w:tc>
        <w:tc>
          <w:tcPr>
            <w:tcW w:w="0" w:type="dxa"/>
            <w:vAlign w:val="bottom"/>
          </w:tcPr>
          <w:p>
            <w:pPr>
              <w:spacing w:after="0"/>
              <w:rPr>
                <w:sz w:val="1"/>
                <w:szCs w:val="1"/>
                <w:color w:val="auto"/>
              </w:rPr>
            </w:pPr>
          </w:p>
        </w:tc>
      </w:tr>
      <w:tr>
        <w:trPr>
          <w:trHeight w:val="198"/>
        </w:trPr>
        <w:tc>
          <w:tcPr>
            <w:tcW w:w="5140" w:type="dxa"/>
            <w:vAlign w:val="bottom"/>
            <w:tcBorders>
              <w:bottom w:val="single" w:sz="8" w:color="F5F5F5"/>
            </w:tcBorders>
          </w:tcPr>
          <w:p>
            <w:pPr>
              <w:ind w:left="20"/>
              <w:spacing w:after="0"/>
              <w:rPr>
                <w:sz w:val="20"/>
                <w:szCs w:val="20"/>
                <w:color w:val="auto"/>
              </w:rPr>
            </w:pPr>
            <w:r>
              <w:rPr>
                <w:rFonts w:ascii="Arial" w:cs="Arial" w:eastAsia="Arial" w:hAnsi="Arial"/>
                <w:sz w:val="14"/>
                <w:szCs w:val="14"/>
                <w:color w:val="auto"/>
              </w:rPr>
              <w:t>Interest expense (income), Net</w:t>
            </w:r>
          </w:p>
        </w:tc>
        <w:tc>
          <w:tcPr>
            <w:tcW w:w="220" w:type="dxa"/>
            <w:vAlign w:val="bottom"/>
            <w:tcBorders>
              <w:bottom w:val="single" w:sz="8" w:color="F5F5F5"/>
            </w:tcBorders>
          </w:tcPr>
          <w:p>
            <w:pPr>
              <w:spacing w:after="0"/>
              <w:rPr>
                <w:sz w:val="17"/>
                <w:szCs w:val="17"/>
                <w:color w:val="auto"/>
              </w:rPr>
            </w:pPr>
          </w:p>
        </w:tc>
        <w:tc>
          <w:tcPr>
            <w:tcW w:w="1280" w:type="dxa"/>
            <w:vAlign w:val="bottom"/>
            <w:tcBorders>
              <w:bottom w:val="single" w:sz="8" w:color="F5F5F5"/>
            </w:tcBorders>
          </w:tcPr>
          <w:p>
            <w:pPr>
              <w:spacing w:after="0"/>
              <w:rPr>
                <w:sz w:val="17"/>
                <w:szCs w:val="17"/>
                <w:color w:val="auto"/>
              </w:rPr>
            </w:pPr>
          </w:p>
        </w:tc>
        <w:tc>
          <w:tcPr>
            <w:tcW w:w="340" w:type="dxa"/>
            <w:vAlign w:val="bottom"/>
            <w:tcBorders>
              <w:bottom w:val="single" w:sz="8" w:color="F5F5F5"/>
            </w:tcBorders>
          </w:tcPr>
          <w:p>
            <w:pPr>
              <w:spacing w:after="0"/>
              <w:rPr>
                <w:sz w:val="17"/>
                <w:szCs w:val="17"/>
                <w:color w:val="auto"/>
              </w:rPr>
            </w:pPr>
          </w:p>
        </w:tc>
        <w:tc>
          <w:tcPr>
            <w:tcW w:w="1180" w:type="dxa"/>
            <w:vAlign w:val="bottom"/>
            <w:tcBorders>
              <w:bottom w:val="single" w:sz="8" w:color="F5F5F5"/>
            </w:tcBorders>
          </w:tcPr>
          <w:p>
            <w:pPr>
              <w:spacing w:after="0"/>
              <w:rPr>
                <w:sz w:val="17"/>
                <w:szCs w:val="17"/>
                <w:color w:val="auto"/>
              </w:rPr>
            </w:pPr>
          </w:p>
        </w:tc>
        <w:tc>
          <w:tcPr>
            <w:tcW w:w="500" w:type="dxa"/>
            <w:vAlign w:val="bottom"/>
            <w:tcBorders>
              <w:bottom w:val="single" w:sz="8" w:color="F5F5F5"/>
            </w:tcBorders>
          </w:tcPr>
          <w:p>
            <w:pPr>
              <w:spacing w:after="0"/>
              <w:rPr>
                <w:sz w:val="17"/>
                <w:szCs w:val="17"/>
                <w:color w:val="auto"/>
              </w:rPr>
            </w:pPr>
          </w:p>
        </w:tc>
        <w:tc>
          <w:tcPr>
            <w:tcW w:w="1060" w:type="dxa"/>
            <w:vAlign w:val="bottom"/>
            <w:tcBorders>
              <w:bottom w:val="single" w:sz="8" w:color="F5F5F5"/>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(27,857)</w:t>
            </w:r>
          </w:p>
        </w:tc>
        <w:tc>
          <w:tcPr>
            <w:tcW w:w="0" w:type="dxa"/>
            <w:vAlign w:val="bottom"/>
          </w:tcPr>
          <w:p>
            <w:pPr>
              <w:spacing w:after="0"/>
              <w:rPr>
                <w:sz w:val="1"/>
                <w:szCs w:val="1"/>
                <w:color w:val="auto"/>
              </w:rPr>
            </w:pPr>
          </w:p>
        </w:tc>
      </w:tr>
      <w:tr>
        <w:trPr>
          <w:trHeight w:val="200"/>
        </w:trPr>
        <w:tc>
          <w:tcPr>
            <w:tcW w:w="5140" w:type="dxa"/>
            <w:vAlign w:val="bottom"/>
            <w:shd w:val="clear" w:color="auto" w:fill="F5F5F5"/>
          </w:tcPr>
          <w:p>
            <w:pPr>
              <w:ind w:left="20"/>
              <w:spacing w:after="0"/>
              <w:rPr>
                <w:sz w:val="20"/>
                <w:szCs w:val="20"/>
                <w:color w:val="auto"/>
              </w:rPr>
            </w:pPr>
            <w:r>
              <w:rPr>
                <w:rFonts w:ascii="Arial" w:cs="Arial" w:eastAsia="Arial" w:hAnsi="Arial"/>
                <w:sz w:val="14"/>
                <w:szCs w:val="14"/>
                <w:color w:val="auto"/>
              </w:rPr>
              <w:t>Income before taxes</w:t>
            </w:r>
          </w:p>
        </w:tc>
        <w:tc>
          <w:tcPr>
            <w:tcW w:w="220" w:type="dxa"/>
            <w:vAlign w:val="bottom"/>
            <w:shd w:val="clear" w:color="auto" w:fill="F5F5F5"/>
          </w:tcPr>
          <w:p>
            <w:pPr>
              <w:spacing w:after="0"/>
              <w:rPr>
                <w:sz w:val="17"/>
                <w:szCs w:val="17"/>
                <w:color w:val="auto"/>
              </w:rPr>
            </w:pPr>
          </w:p>
        </w:tc>
        <w:tc>
          <w:tcPr>
            <w:tcW w:w="1280" w:type="dxa"/>
            <w:vAlign w:val="bottom"/>
            <w:shd w:val="clear" w:color="auto" w:fill="F5F5F5"/>
          </w:tcPr>
          <w:p>
            <w:pPr>
              <w:spacing w:after="0"/>
              <w:rPr>
                <w:sz w:val="17"/>
                <w:szCs w:val="17"/>
                <w:color w:val="auto"/>
              </w:rPr>
            </w:pPr>
          </w:p>
        </w:tc>
        <w:tc>
          <w:tcPr>
            <w:tcW w:w="340" w:type="dxa"/>
            <w:vAlign w:val="bottom"/>
            <w:shd w:val="clear" w:color="auto" w:fill="F5F5F5"/>
          </w:tcPr>
          <w:p>
            <w:pPr>
              <w:spacing w:after="0"/>
              <w:rPr>
                <w:sz w:val="17"/>
                <w:szCs w:val="17"/>
                <w:color w:val="auto"/>
              </w:rPr>
            </w:pPr>
          </w:p>
        </w:tc>
        <w:tc>
          <w:tcPr>
            <w:tcW w:w="1180" w:type="dxa"/>
            <w:vAlign w:val="bottom"/>
            <w:shd w:val="clear" w:color="auto" w:fill="F5F5F5"/>
          </w:tcPr>
          <w:p>
            <w:pPr>
              <w:spacing w:after="0"/>
              <w:rPr>
                <w:sz w:val="17"/>
                <w:szCs w:val="17"/>
                <w:color w:val="auto"/>
              </w:rPr>
            </w:pPr>
          </w:p>
        </w:tc>
        <w:tc>
          <w:tcPr>
            <w:tcW w:w="500" w:type="dxa"/>
            <w:vAlign w:val="bottom"/>
            <w:shd w:val="clear" w:color="auto" w:fill="F5F5F5"/>
          </w:tcPr>
          <w:p>
            <w:pPr>
              <w:spacing w:after="0"/>
              <w:rPr>
                <w:sz w:val="17"/>
                <w:szCs w:val="17"/>
                <w:color w:val="auto"/>
              </w:rPr>
            </w:pPr>
          </w:p>
        </w:tc>
        <w:tc>
          <w:tcPr>
            <w:tcW w:w="1060" w:type="dxa"/>
            <w:vAlign w:val="bottom"/>
            <w:shd w:val="clear" w:color="auto" w:fill="F5F5F5"/>
          </w:tcPr>
          <w:p>
            <w:pPr>
              <w:spacing w:after="0"/>
              <w:rPr>
                <w:sz w:val="17"/>
                <w:szCs w:val="17"/>
                <w:color w:val="auto"/>
              </w:rPr>
            </w:pPr>
          </w:p>
        </w:tc>
        <w:tc>
          <w:tcPr>
            <w:tcW w:w="340" w:type="dxa"/>
            <w:vAlign w:val="bottom"/>
            <w:shd w:val="clear" w:color="auto" w:fill="F5F5F5"/>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768,677</w:t>
            </w:r>
          </w:p>
        </w:tc>
        <w:tc>
          <w:tcPr>
            <w:tcW w:w="0" w:type="dxa"/>
            <w:vAlign w:val="bottom"/>
          </w:tcPr>
          <w:p>
            <w:pPr>
              <w:spacing w:after="0"/>
              <w:rPr>
                <w:sz w:val="1"/>
                <w:szCs w:val="1"/>
                <w:color w:val="auto"/>
              </w:rPr>
            </w:pPr>
          </w:p>
        </w:tc>
      </w:tr>
      <w:tr>
        <w:trPr>
          <w:trHeight w:val="108"/>
        </w:trPr>
        <w:tc>
          <w:tcPr>
            <w:tcW w:w="5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5140" w:type="dxa"/>
            <w:vAlign w:val="bottom"/>
            <w:shd w:val="clear" w:color="auto" w:fill="F5F5F5"/>
          </w:tcPr>
          <w:p>
            <w:pPr>
              <w:ind w:left="20"/>
              <w:spacing w:after="0"/>
              <w:rPr>
                <w:sz w:val="20"/>
                <w:szCs w:val="20"/>
                <w:color w:val="auto"/>
              </w:rPr>
            </w:pPr>
            <w:r>
              <w:rPr>
                <w:rFonts w:ascii="Arial" w:cs="Arial" w:eastAsia="Arial" w:hAnsi="Arial"/>
                <w:sz w:val="14"/>
                <w:szCs w:val="14"/>
                <w:color w:val="auto"/>
              </w:rPr>
              <w:t>Depreciation and amortization</w:t>
            </w:r>
          </w:p>
        </w:tc>
        <w:tc>
          <w:tcPr>
            <w:tcW w:w="220" w:type="dxa"/>
            <w:vAlign w:val="bottom"/>
            <w:shd w:val="clear" w:color="auto" w:fill="F5F5F5"/>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85,207</w:t>
            </w:r>
          </w:p>
        </w:tc>
        <w:tc>
          <w:tcPr>
            <w:tcW w:w="340" w:type="dxa"/>
            <w:vAlign w:val="bottom"/>
            <w:shd w:val="clear" w:color="auto" w:fill="F5F5F5"/>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25,070</w:t>
            </w:r>
          </w:p>
        </w:tc>
        <w:tc>
          <w:tcPr>
            <w:tcW w:w="500" w:type="dxa"/>
            <w:vAlign w:val="bottom"/>
            <w:shd w:val="clear" w:color="auto" w:fill="F5F5F5"/>
          </w:tcPr>
          <w:p>
            <w:pPr>
              <w:jc w:val="right"/>
              <w:ind w:right="308"/>
              <w:spacing w:after="0"/>
              <w:rPr>
                <w:sz w:val="20"/>
                <w:szCs w:val="20"/>
                <w:color w:val="auto"/>
              </w:rPr>
            </w:pPr>
            <w:r>
              <w:rPr>
                <w:rFonts w:ascii="Arial" w:cs="Arial" w:eastAsia="Arial" w:hAnsi="Arial"/>
                <w:sz w:val="14"/>
                <w:szCs w:val="14"/>
                <w:color w:val="auto"/>
              </w:rPr>
              <w:t>$</w:t>
            </w:r>
          </w:p>
        </w:tc>
        <w:tc>
          <w:tcPr>
            <w:tcW w:w="106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7,975</w:t>
            </w:r>
          </w:p>
        </w:tc>
        <w:tc>
          <w:tcPr>
            <w:tcW w:w="340" w:type="dxa"/>
            <w:vAlign w:val="bottom"/>
            <w:shd w:val="clear" w:color="auto" w:fill="F5F5F5"/>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118,252</w:t>
            </w:r>
          </w:p>
        </w:tc>
        <w:tc>
          <w:tcPr>
            <w:tcW w:w="0" w:type="dxa"/>
            <w:vAlign w:val="bottom"/>
          </w:tcPr>
          <w:p>
            <w:pPr>
              <w:spacing w:after="0"/>
              <w:rPr>
                <w:sz w:val="1"/>
                <w:szCs w:val="1"/>
                <w:color w:val="auto"/>
              </w:rPr>
            </w:pPr>
          </w:p>
        </w:tc>
      </w:tr>
      <w:tr>
        <w:trPr>
          <w:trHeight w:val="198"/>
        </w:trPr>
        <w:tc>
          <w:tcPr>
            <w:tcW w:w="5140" w:type="dxa"/>
            <w:vAlign w:val="bottom"/>
            <w:tcBorders>
              <w:bottom w:val="single" w:sz="8" w:color="F5F5F5"/>
            </w:tcBorders>
          </w:tcPr>
          <w:p>
            <w:pPr>
              <w:ind w:left="140"/>
              <w:spacing w:after="0"/>
              <w:rPr>
                <w:sz w:val="20"/>
                <w:szCs w:val="20"/>
                <w:color w:val="auto"/>
              </w:rPr>
            </w:pPr>
            <w:r>
              <w:rPr>
                <w:rFonts w:ascii="Arial" w:cs="Arial" w:eastAsia="Arial" w:hAnsi="Arial"/>
                <w:sz w:val="14"/>
                <w:szCs w:val="14"/>
                <w:color w:val="auto"/>
              </w:rPr>
              <w:t>Depreciation and amortization not attributed to segments</w:t>
            </w:r>
          </w:p>
        </w:tc>
        <w:tc>
          <w:tcPr>
            <w:tcW w:w="220" w:type="dxa"/>
            <w:vAlign w:val="bottom"/>
            <w:tcBorders>
              <w:bottom w:val="single" w:sz="8" w:color="F5F5F5"/>
            </w:tcBorders>
          </w:tcPr>
          <w:p>
            <w:pPr>
              <w:spacing w:after="0"/>
              <w:rPr>
                <w:sz w:val="17"/>
                <w:szCs w:val="17"/>
                <w:color w:val="auto"/>
              </w:rPr>
            </w:pPr>
          </w:p>
        </w:tc>
        <w:tc>
          <w:tcPr>
            <w:tcW w:w="1280" w:type="dxa"/>
            <w:vAlign w:val="bottom"/>
            <w:tcBorders>
              <w:bottom w:val="single" w:sz="8" w:color="F5F5F5"/>
            </w:tcBorders>
          </w:tcPr>
          <w:p>
            <w:pPr>
              <w:spacing w:after="0"/>
              <w:rPr>
                <w:sz w:val="17"/>
                <w:szCs w:val="17"/>
                <w:color w:val="auto"/>
              </w:rPr>
            </w:pPr>
          </w:p>
        </w:tc>
        <w:tc>
          <w:tcPr>
            <w:tcW w:w="340" w:type="dxa"/>
            <w:vAlign w:val="bottom"/>
            <w:tcBorders>
              <w:bottom w:val="single" w:sz="8" w:color="F5F5F5"/>
            </w:tcBorders>
          </w:tcPr>
          <w:p>
            <w:pPr>
              <w:spacing w:after="0"/>
              <w:rPr>
                <w:sz w:val="17"/>
                <w:szCs w:val="17"/>
                <w:color w:val="auto"/>
              </w:rPr>
            </w:pPr>
          </w:p>
        </w:tc>
        <w:tc>
          <w:tcPr>
            <w:tcW w:w="1180" w:type="dxa"/>
            <w:vAlign w:val="bottom"/>
            <w:tcBorders>
              <w:bottom w:val="single" w:sz="8" w:color="F5F5F5"/>
            </w:tcBorders>
          </w:tcPr>
          <w:p>
            <w:pPr>
              <w:spacing w:after="0"/>
              <w:rPr>
                <w:sz w:val="17"/>
                <w:szCs w:val="17"/>
                <w:color w:val="auto"/>
              </w:rPr>
            </w:pPr>
          </w:p>
        </w:tc>
        <w:tc>
          <w:tcPr>
            <w:tcW w:w="500" w:type="dxa"/>
            <w:vAlign w:val="bottom"/>
            <w:tcBorders>
              <w:bottom w:val="single" w:sz="8" w:color="F5F5F5"/>
            </w:tcBorders>
          </w:tcPr>
          <w:p>
            <w:pPr>
              <w:spacing w:after="0"/>
              <w:rPr>
                <w:sz w:val="17"/>
                <w:szCs w:val="17"/>
                <w:color w:val="auto"/>
              </w:rPr>
            </w:pPr>
          </w:p>
        </w:tc>
        <w:tc>
          <w:tcPr>
            <w:tcW w:w="1060" w:type="dxa"/>
            <w:vAlign w:val="bottom"/>
            <w:tcBorders>
              <w:bottom w:val="single" w:sz="8" w:color="F5F5F5"/>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35,521</w:t>
            </w:r>
          </w:p>
        </w:tc>
        <w:tc>
          <w:tcPr>
            <w:tcW w:w="0" w:type="dxa"/>
            <w:vAlign w:val="bottom"/>
          </w:tcPr>
          <w:p>
            <w:pPr>
              <w:spacing w:after="0"/>
              <w:rPr>
                <w:sz w:val="1"/>
                <w:szCs w:val="1"/>
                <w:color w:val="auto"/>
              </w:rPr>
            </w:pPr>
          </w:p>
        </w:tc>
      </w:tr>
      <w:tr>
        <w:trPr>
          <w:trHeight w:val="200"/>
        </w:trPr>
        <w:tc>
          <w:tcPr>
            <w:tcW w:w="5140" w:type="dxa"/>
            <w:vAlign w:val="bottom"/>
            <w:shd w:val="clear" w:color="auto" w:fill="F5F5F5"/>
          </w:tcPr>
          <w:p>
            <w:pPr>
              <w:ind w:left="20"/>
              <w:spacing w:after="0"/>
              <w:rPr>
                <w:sz w:val="20"/>
                <w:szCs w:val="20"/>
                <w:color w:val="auto"/>
              </w:rPr>
            </w:pPr>
            <w:r>
              <w:rPr>
                <w:rFonts w:ascii="Arial" w:cs="Arial" w:eastAsia="Arial" w:hAnsi="Arial"/>
                <w:sz w:val="14"/>
                <w:szCs w:val="14"/>
                <w:color w:val="auto"/>
              </w:rPr>
              <w:t>Total depreciation and amortization</w:t>
            </w:r>
          </w:p>
        </w:tc>
        <w:tc>
          <w:tcPr>
            <w:tcW w:w="220" w:type="dxa"/>
            <w:vAlign w:val="bottom"/>
            <w:shd w:val="clear" w:color="auto" w:fill="F5F5F5"/>
          </w:tcPr>
          <w:p>
            <w:pPr>
              <w:spacing w:after="0"/>
              <w:rPr>
                <w:sz w:val="17"/>
                <w:szCs w:val="17"/>
                <w:color w:val="auto"/>
              </w:rPr>
            </w:pPr>
          </w:p>
        </w:tc>
        <w:tc>
          <w:tcPr>
            <w:tcW w:w="1280" w:type="dxa"/>
            <w:vAlign w:val="bottom"/>
            <w:shd w:val="clear" w:color="auto" w:fill="F5F5F5"/>
          </w:tcPr>
          <w:p>
            <w:pPr>
              <w:spacing w:after="0"/>
              <w:rPr>
                <w:sz w:val="17"/>
                <w:szCs w:val="17"/>
                <w:color w:val="auto"/>
              </w:rPr>
            </w:pPr>
          </w:p>
        </w:tc>
        <w:tc>
          <w:tcPr>
            <w:tcW w:w="340" w:type="dxa"/>
            <w:vAlign w:val="bottom"/>
            <w:shd w:val="clear" w:color="auto" w:fill="F5F5F5"/>
          </w:tcPr>
          <w:p>
            <w:pPr>
              <w:spacing w:after="0"/>
              <w:rPr>
                <w:sz w:val="17"/>
                <w:szCs w:val="17"/>
                <w:color w:val="auto"/>
              </w:rPr>
            </w:pPr>
          </w:p>
        </w:tc>
        <w:tc>
          <w:tcPr>
            <w:tcW w:w="1180" w:type="dxa"/>
            <w:vAlign w:val="bottom"/>
            <w:shd w:val="clear" w:color="auto" w:fill="F5F5F5"/>
          </w:tcPr>
          <w:p>
            <w:pPr>
              <w:spacing w:after="0"/>
              <w:rPr>
                <w:sz w:val="17"/>
                <w:szCs w:val="17"/>
                <w:color w:val="auto"/>
              </w:rPr>
            </w:pPr>
          </w:p>
        </w:tc>
        <w:tc>
          <w:tcPr>
            <w:tcW w:w="500" w:type="dxa"/>
            <w:vAlign w:val="bottom"/>
            <w:shd w:val="clear" w:color="auto" w:fill="F5F5F5"/>
          </w:tcPr>
          <w:p>
            <w:pPr>
              <w:spacing w:after="0"/>
              <w:rPr>
                <w:sz w:val="17"/>
                <w:szCs w:val="17"/>
                <w:color w:val="auto"/>
              </w:rPr>
            </w:pPr>
          </w:p>
        </w:tc>
        <w:tc>
          <w:tcPr>
            <w:tcW w:w="1060" w:type="dxa"/>
            <w:vAlign w:val="bottom"/>
            <w:shd w:val="clear" w:color="auto" w:fill="F5F5F5"/>
          </w:tcPr>
          <w:p>
            <w:pPr>
              <w:spacing w:after="0"/>
              <w:rPr>
                <w:sz w:val="17"/>
                <w:szCs w:val="17"/>
                <w:color w:val="auto"/>
              </w:rPr>
            </w:pPr>
          </w:p>
        </w:tc>
        <w:tc>
          <w:tcPr>
            <w:tcW w:w="340" w:type="dxa"/>
            <w:vAlign w:val="bottom"/>
            <w:shd w:val="clear" w:color="auto" w:fill="F5F5F5"/>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153,773</w:t>
            </w:r>
          </w:p>
        </w:tc>
        <w:tc>
          <w:tcPr>
            <w:tcW w:w="0" w:type="dxa"/>
            <w:vAlign w:val="bottom"/>
          </w:tcPr>
          <w:p>
            <w:pPr>
              <w:spacing w:after="0"/>
              <w:rPr>
                <w:sz w:val="1"/>
                <w:szCs w:val="1"/>
                <w:color w:val="auto"/>
              </w:rPr>
            </w:pPr>
          </w:p>
        </w:tc>
      </w:tr>
      <w:tr>
        <w:trPr>
          <w:trHeight w:val="108"/>
        </w:trPr>
        <w:tc>
          <w:tcPr>
            <w:tcW w:w="5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5140" w:type="dxa"/>
            <w:vAlign w:val="bottom"/>
            <w:shd w:val="clear" w:color="auto" w:fill="F5F5F5"/>
          </w:tcPr>
          <w:p>
            <w:pPr>
              <w:ind w:left="20"/>
              <w:spacing w:after="0"/>
              <w:rPr>
                <w:sz w:val="20"/>
                <w:szCs w:val="20"/>
                <w:color w:val="auto"/>
              </w:rPr>
            </w:pPr>
            <w:r>
              <w:rPr>
                <w:rFonts w:ascii="Arial" w:cs="Arial" w:eastAsia="Arial" w:hAnsi="Arial"/>
                <w:sz w:val="14"/>
                <w:szCs w:val="14"/>
                <w:color w:val="auto"/>
              </w:rPr>
              <w:t>Capital expenditures</w:t>
            </w:r>
          </w:p>
        </w:tc>
        <w:tc>
          <w:tcPr>
            <w:tcW w:w="220" w:type="dxa"/>
            <w:vAlign w:val="bottom"/>
            <w:shd w:val="clear" w:color="auto" w:fill="F5F5F5"/>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99,571</w:t>
            </w:r>
          </w:p>
        </w:tc>
        <w:tc>
          <w:tcPr>
            <w:tcW w:w="340" w:type="dxa"/>
            <w:vAlign w:val="bottom"/>
            <w:shd w:val="clear" w:color="auto" w:fill="F5F5F5"/>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17,764</w:t>
            </w:r>
          </w:p>
        </w:tc>
        <w:tc>
          <w:tcPr>
            <w:tcW w:w="500" w:type="dxa"/>
            <w:vAlign w:val="bottom"/>
            <w:shd w:val="clear" w:color="auto" w:fill="F5F5F5"/>
          </w:tcPr>
          <w:p>
            <w:pPr>
              <w:jc w:val="right"/>
              <w:ind w:right="308"/>
              <w:spacing w:after="0"/>
              <w:rPr>
                <w:sz w:val="20"/>
                <w:szCs w:val="20"/>
                <w:color w:val="auto"/>
              </w:rPr>
            </w:pPr>
            <w:r>
              <w:rPr>
                <w:rFonts w:ascii="Arial" w:cs="Arial" w:eastAsia="Arial" w:hAnsi="Arial"/>
                <w:sz w:val="14"/>
                <w:szCs w:val="14"/>
                <w:color w:val="auto"/>
              </w:rPr>
              <w:t>$</w:t>
            </w:r>
          </w:p>
        </w:tc>
        <w:tc>
          <w:tcPr>
            <w:tcW w:w="106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15,240</w:t>
            </w:r>
          </w:p>
        </w:tc>
        <w:tc>
          <w:tcPr>
            <w:tcW w:w="340" w:type="dxa"/>
            <w:vAlign w:val="bottom"/>
            <w:shd w:val="clear" w:color="auto" w:fill="F5F5F5"/>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132,575</w:t>
            </w:r>
          </w:p>
        </w:tc>
        <w:tc>
          <w:tcPr>
            <w:tcW w:w="0" w:type="dxa"/>
            <w:vAlign w:val="bottom"/>
          </w:tcPr>
          <w:p>
            <w:pPr>
              <w:spacing w:after="0"/>
              <w:rPr>
                <w:sz w:val="1"/>
                <w:szCs w:val="1"/>
                <w:color w:val="auto"/>
              </w:rPr>
            </w:pPr>
          </w:p>
        </w:tc>
      </w:tr>
      <w:tr>
        <w:trPr>
          <w:trHeight w:val="198"/>
        </w:trPr>
        <w:tc>
          <w:tcPr>
            <w:tcW w:w="5140" w:type="dxa"/>
            <w:vAlign w:val="bottom"/>
            <w:tcBorders>
              <w:bottom w:val="single" w:sz="8" w:color="F5F5F5"/>
            </w:tcBorders>
          </w:tcPr>
          <w:p>
            <w:pPr>
              <w:ind w:left="140"/>
              <w:spacing w:after="0"/>
              <w:rPr>
                <w:sz w:val="20"/>
                <w:szCs w:val="20"/>
                <w:color w:val="auto"/>
              </w:rPr>
            </w:pPr>
            <w:r>
              <w:rPr>
                <w:rFonts w:ascii="Arial" w:cs="Arial" w:eastAsia="Arial" w:hAnsi="Arial"/>
                <w:sz w:val="14"/>
                <w:szCs w:val="14"/>
                <w:color w:val="auto"/>
              </w:rPr>
              <w:t>Capital expenditures not attributed to segments</w:t>
            </w:r>
          </w:p>
        </w:tc>
        <w:tc>
          <w:tcPr>
            <w:tcW w:w="220" w:type="dxa"/>
            <w:vAlign w:val="bottom"/>
            <w:tcBorders>
              <w:bottom w:val="single" w:sz="8" w:color="F5F5F5"/>
            </w:tcBorders>
          </w:tcPr>
          <w:p>
            <w:pPr>
              <w:spacing w:after="0"/>
              <w:rPr>
                <w:sz w:val="17"/>
                <w:szCs w:val="17"/>
                <w:color w:val="auto"/>
              </w:rPr>
            </w:pPr>
          </w:p>
        </w:tc>
        <w:tc>
          <w:tcPr>
            <w:tcW w:w="1280" w:type="dxa"/>
            <w:vAlign w:val="bottom"/>
            <w:tcBorders>
              <w:bottom w:val="single" w:sz="8" w:color="F5F5F5"/>
            </w:tcBorders>
          </w:tcPr>
          <w:p>
            <w:pPr>
              <w:spacing w:after="0"/>
              <w:rPr>
                <w:sz w:val="17"/>
                <w:szCs w:val="17"/>
                <w:color w:val="auto"/>
              </w:rPr>
            </w:pPr>
          </w:p>
        </w:tc>
        <w:tc>
          <w:tcPr>
            <w:tcW w:w="340" w:type="dxa"/>
            <w:vAlign w:val="bottom"/>
            <w:tcBorders>
              <w:bottom w:val="single" w:sz="8" w:color="F5F5F5"/>
            </w:tcBorders>
          </w:tcPr>
          <w:p>
            <w:pPr>
              <w:spacing w:after="0"/>
              <w:rPr>
                <w:sz w:val="17"/>
                <w:szCs w:val="17"/>
                <w:color w:val="auto"/>
              </w:rPr>
            </w:pPr>
          </w:p>
        </w:tc>
        <w:tc>
          <w:tcPr>
            <w:tcW w:w="1180" w:type="dxa"/>
            <w:vAlign w:val="bottom"/>
            <w:tcBorders>
              <w:bottom w:val="single" w:sz="8" w:color="F5F5F5"/>
            </w:tcBorders>
          </w:tcPr>
          <w:p>
            <w:pPr>
              <w:spacing w:after="0"/>
              <w:rPr>
                <w:sz w:val="17"/>
                <w:szCs w:val="17"/>
                <w:color w:val="auto"/>
              </w:rPr>
            </w:pPr>
          </w:p>
        </w:tc>
        <w:tc>
          <w:tcPr>
            <w:tcW w:w="500" w:type="dxa"/>
            <w:vAlign w:val="bottom"/>
            <w:tcBorders>
              <w:bottom w:val="single" w:sz="8" w:color="F5F5F5"/>
            </w:tcBorders>
          </w:tcPr>
          <w:p>
            <w:pPr>
              <w:spacing w:after="0"/>
              <w:rPr>
                <w:sz w:val="17"/>
                <w:szCs w:val="17"/>
                <w:color w:val="auto"/>
              </w:rPr>
            </w:pPr>
          </w:p>
        </w:tc>
        <w:tc>
          <w:tcPr>
            <w:tcW w:w="1060" w:type="dxa"/>
            <w:vAlign w:val="bottom"/>
            <w:tcBorders>
              <w:bottom w:val="single" w:sz="8" w:color="F5F5F5"/>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50,328</w:t>
            </w:r>
          </w:p>
        </w:tc>
        <w:tc>
          <w:tcPr>
            <w:tcW w:w="0" w:type="dxa"/>
            <w:vAlign w:val="bottom"/>
          </w:tcPr>
          <w:p>
            <w:pPr>
              <w:spacing w:after="0"/>
              <w:rPr>
                <w:sz w:val="1"/>
                <w:szCs w:val="1"/>
                <w:color w:val="auto"/>
              </w:rPr>
            </w:pPr>
          </w:p>
        </w:tc>
      </w:tr>
      <w:tr>
        <w:trPr>
          <w:trHeight w:val="225"/>
        </w:trPr>
        <w:tc>
          <w:tcPr>
            <w:tcW w:w="5140" w:type="dxa"/>
            <w:vAlign w:val="bottom"/>
            <w:tcBorders>
              <w:bottom w:val="single" w:sz="8" w:color="F5F5F5"/>
            </w:tcBorders>
            <w:shd w:val="clear" w:color="auto" w:fill="F5F5F5"/>
          </w:tcPr>
          <w:p>
            <w:pPr>
              <w:ind w:left="20"/>
              <w:spacing w:after="0"/>
              <w:rPr>
                <w:sz w:val="20"/>
                <w:szCs w:val="20"/>
                <w:color w:val="auto"/>
              </w:rPr>
            </w:pPr>
            <w:r>
              <w:rPr>
                <w:rFonts w:ascii="Arial" w:cs="Arial" w:eastAsia="Arial" w:hAnsi="Arial"/>
                <w:sz w:val="14"/>
                <w:szCs w:val="14"/>
                <w:color w:val="auto"/>
              </w:rPr>
              <w:t>Total capital expenditures</w:t>
            </w:r>
          </w:p>
        </w:tc>
        <w:tc>
          <w:tcPr>
            <w:tcW w:w="220" w:type="dxa"/>
            <w:vAlign w:val="bottom"/>
            <w:tcBorders>
              <w:bottom w:val="single" w:sz="8" w:color="F5F5F5"/>
            </w:tcBorders>
            <w:shd w:val="clear" w:color="auto" w:fill="F5F5F5"/>
          </w:tcPr>
          <w:p>
            <w:pPr>
              <w:spacing w:after="0"/>
              <w:rPr>
                <w:sz w:val="19"/>
                <w:szCs w:val="19"/>
                <w:color w:val="auto"/>
              </w:rPr>
            </w:pPr>
          </w:p>
        </w:tc>
        <w:tc>
          <w:tcPr>
            <w:tcW w:w="1280" w:type="dxa"/>
            <w:vAlign w:val="bottom"/>
            <w:tcBorders>
              <w:bottom w:val="single" w:sz="8" w:color="F5F5F5"/>
            </w:tcBorders>
            <w:shd w:val="clear" w:color="auto" w:fill="F5F5F5"/>
          </w:tcPr>
          <w:p>
            <w:pPr>
              <w:spacing w:after="0"/>
              <w:rPr>
                <w:sz w:val="19"/>
                <w:szCs w:val="19"/>
                <w:color w:val="auto"/>
              </w:rPr>
            </w:pPr>
          </w:p>
        </w:tc>
        <w:tc>
          <w:tcPr>
            <w:tcW w:w="340" w:type="dxa"/>
            <w:vAlign w:val="bottom"/>
            <w:tcBorders>
              <w:bottom w:val="single" w:sz="8" w:color="F5F5F5"/>
            </w:tcBorders>
            <w:shd w:val="clear" w:color="auto" w:fill="F5F5F5"/>
          </w:tcPr>
          <w:p>
            <w:pPr>
              <w:spacing w:after="0"/>
              <w:rPr>
                <w:sz w:val="19"/>
                <w:szCs w:val="19"/>
                <w:color w:val="auto"/>
              </w:rPr>
            </w:pPr>
          </w:p>
        </w:tc>
        <w:tc>
          <w:tcPr>
            <w:tcW w:w="1180" w:type="dxa"/>
            <w:vAlign w:val="bottom"/>
            <w:tcBorders>
              <w:bottom w:val="single" w:sz="8" w:color="F5F5F5"/>
            </w:tcBorders>
            <w:shd w:val="clear" w:color="auto" w:fill="F5F5F5"/>
          </w:tcPr>
          <w:p>
            <w:pPr>
              <w:spacing w:after="0"/>
              <w:rPr>
                <w:sz w:val="19"/>
                <w:szCs w:val="19"/>
                <w:color w:val="auto"/>
              </w:rPr>
            </w:pPr>
          </w:p>
        </w:tc>
        <w:tc>
          <w:tcPr>
            <w:tcW w:w="500" w:type="dxa"/>
            <w:vAlign w:val="bottom"/>
            <w:tcBorders>
              <w:bottom w:val="single" w:sz="8" w:color="F5F5F5"/>
            </w:tcBorders>
            <w:shd w:val="clear" w:color="auto" w:fill="F5F5F5"/>
          </w:tcPr>
          <w:p>
            <w:pPr>
              <w:spacing w:after="0"/>
              <w:rPr>
                <w:sz w:val="19"/>
                <w:szCs w:val="19"/>
                <w:color w:val="auto"/>
              </w:rPr>
            </w:pPr>
          </w:p>
        </w:tc>
        <w:tc>
          <w:tcPr>
            <w:tcW w:w="1060" w:type="dxa"/>
            <w:vAlign w:val="bottom"/>
            <w:tcBorders>
              <w:bottom w:val="single" w:sz="8" w:color="F5F5F5"/>
            </w:tcBorders>
            <w:shd w:val="clear" w:color="auto" w:fill="F5F5F5"/>
          </w:tcPr>
          <w:p>
            <w:pPr>
              <w:spacing w:after="0"/>
              <w:rPr>
                <w:sz w:val="19"/>
                <w:szCs w:val="19"/>
                <w:color w:val="auto"/>
              </w:rPr>
            </w:pPr>
          </w:p>
        </w:tc>
        <w:tc>
          <w:tcPr>
            <w:tcW w:w="340" w:type="dxa"/>
            <w:vAlign w:val="bottom"/>
            <w:tcBorders>
              <w:bottom w:val="single" w:sz="8" w:color="auto"/>
            </w:tcBorders>
            <w:shd w:val="clear" w:color="auto" w:fill="F5F5F5"/>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182,903</w:t>
            </w:r>
          </w:p>
        </w:tc>
        <w:tc>
          <w:tcPr>
            <w:tcW w:w="0" w:type="dxa"/>
            <w:vAlign w:val="bottom"/>
          </w:tcPr>
          <w:p>
            <w:pPr>
              <w:spacing w:after="0"/>
              <w:rPr>
                <w:sz w:val="1"/>
                <w:szCs w:val="1"/>
                <w:color w:val="auto"/>
              </w:rPr>
            </w:pPr>
          </w:p>
        </w:tc>
      </w:tr>
      <w:tr>
        <w:trPr>
          <w:trHeight w:val="20"/>
        </w:trPr>
        <w:tc>
          <w:tcPr>
            <w:tcW w:w="5140" w:type="dxa"/>
            <w:vAlign w:val="bottom"/>
            <w:tcBorders>
              <w:top w:val="single" w:sz="8" w:color="F5F5F5"/>
            </w:tcBorders>
          </w:tcPr>
          <w:p>
            <w:pPr>
              <w:spacing w:after="0" w:line="20" w:lineRule="exact"/>
              <w:rPr>
                <w:sz w:val="1"/>
                <w:szCs w:val="1"/>
                <w:color w:val="auto"/>
              </w:rPr>
            </w:pPr>
          </w:p>
        </w:tc>
        <w:tc>
          <w:tcPr>
            <w:tcW w:w="220" w:type="dxa"/>
            <w:vAlign w:val="bottom"/>
            <w:tcBorders>
              <w:top w:val="single" w:sz="8" w:color="F5F5F5"/>
            </w:tcBorders>
          </w:tcPr>
          <w:p>
            <w:pPr>
              <w:spacing w:after="0" w:line="20" w:lineRule="exact"/>
              <w:rPr>
                <w:sz w:val="1"/>
                <w:szCs w:val="1"/>
                <w:color w:val="auto"/>
              </w:rPr>
            </w:pPr>
          </w:p>
        </w:tc>
        <w:tc>
          <w:tcPr>
            <w:tcW w:w="1280" w:type="dxa"/>
            <w:vAlign w:val="bottom"/>
            <w:tcBorders>
              <w:top w:val="single" w:sz="8" w:color="F5F5F5"/>
            </w:tcBorders>
          </w:tcPr>
          <w:p>
            <w:pPr>
              <w:spacing w:after="0" w:line="20" w:lineRule="exact"/>
              <w:rPr>
                <w:sz w:val="1"/>
                <w:szCs w:val="1"/>
                <w:color w:val="auto"/>
              </w:rPr>
            </w:pPr>
          </w:p>
        </w:tc>
        <w:tc>
          <w:tcPr>
            <w:tcW w:w="340" w:type="dxa"/>
            <w:vAlign w:val="bottom"/>
            <w:tcBorders>
              <w:top w:val="single" w:sz="8" w:color="F5F5F5"/>
            </w:tcBorders>
          </w:tcPr>
          <w:p>
            <w:pPr>
              <w:spacing w:after="0" w:line="20" w:lineRule="exact"/>
              <w:rPr>
                <w:sz w:val="1"/>
                <w:szCs w:val="1"/>
                <w:color w:val="auto"/>
              </w:rPr>
            </w:pPr>
          </w:p>
        </w:tc>
        <w:tc>
          <w:tcPr>
            <w:tcW w:w="1680" w:type="dxa"/>
            <w:vAlign w:val="bottom"/>
            <w:tcBorders>
              <w:top w:val="single" w:sz="8" w:color="F5F5F5"/>
              <w:bottom w:val="single" w:sz="8" w:color="F5F5F5"/>
            </w:tcBorders>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Fiscal 2023</w:t>
            </w:r>
          </w:p>
        </w:tc>
        <w:tc>
          <w:tcPr>
            <w:tcW w:w="1060" w:type="dxa"/>
            <w:vAlign w:val="bottom"/>
            <w:tcBorders>
              <w:top w:val="single" w:sz="8" w:color="F5F5F5"/>
            </w:tcBorders>
          </w:tcPr>
          <w:p>
            <w:pPr>
              <w:spacing w:after="0" w:line="20" w:lineRule="exact"/>
              <w:rPr>
                <w:sz w:val="1"/>
                <w:szCs w:val="1"/>
                <w:color w:val="auto"/>
              </w:rPr>
            </w:pPr>
          </w:p>
        </w:tc>
        <w:tc>
          <w:tcPr>
            <w:tcW w:w="340" w:type="dxa"/>
            <w:vAlign w:val="bottom"/>
            <w:tcBorders>
              <w:top w:val="single" w:sz="8" w:color="F5F5F5"/>
              <w:bottom w:val="single" w:sz="8" w:color="auto"/>
            </w:tcBorders>
          </w:tcPr>
          <w:p>
            <w:pPr>
              <w:spacing w:after="0" w:line="20" w:lineRule="exact"/>
              <w:rPr>
                <w:sz w:val="1"/>
                <w:szCs w:val="1"/>
                <w:color w:val="auto"/>
              </w:rPr>
            </w:pPr>
          </w:p>
        </w:tc>
        <w:tc>
          <w:tcPr>
            <w:tcW w:w="1180" w:type="dxa"/>
            <w:vAlign w:val="bottom"/>
            <w:tcBorders>
              <w:top w:val="single" w:sz="8" w:color="F5F5F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5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vMerge w:val="continue"/>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5140" w:type="dxa"/>
            <w:vAlign w:val="bottom"/>
            <w:tcBorders>
              <w:bottom w:val="single" w:sz="8" w:color="F5F5F5"/>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68"/>
              <w:spacing w:after="0" w:line="197" w:lineRule="exact"/>
              <w:rPr>
                <w:sz w:val="20"/>
                <w:szCs w:val="20"/>
                <w:color w:val="auto"/>
              </w:rPr>
            </w:pPr>
            <w:r>
              <w:rPr>
                <w:rFonts w:ascii="Arial" w:cs="Arial" w:eastAsia="Arial" w:hAnsi="Arial"/>
                <w:sz w:val="14"/>
                <w:szCs w:val="14"/>
                <w:b w:val="1"/>
                <w:bCs w:val="1"/>
                <w:color w:val="auto"/>
              </w:rPr>
              <w:t xml:space="preserve">Americas </w:t>
            </w:r>
            <w:r>
              <w:rPr>
                <w:rFonts w:ascii="Arial" w:cs="Arial" w:eastAsia="Arial" w:hAnsi="Arial"/>
                <w:sz w:val="18"/>
                <w:szCs w:val="18"/>
                <w:b w:val="1"/>
                <w:bCs w:val="1"/>
                <w:color w:val="auto"/>
                <w:vertAlign w:val="superscript"/>
              </w:rPr>
              <w:t>(1)</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EMEA</w:t>
            </w: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APAC</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140" w:type="dxa"/>
            <w:vAlign w:val="bottom"/>
            <w:shd w:val="clear" w:color="auto" w:fill="F5F5F5"/>
          </w:tcPr>
          <w:p>
            <w:pPr>
              <w:ind w:left="20"/>
              <w:spacing w:after="0"/>
              <w:rPr>
                <w:sz w:val="20"/>
                <w:szCs w:val="20"/>
                <w:color w:val="auto"/>
              </w:rPr>
            </w:pPr>
            <w:r>
              <w:rPr>
                <w:rFonts w:ascii="Arial" w:cs="Arial" w:eastAsia="Arial" w:hAnsi="Arial"/>
                <w:sz w:val="14"/>
                <w:szCs w:val="14"/>
                <w:color w:val="auto"/>
              </w:rPr>
              <w:t>Net Sales</w:t>
            </w:r>
          </w:p>
        </w:tc>
        <w:tc>
          <w:tcPr>
            <w:tcW w:w="220" w:type="dxa"/>
            <w:vAlign w:val="bottom"/>
            <w:shd w:val="clear" w:color="auto" w:fill="F5F5F5"/>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3,455,674</w:t>
            </w:r>
          </w:p>
        </w:tc>
        <w:tc>
          <w:tcPr>
            <w:tcW w:w="340" w:type="dxa"/>
            <w:vAlign w:val="bottom"/>
            <w:shd w:val="clear" w:color="auto" w:fill="F5F5F5"/>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687,095</w:t>
            </w:r>
          </w:p>
        </w:tc>
        <w:tc>
          <w:tcPr>
            <w:tcW w:w="500" w:type="dxa"/>
            <w:vAlign w:val="bottom"/>
            <w:shd w:val="clear" w:color="auto" w:fill="F5F5F5"/>
          </w:tcPr>
          <w:p>
            <w:pPr>
              <w:jc w:val="right"/>
              <w:ind w:right="308"/>
              <w:spacing w:after="0"/>
              <w:rPr>
                <w:sz w:val="20"/>
                <w:szCs w:val="20"/>
                <w:color w:val="auto"/>
              </w:rPr>
            </w:pPr>
            <w:r>
              <w:rPr>
                <w:rFonts w:ascii="Arial" w:cs="Arial" w:eastAsia="Arial" w:hAnsi="Arial"/>
                <w:sz w:val="14"/>
                <w:szCs w:val="14"/>
                <w:color w:val="auto"/>
              </w:rPr>
              <w:t>$</w:t>
            </w:r>
          </w:p>
        </w:tc>
        <w:tc>
          <w:tcPr>
            <w:tcW w:w="106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137,908</w:t>
            </w:r>
          </w:p>
        </w:tc>
        <w:tc>
          <w:tcPr>
            <w:tcW w:w="340" w:type="dxa"/>
            <w:vAlign w:val="bottom"/>
            <w:shd w:val="clear" w:color="auto" w:fill="F5F5F5"/>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4,280,677</w:t>
            </w:r>
          </w:p>
        </w:tc>
        <w:tc>
          <w:tcPr>
            <w:tcW w:w="0" w:type="dxa"/>
            <w:vAlign w:val="bottom"/>
          </w:tcPr>
          <w:p>
            <w:pPr>
              <w:spacing w:after="0"/>
              <w:rPr>
                <w:sz w:val="1"/>
                <w:szCs w:val="1"/>
                <w:color w:val="auto"/>
              </w:rPr>
            </w:pPr>
          </w:p>
        </w:tc>
      </w:tr>
      <w:tr>
        <w:trPr>
          <w:trHeight w:val="198"/>
        </w:trPr>
        <w:tc>
          <w:tcPr>
            <w:tcW w:w="5140" w:type="dxa"/>
            <w:vAlign w:val="bottom"/>
          </w:tcPr>
          <w:p>
            <w:pPr>
              <w:ind w:left="140"/>
              <w:spacing w:after="0"/>
              <w:rPr>
                <w:sz w:val="20"/>
                <w:szCs w:val="20"/>
                <w:color w:val="auto"/>
              </w:rPr>
            </w:pPr>
            <w:r>
              <w:rPr>
                <w:rFonts w:ascii="Arial" w:cs="Arial" w:eastAsia="Arial" w:hAnsi="Arial"/>
                <w:sz w:val="14"/>
                <w:szCs w:val="14"/>
                <w:color w:val="auto"/>
              </w:rPr>
              <w:t>Cost of sales, exclusive of depreciation and amortization</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1,279,050</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259,347</w:t>
            </w:r>
          </w:p>
        </w:tc>
        <w:tc>
          <w:tcPr>
            <w:tcW w:w="50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48,868</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1,587,265</w:t>
            </w:r>
          </w:p>
        </w:tc>
        <w:tc>
          <w:tcPr>
            <w:tcW w:w="0" w:type="dxa"/>
            <w:vAlign w:val="bottom"/>
          </w:tcPr>
          <w:p>
            <w:pPr>
              <w:spacing w:after="0"/>
              <w:rPr>
                <w:sz w:val="1"/>
                <w:szCs w:val="1"/>
                <w:color w:val="auto"/>
              </w:rPr>
            </w:pPr>
          </w:p>
        </w:tc>
      </w:tr>
      <w:tr>
        <w:trPr>
          <w:trHeight w:val="207"/>
        </w:trPr>
        <w:tc>
          <w:tcPr>
            <w:tcW w:w="5140" w:type="dxa"/>
            <w:vAlign w:val="bottom"/>
            <w:shd w:val="clear" w:color="auto" w:fill="F5F5F5"/>
          </w:tcPr>
          <w:p>
            <w:pPr>
              <w:ind w:left="140"/>
              <w:spacing w:after="0"/>
              <w:rPr>
                <w:sz w:val="20"/>
                <w:szCs w:val="20"/>
                <w:color w:val="auto"/>
              </w:rPr>
            </w:pPr>
            <w:r>
              <w:rPr>
                <w:rFonts w:ascii="Arial" w:cs="Arial" w:eastAsia="Arial" w:hAnsi="Arial"/>
                <w:sz w:val="14"/>
                <w:szCs w:val="14"/>
                <w:color w:val="auto"/>
              </w:rPr>
              <w:t xml:space="preserve">Store occupancy </w:t>
            </w:r>
            <w:r>
              <w:rPr>
                <w:rFonts w:ascii="Arial" w:cs="Arial" w:eastAsia="Arial" w:hAnsi="Arial"/>
                <w:sz w:val="18"/>
                <w:szCs w:val="18"/>
                <w:color w:val="auto"/>
                <w:vertAlign w:val="superscript"/>
              </w:rPr>
              <w:t>(2)</w:t>
            </w:r>
          </w:p>
        </w:tc>
        <w:tc>
          <w:tcPr>
            <w:tcW w:w="220" w:type="dxa"/>
            <w:vAlign w:val="bottom"/>
            <w:shd w:val="clear" w:color="auto" w:fill="F5F5F5"/>
          </w:tcPr>
          <w:p>
            <w:pPr>
              <w:spacing w:after="0"/>
              <w:rPr>
                <w:sz w:val="17"/>
                <w:szCs w:val="17"/>
                <w:color w:val="auto"/>
              </w:rPr>
            </w:pPr>
          </w:p>
        </w:tc>
        <w:tc>
          <w:tcPr>
            <w:tcW w:w="12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312,340</w:t>
            </w:r>
          </w:p>
        </w:tc>
        <w:tc>
          <w:tcPr>
            <w:tcW w:w="340" w:type="dxa"/>
            <w:vAlign w:val="bottom"/>
            <w:shd w:val="clear" w:color="auto" w:fill="F5F5F5"/>
          </w:tcPr>
          <w:p>
            <w:pPr>
              <w:spacing w:after="0"/>
              <w:rPr>
                <w:sz w:val="17"/>
                <w:szCs w:val="17"/>
                <w:color w:val="auto"/>
              </w:rPr>
            </w:pPr>
          </w:p>
        </w:tc>
        <w:tc>
          <w:tcPr>
            <w:tcW w:w="11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120,118</w:t>
            </w:r>
          </w:p>
        </w:tc>
        <w:tc>
          <w:tcPr>
            <w:tcW w:w="500" w:type="dxa"/>
            <w:vAlign w:val="bottom"/>
            <w:shd w:val="clear" w:color="auto" w:fill="F5F5F5"/>
          </w:tcPr>
          <w:p>
            <w:pPr>
              <w:spacing w:after="0"/>
              <w:rPr>
                <w:sz w:val="17"/>
                <w:szCs w:val="17"/>
                <w:color w:val="auto"/>
              </w:rPr>
            </w:pPr>
          </w:p>
        </w:tc>
        <w:tc>
          <w:tcPr>
            <w:tcW w:w="106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30,982</w:t>
            </w:r>
          </w:p>
        </w:tc>
        <w:tc>
          <w:tcPr>
            <w:tcW w:w="340" w:type="dxa"/>
            <w:vAlign w:val="bottom"/>
            <w:shd w:val="clear" w:color="auto" w:fill="F5F5F5"/>
          </w:tcPr>
          <w:p>
            <w:pPr>
              <w:spacing w:after="0"/>
              <w:rPr>
                <w:sz w:val="17"/>
                <w:szCs w:val="17"/>
                <w:color w:val="auto"/>
              </w:rPr>
            </w:pPr>
          </w:p>
        </w:tc>
        <w:tc>
          <w:tcPr>
            <w:tcW w:w="11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463,440</w:t>
            </w:r>
          </w:p>
        </w:tc>
        <w:tc>
          <w:tcPr>
            <w:tcW w:w="0" w:type="dxa"/>
            <w:vAlign w:val="bottom"/>
          </w:tcPr>
          <w:p>
            <w:pPr>
              <w:spacing w:after="0"/>
              <w:rPr>
                <w:sz w:val="1"/>
                <w:szCs w:val="1"/>
                <w:color w:val="auto"/>
              </w:rPr>
            </w:pPr>
          </w:p>
        </w:tc>
      </w:tr>
      <w:tr>
        <w:trPr>
          <w:trHeight w:val="203"/>
        </w:trPr>
        <w:tc>
          <w:tcPr>
            <w:tcW w:w="5140" w:type="dxa"/>
            <w:vAlign w:val="bottom"/>
          </w:tcPr>
          <w:p>
            <w:pPr>
              <w:ind w:left="140"/>
              <w:spacing w:after="0" w:line="202" w:lineRule="exact"/>
              <w:rPr>
                <w:sz w:val="20"/>
                <w:szCs w:val="20"/>
                <w:color w:val="auto"/>
              </w:rPr>
            </w:pPr>
            <w:r>
              <w:rPr>
                <w:rFonts w:ascii="Arial" w:cs="Arial" w:eastAsia="Arial" w:hAnsi="Arial"/>
                <w:sz w:val="14"/>
                <w:szCs w:val="14"/>
                <w:color w:val="auto"/>
              </w:rPr>
              <w:t xml:space="preserve">Fulfillment </w:t>
            </w:r>
            <w:r>
              <w:rPr>
                <w:rFonts w:ascii="Arial" w:cs="Arial" w:eastAsia="Arial" w:hAnsi="Arial"/>
                <w:sz w:val="18"/>
                <w:szCs w:val="18"/>
                <w:color w:val="auto"/>
                <w:vertAlign w:val="superscript"/>
              </w:rPr>
              <w:t>(2)</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353,538</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72,610</w:t>
            </w:r>
          </w:p>
        </w:tc>
        <w:tc>
          <w:tcPr>
            <w:tcW w:w="50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17,505</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443,653</w:t>
            </w:r>
          </w:p>
        </w:tc>
        <w:tc>
          <w:tcPr>
            <w:tcW w:w="0" w:type="dxa"/>
            <w:vAlign w:val="bottom"/>
          </w:tcPr>
          <w:p>
            <w:pPr>
              <w:spacing w:after="0"/>
              <w:rPr>
                <w:sz w:val="1"/>
                <w:szCs w:val="1"/>
                <w:color w:val="auto"/>
              </w:rPr>
            </w:pPr>
          </w:p>
        </w:tc>
      </w:tr>
      <w:tr>
        <w:trPr>
          <w:trHeight w:val="203"/>
        </w:trPr>
        <w:tc>
          <w:tcPr>
            <w:tcW w:w="5140" w:type="dxa"/>
            <w:vAlign w:val="bottom"/>
            <w:shd w:val="clear" w:color="auto" w:fill="F5F5F5"/>
          </w:tcPr>
          <w:p>
            <w:pPr>
              <w:ind w:left="140"/>
              <w:spacing w:after="0" w:line="202" w:lineRule="exact"/>
              <w:rPr>
                <w:sz w:val="20"/>
                <w:szCs w:val="20"/>
                <w:color w:val="auto"/>
              </w:rPr>
            </w:pPr>
            <w:r>
              <w:rPr>
                <w:rFonts w:ascii="Arial" w:cs="Arial" w:eastAsia="Arial" w:hAnsi="Arial"/>
                <w:sz w:val="14"/>
                <w:szCs w:val="14"/>
                <w:color w:val="auto"/>
              </w:rPr>
              <w:t xml:space="preserve">Other expense </w:t>
            </w:r>
            <w:r>
              <w:rPr>
                <w:rFonts w:ascii="Arial" w:cs="Arial" w:eastAsia="Arial" w:hAnsi="Arial"/>
                <w:sz w:val="18"/>
                <w:szCs w:val="18"/>
                <w:color w:val="auto"/>
                <w:vertAlign w:val="superscript"/>
              </w:rPr>
              <w:t>(3)</w:t>
            </w:r>
          </w:p>
        </w:tc>
        <w:tc>
          <w:tcPr>
            <w:tcW w:w="220" w:type="dxa"/>
            <w:vAlign w:val="bottom"/>
            <w:tcBorders>
              <w:bottom w:val="single" w:sz="8" w:color="auto"/>
            </w:tcBorders>
            <w:shd w:val="clear" w:color="auto" w:fill="F5F5F5"/>
          </w:tcPr>
          <w:p>
            <w:pPr>
              <w:spacing w:after="0"/>
              <w:rPr>
                <w:sz w:val="17"/>
                <w:szCs w:val="17"/>
                <w:color w:val="auto"/>
              </w:rPr>
            </w:pPr>
          </w:p>
        </w:tc>
        <w:tc>
          <w:tcPr>
            <w:tcW w:w="128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570,454</w:t>
            </w:r>
          </w:p>
        </w:tc>
        <w:tc>
          <w:tcPr>
            <w:tcW w:w="340" w:type="dxa"/>
            <w:vAlign w:val="bottom"/>
            <w:tcBorders>
              <w:bottom w:val="single" w:sz="8" w:color="auto"/>
            </w:tcBorders>
            <w:shd w:val="clear" w:color="auto" w:fill="F5F5F5"/>
          </w:tcPr>
          <w:p>
            <w:pPr>
              <w:spacing w:after="0"/>
              <w:rPr>
                <w:sz w:val="17"/>
                <w:szCs w:val="17"/>
                <w:color w:val="auto"/>
              </w:rPr>
            </w:pPr>
          </w:p>
        </w:tc>
        <w:tc>
          <w:tcPr>
            <w:tcW w:w="118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153,804</w:t>
            </w:r>
          </w:p>
        </w:tc>
        <w:tc>
          <w:tcPr>
            <w:tcW w:w="500" w:type="dxa"/>
            <w:vAlign w:val="bottom"/>
            <w:tcBorders>
              <w:bottom w:val="single" w:sz="8" w:color="auto"/>
            </w:tcBorders>
            <w:shd w:val="clear" w:color="auto" w:fill="F5F5F5"/>
          </w:tcPr>
          <w:p>
            <w:pPr>
              <w:spacing w:after="0"/>
              <w:rPr>
                <w:sz w:val="17"/>
                <w:szCs w:val="17"/>
                <w:color w:val="auto"/>
              </w:rPr>
            </w:pPr>
          </w:p>
        </w:tc>
        <w:tc>
          <w:tcPr>
            <w:tcW w:w="1060" w:type="dxa"/>
            <w:vAlign w:val="bottom"/>
            <w:tcBorders>
              <w:bottom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51,111</w:t>
            </w:r>
          </w:p>
        </w:tc>
        <w:tc>
          <w:tcPr>
            <w:tcW w:w="340" w:type="dxa"/>
            <w:vAlign w:val="bottom"/>
            <w:tcBorders>
              <w:bottom w:val="single" w:sz="8" w:color="auto"/>
            </w:tcBorders>
            <w:shd w:val="clear" w:color="auto" w:fill="F5F5F5"/>
          </w:tcPr>
          <w:p>
            <w:pPr>
              <w:spacing w:after="0"/>
              <w:rPr>
                <w:sz w:val="17"/>
                <w:szCs w:val="17"/>
                <w:color w:val="auto"/>
              </w:rPr>
            </w:pPr>
          </w:p>
        </w:tc>
        <w:tc>
          <w:tcPr>
            <w:tcW w:w="118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775,369</w:t>
            </w:r>
          </w:p>
        </w:tc>
        <w:tc>
          <w:tcPr>
            <w:tcW w:w="0" w:type="dxa"/>
            <w:vAlign w:val="bottom"/>
          </w:tcPr>
          <w:p>
            <w:pPr>
              <w:spacing w:after="0"/>
              <w:rPr>
                <w:sz w:val="1"/>
                <w:szCs w:val="1"/>
                <w:color w:val="auto"/>
              </w:rPr>
            </w:pPr>
          </w:p>
        </w:tc>
      </w:tr>
      <w:tr>
        <w:trPr>
          <w:trHeight w:val="192"/>
        </w:trPr>
        <w:tc>
          <w:tcPr>
            <w:tcW w:w="5140" w:type="dxa"/>
            <w:vAlign w:val="bottom"/>
          </w:tcPr>
          <w:p>
            <w:pPr>
              <w:ind w:left="20"/>
              <w:spacing w:after="0"/>
              <w:rPr>
                <w:sz w:val="20"/>
                <w:szCs w:val="20"/>
                <w:color w:val="auto"/>
              </w:rPr>
            </w:pPr>
            <w:r>
              <w:rPr>
                <w:rFonts w:ascii="Arial" w:cs="Arial" w:eastAsia="Arial" w:hAnsi="Arial"/>
                <w:sz w:val="14"/>
                <w:szCs w:val="14"/>
                <w:color w:val="auto"/>
              </w:rPr>
              <w:t>Segment income (loss)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940,292</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81,216</w:t>
            </w:r>
          </w:p>
        </w:tc>
        <w:tc>
          <w:tcPr>
            <w:tcW w:w="5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(10,558)</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1,010,950</w:t>
            </w:r>
          </w:p>
        </w:tc>
        <w:tc>
          <w:tcPr>
            <w:tcW w:w="0" w:type="dxa"/>
            <w:vAlign w:val="bottom"/>
          </w:tcPr>
          <w:p>
            <w:pPr>
              <w:spacing w:after="0"/>
              <w:rPr>
                <w:sz w:val="1"/>
                <w:szCs w:val="1"/>
                <w:color w:val="auto"/>
              </w:rPr>
            </w:pPr>
          </w:p>
        </w:tc>
      </w:tr>
      <w:tr>
        <w:trPr>
          <w:trHeight w:val="207"/>
        </w:trPr>
        <w:tc>
          <w:tcPr>
            <w:tcW w:w="5140" w:type="dxa"/>
            <w:vAlign w:val="bottom"/>
            <w:shd w:val="clear" w:color="auto" w:fill="F5F5F5"/>
          </w:tcPr>
          <w:p>
            <w:pPr>
              <w:ind w:left="20"/>
              <w:spacing w:after="0"/>
              <w:rPr>
                <w:sz w:val="20"/>
                <w:szCs w:val="20"/>
                <w:color w:val="auto"/>
              </w:rPr>
            </w:pPr>
            <w:r>
              <w:rPr>
                <w:rFonts w:ascii="Arial" w:cs="Arial" w:eastAsia="Arial" w:hAnsi="Arial"/>
                <w:sz w:val="14"/>
                <w:szCs w:val="14"/>
                <w:color w:val="auto"/>
              </w:rPr>
              <w:t>Operating loss not attributed to segments:</w:t>
            </w:r>
          </w:p>
        </w:tc>
        <w:tc>
          <w:tcPr>
            <w:tcW w:w="220" w:type="dxa"/>
            <w:vAlign w:val="bottom"/>
            <w:shd w:val="clear" w:color="auto" w:fill="F5F5F5"/>
          </w:tcPr>
          <w:p>
            <w:pPr>
              <w:spacing w:after="0"/>
              <w:rPr>
                <w:sz w:val="17"/>
                <w:szCs w:val="17"/>
                <w:color w:val="auto"/>
              </w:rPr>
            </w:pPr>
          </w:p>
        </w:tc>
        <w:tc>
          <w:tcPr>
            <w:tcW w:w="1280" w:type="dxa"/>
            <w:vAlign w:val="bottom"/>
            <w:shd w:val="clear" w:color="auto" w:fill="F5F5F5"/>
          </w:tcPr>
          <w:p>
            <w:pPr>
              <w:spacing w:after="0"/>
              <w:rPr>
                <w:sz w:val="17"/>
                <w:szCs w:val="17"/>
                <w:color w:val="auto"/>
              </w:rPr>
            </w:pPr>
          </w:p>
        </w:tc>
        <w:tc>
          <w:tcPr>
            <w:tcW w:w="340" w:type="dxa"/>
            <w:vAlign w:val="bottom"/>
            <w:shd w:val="clear" w:color="auto" w:fill="F5F5F5"/>
          </w:tcPr>
          <w:p>
            <w:pPr>
              <w:spacing w:after="0"/>
              <w:rPr>
                <w:sz w:val="17"/>
                <w:szCs w:val="17"/>
                <w:color w:val="auto"/>
              </w:rPr>
            </w:pPr>
          </w:p>
        </w:tc>
        <w:tc>
          <w:tcPr>
            <w:tcW w:w="1180" w:type="dxa"/>
            <w:vAlign w:val="bottom"/>
            <w:shd w:val="clear" w:color="auto" w:fill="F5F5F5"/>
          </w:tcPr>
          <w:p>
            <w:pPr>
              <w:spacing w:after="0"/>
              <w:rPr>
                <w:sz w:val="17"/>
                <w:szCs w:val="17"/>
                <w:color w:val="auto"/>
              </w:rPr>
            </w:pPr>
          </w:p>
        </w:tc>
        <w:tc>
          <w:tcPr>
            <w:tcW w:w="500" w:type="dxa"/>
            <w:vAlign w:val="bottom"/>
            <w:shd w:val="clear" w:color="auto" w:fill="F5F5F5"/>
          </w:tcPr>
          <w:p>
            <w:pPr>
              <w:spacing w:after="0"/>
              <w:rPr>
                <w:sz w:val="17"/>
                <w:szCs w:val="17"/>
                <w:color w:val="auto"/>
              </w:rPr>
            </w:pPr>
          </w:p>
        </w:tc>
        <w:tc>
          <w:tcPr>
            <w:tcW w:w="1060" w:type="dxa"/>
            <w:vAlign w:val="bottom"/>
            <w:shd w:val="clear" w:color="auto" w:fill="F5F5F5"/>
          </w:tcPr>
          <w:p>
            <w:pPr>
              <w:spacing w:after="0"/>
              <w:rPr>
                <w:sz w:val="17"/>
                <w:szCs w:val="17"/>
                <w:color w:val="auto"/>
              </w:rPr>
            </w:pPr>
          </w:p>
        </w:tc>
        <w:tc>
          <w:tcPr>
            <w:tcW w:w="340" w:type="dxa"/>
            <w:vAlign w:val="bottom"/>
            <w:shd w:val="clear" w:color="auto" w:fill="F5F5F5"/>
          </w:tcPr>
          <w:p>
            <w:pPr>
              <w:spacing w:after="0"/>
              <w:rPr>
                <w:sz w:val="17"/>
                <w:szCs w:val="17"/>
                <w:color w:val="auto"/>
              </w:rPr>
            </w:pPr>
          </w:p>
        </w:tc>
        <w:tc>
          <w:tcPr>
            <w:tcW w:w="1180" w:type="dxa"/>
            <w:vAlign w:val="bottom"/>
            <w:shd w:val="clear" w:color="auto" w:fill="F5F5F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tcBorders>
              <w:bottom w:val="single" w:sz="8" w:color="F5F5F5"/>
            </w:tcBorders>
          </w:tcPr>
          <w:p>
            <w:pPr>
              <w:ind w:left="140"/>
              <w:spacing w:after="0" w:line="202" w:lineRule="exact"/>
              <w:rPr>
                <w:sz w:val="20"/>
                <w:szCs w:val="20"/>
                <w:color w:val="auto"/>
              </w:rPr>
            </w:pPr>
            <w:r>
              <w:rPr>
                <w:rFonts w:ascii="Arial" w:cs="Arial" w:eastAsia="Arial" w:hAnsi="Arial"/>
                <w:sz w:val="14"/>
                <w:szCs w:val="14"/>
                <w:color w:val="auto"/>
              </w:rPr>
              <w:t xml:space="preserve">Corporate and other unallocated expenses </w:t>
            </w:r>
            <w:r>
              <w:rPr>
                <w:rFonts w:ascii="Arial" w:cs="Arial" w:eastAsia="Arial" w:hAnsi="Arial"/>
                <w:sz w:val="18"/>
                <w:szCs w:val="18"/>
                <w:color w:val="auto"/>
                <w:vertAlign w:val="superscript"/>
              </w:rPr>
              <w:t>(4)</w:t>
            </w:r>
          </w:p>
        </w:tc>
        <w:tc>
          <w:tcPr>
            <w:tcW w:w="220" w:type="dxa"/>
            <w:vAlign w:val="bottom"/>
            <w:tcBorders>
              <w:bottom w:val="single" w:sz="8" w:color="F5F5F5"/>
            </w:tcBorders>
          </w:tcPr>
          <w:p>
            <w:pPr>
              <w:spacing w:after="0"/>
              <w:rPr>
                <w:sz w:val="17"/>
                <w:szCs w:val="17"/>
                <w:color w:val="auto"/>
              </w:rPr>
            </w:pPr>
          </w:p>
        </w:tc>
        <w:tc>
          <w:tcPr>
            <w:tcW w:w="1280" w:type="dxa"/>
            <w:vAlign w:val="bottom"/>
            <w:tcBorders>
              <w:bottom w:val="single" w:sz="8" w:color="F5F5F5"/>
            </w:tcBorders>
          </w:tcPr>
          <w:p>
            <w:pPr>
              <w:spacing w:after="0"/>
              <w:rPr>
                <w:sz w:val="17"/>
                <w:szCs w:val="17"/>
                <w:color w:val="auto"/>
              </w:rPr>
            </w:pPr>
          </w:p>
        </w:tc>
        <w:tc>
          <w:tcPr>
            <w:tcW w:w="340" w:type="dxa"/>
            <w:vAlign w:val="bottom"/>
            <w:tcBorders>
              <w:bottom w:val="single" w:sz="8" w:color="F5F5F5"/>
            </w:tcBorders>
          </w:tcPr>
          <w:p>
            <w:pPr>
              <w:spacing w:after="0"/>
              <w:rPr>
                <w:sz w:val="17"/>
                <w:szCs w:val="17"/>
                <w:color w:val="auto"/>
              </w:rPr>
            </w:pPr>
          </w:p>
        </w:tc>
        <w:tc>
          <w:tcPr>
            <w:tcW w:w="1180" w:type="dxa"/>
            <w:vAlign w:val="bottom"/>
            <w:tcBorders>
              <w:bottom w:val="single" w:sz="8" w:color="F5F5F5"/>
            </w:tcBorders>
          </w:tcPr>
          <w:p>
            <w:pPr>
              <w:spacing w:after="0"/>
              <w:rPr>
                <w:sz w:val="17"/>
                <w:szCs w:val="17"/>
                <w:color w:val="auto"/>
              </w:rPr>
            </w:pPr>
          </w:p>
        </w:tc>
        <w:tc>
          <w:tcPr>
            <w:tcW w:w="500" w:type="dxa"/>
            <w:vAlign w:val="bottom"/>
            <w:tcBorders>
              <w:bottom w:val="single" w:sz="8" w:color="F5F5F5"/>
            </w:tcBorders>
          </w:tcPr>
          <w:p>
            <w:pPr>
              <w:spacing w:after="0"/>
              <w:rPr>
                <w:sz w:val="17"/>
                <w:szCs w:val="17"/>
                <w:color w:val="auto"/>
              </w:rPr>
            </w:pPr>
          </w:p>
        </w:tc>
        <w:tc>
          <w:tcPr>
            <w:tcW w:w="1060" w:type="dxa"/>
            <w:vAlign w:val="bottom"/>
            <w:tcBorders>
              <w:bottom w:val="single" w:sz="8" w:color="F5F5F5"/>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(526,279)</w:t>
            </w:r>
          </w:p>
        </w:tc>
        <w:tc>
          <w:tcPr>
            <w:tcW w:w="0" w:type="dxa"/>
            <w:vAlign w:val="bottom"/>
          </w:tcPr>
          <w:p>
            <w:pPr>
              <w:spacing w:after="0"/>
              <w:rPr>
                <w:sz w:val="1"/>
                <w:szCs w:val="1"/>
                <w:color w:val="auto"/>
              </w:rPr>
            </w:pPr>
          </w:p>
        </w:tc>
      </w:tr>
      <w:tr>
        <w:trPr>
          <w:trHeight w:val="196"/>
        </w:trPr>
        <w:tc>
          <w:tcPr>
            <w:tcW w:w="5140" w:type="dxa"/>
            <w:vAlign w:val="bottom"/>
            <w:shd w:val="clear" w:color="auto" w:fill="F5F5F5"/>
          </w:tcPr>
          <w:p>
            <w:pPr>
              <w:ind w:left="20"/>
              <w:spacing w:after="0"/>
              <w:rPr>
                <w:sz w:val="20"/>
                <w:szCs w:val="20"/>
                <w:color w:val="auto"/>
              </w:rPr>
            </w:pPr>
            <w:r>
              <w:rPr>
                <w:rFonts w:ascii="Arial" w:cs="Arial" w:eastAsia="Arial" w:hAnsi="Arial"/>
                <w:sz w:val="14"/>
                <w:szCs w:val="14"/>
                <w:color w:val="auto"/>
              </w:rPr>
              <w:t>Operating income</w:t>
            </w:r>
          </w:p>
        </w:tc>
        <w:tc>
          <w:tcPr>
            <w:tcW w:w="220" w:type="dxa"/>
            <w:vAlign w:val="bottom"/>
            <w:shd w:val="clear" w:color="auto" w:fill="F5F5F5"/>
          </w:tcPr>
          <w:p>
            <w:pPr>
              <w:spacing w:after="0"/>
              <w:rPr>
                <w:sz w:val="17"/>
                <w:szCs w:val="17"/>
                <w:color w:val="auto"/>
              </w:rPr>
            </w:pPr>
          </w:p>
        </w:tc>
        <w:tc>
          <w:tcPr>
            <w:tcW w:w="1280" w:type="dxa"/>
            <w:vAlign w:val="bottom"/>
            <w:shd w:val="clear" w:color="auto" w:fill="F5F5F5"/>
          </w:tcPr>
          <w:p>
            <w:pPr>
              <w:spacing w:after="0"/>
              <w:rPr>
                <w:sz w:val="17"/>
                <w:szCs w:val="17"/>
                <w:color w:val="auto"/>
              </w:rPr>
            </w:pPr>
          </w:p>
        </w:tc>
        <w:tc>
          <w:tcPr>
            <w:tcW w:w="340" w:type="dxa"/>
            <w:vAlign w:val="bottom"/>
            <w:shd w:val="clear" w:color="auto" w:fill="F5F5F5"/>
          </w:tcPr>
          <w:p>
            <w:pPr>
              <w:spacing w:after="0"/>
              <w:rPr>
                <w:sz w:val="17"/>
                <w:szCs w:val="17"/>
                <w:color w:val="auto"/>
              </w:rPr>
            </w:pPr>
          </w:p>
        </w:tc>
        <w:tc>
          <w:tcPr>
            <w:tcW w:w="1180" w:type="dxa"/>
            <w:vAlign w:val="bottom"/>
            <w:shd w:val="clear" w:color="auto" w:fill="F5F5F5"/>
          </w:tcPr>
          <w:p>
            <w:pPr>
              <w:spacing w:after="0"/>
              <w:rPr>
                <w:sz w:val="17"/>
                <w:szCs w:val="17"/>
                <w:color w:val="auto"/>
              </w:rPr>
            </w:pPr>
          </w:p>
        </w:tc>
        <w:tc>
          <w:tcPr>
            <w:tcW w:w="500" w:type="dxa"/>
            <w:vAlign w:val="bottom"/>
            <w:shd w:val="clear" w:color="auto" w:fill="F5F5F5"/>
          </w:tcPr>
          <w:p>
            <w:pPr>
              <w:spacing w:after="0"/>
              <w:rPr>
                <w:sz w:val="17"/>
                <w:szCs w:val="17"/>
                <w:color w:val="auto"/>
              </w:rPr>
            </w:pPr>
          </w:p>
        </w:tc>
        <w:tc>
          <w:tcPr>
            <w:tcW w:w="1060" w:type="dxa"/>
            <w:vAlign w:val="bottom"/>
            <w:shd w:val="clear" w:color="auto" w:fill="F5F5F5"/>
          </w:tcPr>
          <w:p>
            <w:pPr>
              <w:spacing w:after="0"/>
              <w:rPr>
                <w:sz w:val="17"/>
                <w:szCs w:val="17"/>
                <w:color w:val="auto"/>
              </w:rPr>
            </w:pPr>
          </w:p>
        </w:tc>
        <w:tc>
          <w:tcPr>
            <w:tcW w:w="340" w:type="dxa"/>
            <w:vAlign w:val="bottom"/>
            <w:shd w:val="clear" w:color="auto" w:fill="F5F5F5"/>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484,671</w:t>
            </w:r>
          </w:p>
        </w:tc>
        <w:tc>
          <w:tcPr>
            <w:tcW w:w="0" w:type="dxa"/>
            <w:vAlign w:val="bottom"/>
          </w:tcPr>
          <w:p>
            <w:pPr>
              <w:spacing w:after="0"/>
              <w:rPr>
                <w:sz w:val="1"/>
                <w:szCs w:val="1"/>
                <w:color w:val="auto"/>
              </w:rPr>
            </w:pPr>
          </w:p>
        </w:tc>
      </w:tr>
      <w:tr>
        <w:trPr>
          <w:trHeight w:val="199"/>
        </w:trPr>
        <w:tc>
          <w:tcPr>
            <w:tcW w:w="5140" w:type="dxa"/>
            <w:vAlign w:val="bottom"/>
            <w:tcBorders>
              <w:bottom w:val="single" w:sz="8" w:color="F5F5F5"/>
            </w:tcBorders>
          </w:tcPr>
          <w:p>
            <w:pPr>
              <w:ind w:left="20"/>
              <w:spacing w:after="0"/>
              <w:rPr>
                <w:sz w:val="20"/>
                <w:szCs w:val="20"/>
                <w:color w:val="auto"/>
              </w:rPr>
            </w:pPr>
            <w:r>
              <w:rPr>
                <w:rFonts w:ascii="Arial" w:cs="Arial" w:eastAsia="Arial" w:hAnsi="Arial"/>
                <w:sz w:val="14"/>
                <w:szCs w:val="14"/>
                <w:color w:val="auto"/>
              </w:rPr>
              <w:t>Interest expense (income), Net</w:t>
            </w:r>
          </w:p>
        </w:tc>
        <w:tc>
          <w:tcPr>
            <w:tcW w:w="220" w:type="dxa"/>
            <w:vAlign w:val="bottom"/>
            <w:tcBorders>
              <w:bottom w:val="single" w:sz="8" w:color="F5F5F5"/>
            </w:tcBorders>
          </w:tcPr>
          <w:p>
            <w:pPr>
              <w:spacing w:after="0"/>
              <w:rPr>
                <w:sz w:val="17"/>
                <w:szCs w:val="17"/>
                <w:color w:val="auto"/>
              </w:rPr>
            </w:pPr>
          </w:p>
        </w:tc>
        <w:tc>
          <w:tcPr>
            <w:tcW w:w="1280" w:type="dxa"/>
            <w:vAlign w:val="bottom"/>
            <w:tcBorders>
              <w:bottom w:val="single" w:sz="8" w:color="F5F5F5"/>
            </w:tcBorders>
          </w:tcPr>
          <w:p>
            <w:pPr>
              <w:spacing w:after="0"/>
              <w:rPr>
                <w:sz w:val="17"/>
                <w:szCs w:val="17"/>
                <w:color w:val="auto"/>
              </w:rPr>
            </w:pPr>
          </w:p>
        </w:tc>
        <w:tc>
          <w:tcPr>
            <w:tcW w:w="340" w:type="dxa"/>
            <w:vAlign w:val="bottom"/>
            <w:tcBorders>
              <w:bottom w:val="single" w:sz="8" w:color="F5F5F5"/>
            </w:tcBorders>
          </w:tcPr>
          <w:p>
            <w:pPr>
              <w:spacing w:after="0"/>
              <w:rPr>
                <w:sz w:val="17"/>
                <w:szCs w:val="17"/>
                <w:color w:val="auto"/>
              </w:rPr>
            </w:pPr>
          </w:p>
        </w:tc>
        <w:tc>
          <w:tcPr>
            <w:tcW w:w="1180" w:type="dxa"/>
            <w:vAlign w:val="bottom"/>
            <w:tcBorders>
              <w:bottom w:val="single" w:sz="8" w:color="F5F5F5"/>
            </w:tcBorders>
          </w:tcPr>
          <w:p>
            <w:pPr>
              <w:spacing w:after="0"/>
              <w:rPr>
                <w:sz w:val="17"/>
                <w:szCs w:val="17"/>
                <w:color w:val="auto"/>
              </w:rPr>
            </w:pPr>
          </w:p>
        </w:tc>
        <w:tc>
          <w:tcPr>
            <w:tcW w:w="500" w:type="dxa"/>
            <w:vAlign w:val="bottom"/>
            <w:tcBorders>
              <w:bottom w:val="single" w:sz="8" w:color="F5F5F5"/>
            </w:tcBorders>
          </w:tcPr>
          <w:p>
            <w:pPr>
              <w:spacing w:after="0"/>
              <w:rPr>
                <w:sz w:val="17"/>
                <w:szCs w:val="17"/>
                <w:color w:val="auto"/>
              </w:rPr>
            </w:pPr>
          </w:p>
        </w:tc>
        <w:tc>
          <w:tcPr>
            <w:tcW w:w="1060" w:type="dxa"/>
            <w:vAlign w:val="bottom"/>
            <w:tcBorders>
              <w:bottom w:val="single" w:sz="8" w:color="F5F5F5"/>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200"/>
        </w:trPr>
        <w:tc>
          <w:tcPr>
            <w:tcW w:w="5140" w:type="dxa"/>
            <w:vAlign w:val="bottom"/>
            <w:shd w:val="clear" w:color="auto" w:fill="F5F5F5"/>
          </w:tcPr>
          <w:p>
            <w:pPr>
              <w:ind w:left="20"/>
              <w:spacing w:after="0"/>
              <w:rPr>
                <w:sz w:val="20"/>
                <w:szCs w:val="20"/>
                <w:color w:val="auto"/>
              </w:rPr>
            </w:pPr>
            <w:r>
              <w:rPr>
                <w:rFonts w:ascii="Arial" w:cs="Arial" w:eastAsia="Arial" w:hAnsi="Arial"/>
                <w:sz w:val="14"/>
                <w:szCs w:val="14"/>
                <w:color w:val="auto"/>
              </w:rPr>
              <w:t>Income before taxes</w:t>
            </w:r>
          </w:p>
        </w:tc>
        <w:tc>
          <w:tcPr>
            <w:tcW w:w="220" w:type="dxa"/>
            <w:vAlign w:val="bottom"/>
            <w:shd w:val="clear" w:color="auto" w:fill="F5F5F5"/>
          </w:tcPr>
          <w:p>
            <w:pPr>
              <w:spacing w:after="0"/>
              <w:rPr>
                <w:sz w:val="17"/>
                <w:szCs w:val="17"/>
                <w:color w:val="auto"/>
              </w:rPr>
            </w:pPr>
          </w:p>
        </w:tc>
        <w:tc>
          <w:tcPr>
            <w:tcW w:w="1280" w:type="dxa"/>
            <w:vAlign w:val="bottom"/>
            <w:shd w:val="clear" w:color="auto" w:fill="F5F5F5"/>
          </w:tcPr>
          <w:p>
            <w:pPr>
              <w:spacing w:after="0"/>
              <w:rPr>
                <w:sz w:val="17"/>
                <w:szCs w:val="17"/>
                <w:color w:val="auto"/>
              </w:rPr>
            </w:pPr>
          </w:p>
        </w:tc>
        <w:tc>
          <w:tcPr>
            <w:tcW w:w="340" w:type="dxa"/>
            <w:vAlign w:val="bottom"/>
            <w:shd w:val="clear" w:color="auto" w:fill="F5F5F5"/>
          </w:tcPr>
          <w:p>
            <w:pPr>
              <w:spacing w:after="0"/>
              <w:rPr>
                <w:sz w:val="17"/>
                <w:szCs w:val="17"/>
                <w:color w:val="auto"/>
              </w:rPr>
            </w:pPr>
          </w:p>
        </w:tc>
        <w:tc>
          <w:tcPr>
            <w:tcW w:w="1180" w:type="dxa"/>
            <w:vAlign w:val="bottom"/>
            <w:shd w:val="clear" w:color="auto" w:fill="F5F5F5"/>
          </w:tcPr>
          <w:p>
            <w:pPr>
              <w:spacing w:after="0"/>
              <w:rPr>
                <w:sz w:val="17"/>
                <w:szCs w:val="17"/>
                <w:color w:val="auto"/>
              </w:rPr>
            </w:pPr>
          </w:p>
        </w:tc>
        <w:tc>
          <w:tcPr>
            <w:tcW w:w="500" w:type="dxa"/>
            <w:vAlign w:val="bottom"/>
            <w:shd w:val="clear" w:color="auto" w:fill="F5F5F5"/>
          </w:tcPr>
          <w:p>
            <w:pPr>
              <w:spacing w:after="0"/>
              <w:rPr>
                <w:sz w:val="17"/>
                <w:szCs w:val="17"/>
                <w:color w:val="auto"/>
              </w:rPr>
            </w:pPr>
          </w:p>
        </w:tc>
        <w:tc>
          <w:tcPr>
            <w:tcW w:w="1060" w:type="dxa"/>
            <w:vAlign w:val="bottom"/>
            <w:shd w:val="clear" w:color="auto" w:fill="F5F5F5"/>
          </w:tcPr>
          <w:p>
            <w:pPr>
              <w:spacing w:after="0"/>
              <w:rPr>
                <w:sz w:val="17"/>
                <w:szCs w:val="17"/>
                <w:color w:val="auto"/>
              </w:rPr>
            </w:pPr>
          </w:p>
        </w:tc>
        <w:tc>
          <w:tcPr>
            <w:tcW w:w="340" w:type="dxa"/>
            <w:vAlign w:val="bottom"/>
            <w:shd w:val="clear" w:color="auto" w:fill="F5F5F5"/>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484,299</w:t>
            </w:r>
          </w:p>
        </w:tc>
        <w:tc>
          <w:tcPr>
            <w:tcW w:w="0" w:type="dxa"/>
            <w:vAlign w:val="bottom"/>
          </w:tcPr>
          <w:p>
            <w:pPr>
              <w:spacing w:after="0"/>
              <w:rPr>
                <w:sz w:val="1"/>
                <w:szCs w:val="1"/>
                <w:color w:val="auto"/>
              </w:rPr>
            </w:pPr>
          </w:p>
        </w:tc>
      </w:tr>
      <w:tr>
        <w:trPr>
          <w:trHeight w:val="108"/>
        </w:trPr>
        <w:tc>
          <w:tcPr>
            <w:tcW w:w="5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5140" w:type="dxa"/>
            <w:vAlign w:val="bottom"/>
            <w:shd w:val="clear" w:color="auto" w:fill="F5F5F5"/>
          </w:tcPr>
          <w:p>
            <w:pPr>
              <w:ind w:left="20"/>
              <w:spacing w:after="0"/>
              <w:rPr>
                <w:sz w:val="20"/>
                <w:szCs w:val="20"/>
                <w:color w:val="auto"/>
              </w:rPr>
            </w:pPr>
            <w:r>
              <w:rPr>
                <w:rFonts w:ascii="Arial" w:cs="Arial" w:eastAsia="Arial" w:hAnsi="Arial"/>
                <w:sz w:val="14"/>
                <w:szCs w:val="14"/>
                <w:color w:val="auto"/>
              </w:rPr>
              <w:t>Depreciation and amortization</w:t>
            </w:r>
          </w:p>
        </w:tc>
        <w:tc>
          <w:tcPr>
            <w:tcW w:w="220" w:type="dxa"/>
            <w:vAlign w:val="bottom"/>
            <w:shd w:val="clear" w:color="auto" w:fill="F5F5F5"/>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73,779</w:t>
            </w:r>
          </w:p>
        </w:tc>
        <w:tc>
          <w:tcPr>
            <w:tcW w:w="340" w:type="dxa"/>
            <w:vAlign w:val="bottom"/>
            <w:shd w:val="clear" w:color="auto" w:fill="F5F5F5"/>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26,782</w:t>
            </w:r>
          </w:p>
        </w:tc>
        <w:tc>
          <w:tcPr>
            <w:tcW w:w="500" w:type="dxa"/>
            <w:vAlign w:val="bottom"/>
            <w:shd w:val="clear" w:color="auto" w:fill="F5F5F5"/>
          </w:tcPr>
          <w:p>
            <w:pPr>
              <w:jc w:val="right"/>
              <w:ind w:right="308"/>
              <w:spacing w:after="0"/>
              <w:rPr>
                <w:sz w:val="20"/>
                <w:szCs w:val="20"/>
                <w:color w:val="auto"/>
              </w:rPr>
            </w:pPr>
            <w:r>
              <w:rPr>
                <w:rFonts w:ascii="Arial" w:cs="Arial" w:eastAsia="Arial" w:hAnsi="Arial"/>
                <w:sz w:val="14"/>
                <w:szCs w:val="14"/>
                <w:color w:val="auto"/>
              </w:rPr>
              <w:t>$</w:t>
            </w:r>
          </w:p>
        </w:tc>
        <w:tc>
          <w:tcPr>
            <w:tcW w:w="106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5,921</w:t>
            </w:r>
          </w:p>
        </w:tc>
        <w:tc>
          <w:tcPr>
            <w:tcW w:w="340" w:type="dxa"/>
            <w:vAlign w:val="bottom"/>
            <w:shd w:val="clear" w:color="auto" w:fill="F5F5F5"/>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106,482</w:t>
            </w:r>
          </w:p>
        </w:tc>
        <w:tc>
          <w:tcPr>
            <w:tcW w:w="0" w:type="dxa"/>
            <w:vAlign w:val="bottom"/>
          </w:tcPr>
          <w:p>
            <w:pPr>
              <w:spacing w:after="0"/>
              <w:rPr>
                <w:sz w:val="1"/>
                <w:szCs w:val="1"/>
                <w:color w:val="auto"/>
              </w:rPr>
            </w:pPr>
          </w:p>
        </w:tc>
      </w:tr>
      <w:tr>
        <w:trPr>
          <w:trHeight w:val="198"/>
        </w:trPr>
        <w:tc>
          <w:tcPr>
            <w:tcW w:w="5140" w:type="dxa"/>
            <w:vAlign w:val="bottom"/>
            <w:tcBorders>
              <w:bottom w:val="single" w:sz="8" w:color="F5F5F5"/>
            </w:tcBorders>
          </w:tcPr>
          <w:p>
            <w:pPr>
              <w:ind w:left="140"/>
              <w:spacing w:after="0"/>
              <w:rPr>
                <w:sz w:val="20"/>
                <w:szCs w:val="20"/>
                <w:color w:val="auto"/>
              </w:rPr>
            </w:pPr>
            <w:r>
              <w:rPr>
                <w:rFonts w:ascii="Arial" w:cs="Arial" w:eastAsia="Arial" w:hAnsi="Arial"/>
                <w:sz w:val="14"/>
                <w:szCs w:val="14"/>
                <w:color w:val="auto"/>
              </w:rPr>
              <w:t>Depreciation and amortization not attributed to segments</w:t>
            </w:r>
          </w:p>
        </w:tc>
        <w:tc>
          <w:tcPr>
            <w:tcW w:w="220" w:type="dxa"/>
            <w:vAlign w:val="bottom"/>
            <w:tcBorders>
              <w:bottom w:val="single" w:sz="8" w:color="F5F5F5"/>
            </w:tcBorders>
          </w:tcPr>
          <w:p>
            <w:pPr>
              <w:spacing w:after="0"/>
              <w:rPr>
                <w:sz w:val="17"/>
                <w:szCs w:val="17"/>
                <w:color w:val="auto"/>
              </w:rPr>
            </w:pPr>
          </w:p>
        </w:tc>
        <w:tc>
          <w:tcPr>
            <w:tcW w:w="1280" w:type="dxa"/>
            <w:vAlign w:val="bottom"/>
            <w:tcBorders>
              <w:bottom w:val="single" w:sz="8" w:color="F5F5F5"/>
            </w:tcBorders>
          </w:tcPr>
          <w:p>
            <w:pPr>
              <w:spacing w:after="0"/>
              <w:rPr>
                <w:sz w:val="17"/>
                <w:szCs w:val="17"/>
                <w:color w:val="auto"/>
              </w:rPr>
            </w:pPr>
          </w:p>
        </w:tc>
        <w:tc>
          <w:tcPr>
            <w:tcW w:w="340" w:type="dxa"/>
            <w:vAlign w:val="bottom"/>
            <w:tcBorders>
              <w:bottom w:val="single" w:sz="8" w:color="F5F5F5"/>
            </w:tcBorders>
          </w:tcPr>
          <w:p>
            <w:pPr>
              <w:spacing w:after="0"/>
              <w:rPr>
                <w:sz w:val="17"/>
                <w:szCs w:val="17"/>
                <w:color w:val="auto"/>
              </w:rPr>
            </w:pPr>
          </w:p>
        </w:tc>
        <w:tc>
          <w:tcPr>
            <w:tcW w:w="1180" w:type="dxa"/>
            <w:vAlign w:val="bottom"/>
            <w:tcBorders>
              <w:bottom w:val="single" w:sz="8" w:color="F5F5F5"/>
            </w:tcBorders>
          </w:tcPr>
          <w:p>
            <w:pPr>
              <w:spacing w:after="0"/>
              <w:rPr>
                <w:sz w:val="17"/>
                <w:szCs w:val="17"/>
                <w:color w:val="auto"/>
              </w:rPr>
            </w:pPr>
          </w:p>
        </w:tc>
        <w:tc>
          <w:tcPr>
            <w:tcW w:w="500" w:type="dxa"/>
            <w:vAlign w:val="bottom"/>
            <w:tcBorders>
              <w:bottom w:val="single" w:sz="8" w:color="F5F5F5"/>
            </w:tcBorders>
          </w:tcPr>
          <w:p>
            <w:pPr>
              <w:spacing w:after="0"/>
              <w:rPr>
                <w:sz w:val="17"/>
                <w:szCs w:val="17"/>
                <w:color w:val="auto"/>
              </w:rPr>
            </w:pPr>
          </w:p>
        </w:tc>
        <w:tc>
          <w:tcPr>
            <w:tcW w:w="1060" w:type="dxa"/>
            <w:vAlign w:val="bottom"/>
            <w:tcBorders>
              <w:bottom w:val="single" w:sz="8" w:color="F5F5F5"/>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34,622</w:t>
            </w:r>
          </w:p>
        </w:tc>
        <w:tc>
          <w:tcPr>
            <w:tcW w:w="0" w:type="dxa"/>
            <w:vAlign w:val="bottom"/>
          </w:tcPr>
          <w:p>
            <w:pPr>
              <w:spacing w:after="0"/>
              <w:rPr>
                <w:sz w:val="1"/>
                <w:szCs w:val="1"/>
                <w:color w:val="auto"/>
              </w:rPr>
            </w:pPr>
          </w:p>
        </w:tc>
      </w:tr>
      <w:tr>
        <w:trPr>
          <w:trHeight w:val="200"/>
        </w:trPr>
        <w:tc>
          <w:tcPr>
            <w:tcW w:w="5140" w:type="dxa"/>
            <w:vAlign w:val="bottom"/>
            <w:shd w:val="clear" w:color="auto" w:fill="F5F5F5"/>
          </w:tcPr>
          <w:p>
            <w:pPr>
              <w:ind w:left="20"/>
              <w:spacing w:after="0"/>
              <w:rPr>
                <w:sz w:val="20"/>
                <w:szCs w:val="20"/>
                <w:color w:val="auto"/>
              </w:rPr>
            </w:pPr>
            <w:r>
              <w:rPr>
                <w:rFonts w:ascii="Arial" w:cs="Arial" w:eastAsia="Arial" w:hAnsi="Arial"/>
                <w:sz w:val="14"/>
                <w:szCs w:val="14"/>
                <w:color w:val="auto"/>
              </w:rPr>
              <w:t>Total depreciation and amortization</w:t>
            </w:r>
          </w:p>
        </w:tc>
        <w:tc>
          <w:tcPr>
            <w:tcW w:w="220" w:type="dxa"/>
            <w:vAlign w:val="bottom"/>
            <w:shd w:val="clear" w:color="auto" w:fill="F5F5F5"/>
          </w:tcPr>
          <w:p>
            <w:pPr>
              <w:spacing w:after="0"/>
              <w:rPr>
                <w:sz w:val="17"/>
                <w:szCs w:val="17"/>
                <w:color w:val="auto"/>
              </w:rPr>
            </w:pPr>
          </w:p>
        </w:tc>
        <w:tc>
          <w:tcPr>
            <w:tcW w:w="1280" w:type="dxa"/>
            <w:vAlign w:val="bottom"/>
            <w:shd w:val="clear" w:color="auto" w:fill="F5F5F5"/>
          </w:tcPr>
          <w:p>
            <w:pPr>
              <w:spacing w:after="0"/>
              <w:rPr>
                <w:sz w:val="17"/>
                <w:szCs w:val="17"/>
                <w:color w:val="auto"/>
              </w:rPr>
            </w:pPr>
          </w:p>
        </w:tc>
        <w:tc>
          <w:tcPr>
            <w:tcW w:w="340" w:type="dxa"/>
            <w:vAlign w:val="bottom"/>
            <w:shd w:val="clear" w:color="auto" w:fill="F5F5F5"/>
          </w:tcPr>
          <w:p>
            <w:pPr>
              <w:spacing w:after="0"/>
              <w:rPr>
                <w:sz w:val="17"/>
                <w:szCs w:val="17"/>
                <w:color w:val="auto"/>
              </w:rPr>
            </w:pPr>
          </w:p>
        </w:tc>
        <w:tc>
          <w:tcPr>
            <w:tcW w:w="1180" w:type="dxa"/>
            <w:vAlign w:val="bottom"/>
            <w:shd w:val="clear" w:color="auto" w:fill="F5F5F5"/>
          </w:tcPr>
          <w:p>
            <w:pPr>
              <w:spacing w:after="0"/>
              <w:rPr>
                <w:sz w:val="17"/>
                <w:szCs w:val="17"/>
                <w:color w:val="auto"/>
              </w:rPr>
            </w:pPr>
          </w:p>
        </w:tc>
        <w:tc>
          <w:tcPr>
            <w:tcW w:w="500" w:type="dxa"/>
            <w:vAlign w:val="bottom"/>
            <w:shd w:val="clear" w:color="auto" w:fill="F5F5F5"/>
          </w:tcPr>
          <w:p>
            <w:pPr>
              <w:spacing w:after="0"/>
              <w:rPr>
                <w:sz w:val="17"/>
                <w:szCs w:val="17"/>
                <w:color w:val="auto"/>
              </w:rPr>
            </w:pPr>
          </w:p>
        </w:tc>
        <w:tc>
          <w:tcPr>
            <w:tcW w:w="1060" w:type="dxa"/>
            <w:vAlign w:val="bottom"/>
            <w:shd w:val="clear" w:color="auto" w:fill="F5F5F5"/>
          </w:tcPr>
          <w:p>
            <w:pPr>
              <w:spacing w:after="0"/>
              <w:rPr>
                <w:sz w:val="17"/>
                <w:szCs w:val="17"/>
                <w:color w:val="auto"/>
              </w:rPr>
            </w:pPr>
          </w:p>
        </w:tc>
        <w:tc>
          <w:tcPr>
            <w:tcW w:w="340" w:type="dxa"/>
            <w:vAlign w:val="bottom"/>
            <w:shd w:val="clear" w:color="auto" w:fill="F5F5F5"/>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141,104</w:t>
            </w:r>
          </w:p>
        </w:tc>
        <w:tc>
          <w:tcPr>
            <w:tcW w:w="0" w:type="dxa"/>
            <w:vAlign w:val="bottom"/>
          </w:tcPr>
          <w:p>
            <w:pPr>
              <w:spacing w:after="0"/>
              <w:rPr>
                <w:sz w:val="1"/>
                <w:szCs w:val="1"/>
                <w:color w:val="auto"/>
              </w:rPr>
            </w:pPr>
          </w:p>
        </w:tc>
      </w:tr>
      <w:tr>
        <w:trPr>
          <w:trHeight w:val="108"/>
        </w:trPr>
        <w:tc>
          <w:tcPr>
            <w:tcW w:w="5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5140" w:type="dxa"/>
            <w:vAlign w:val="bottom"/>
            <w:shd w:val="clear" w:color="auto" w:fill="F5F5F5"/>
          </w:tcPr>
          <w:p>
            <w:pPr>
              <w:ind w:left="20"/>
              <w:spacing w:after="0"/>
              <w:rPr>
                <w:sz w:val="20"/>
                <w:szCs w:val="20"/>
                <w:color w:val="auto"/>
              </w:rPr>
            </w:pPr>
            <w:r>
              <w:rPr>
                <w:rFonts w:ascii="Arial" w:cs="Arial" w:eastAsia="Arial" w:hAnsi="Arial"/>
                <w:sz w:val="14"/>
                <w:szCs w:val="14"/>
                <w:color w:val="auto"/>
              </w:rPr>
              <w:t>Capital expenditures</w:t>
            </w:r>
          </w:p>
        </w:tc>
        <w:tc>
          <w:tcPr>
            <w:tcW w:w="220" w:type="dxa"/>
            <w:vAlign w:val="bottom"/>
            <w:shd w:val="clear" w:color="auto" w:fill="F5F5F5"/>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78,062</w:t>
            </w:r>
          </w:p>
        </w:tc>
        <w:tc>
          <w:tcPr>
            <w:tcW w:w="340" w:type="dxa"/>
            <w:vAlign w:val="bottom"/>
            <w:shd w:val="clear" w:color="auto" w:fill="F5F5F5"/>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26,019</w:t>
            </w:r>
          </w:p>
        </w:tc>
        <w:tc>
          <w:tcPr>
            <w:tcW w:w="500" w:type="dxa"/>
            <w:vAlign w:val="bottom"/>
            <w:shd w:val="clear" w:color="auto" w:fill="F5F5F5"/>
          </w:tcPr>
          <w:p>
            <w:pPr>
              <w:jc w:val="right"/>
              <w:ind w:right="308"/>
              <w:spacing w:after="0"/>
              <w:rPr>
                <w:sz w:val="20"/>
                <w:szCs w:val="20"/>
                <w:color w:val="auto"/>
              </w:rPr>
            </w:pPr>
            <w:r>
              <w:rPr>
                <w:rFonts w:ascii="Arial" w:cs="Arial" w:eastAsia="Arial" w:hAnsi="Arial"/>
                <w:sz w:val="14"/>
                <w:szCs w:val="14"/>
                <w:color w:val="auto"/>
              </w:rPr>
              <w:t>$</w:t>
            </w:r>
          </w:p>
        </w:tc>
        <w:tc>
          <w:tcPr>
            <w:tcW w:w="106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4,331</w:t>
            </w:r>
          </w:p>
        </w:tc>
        <w:tc>
          <w:tcPr>
            <w:tcW w:w="340" w:type="dxa"/>
            <w:vAlign w:val="bottom"/>
            <w:shd w:val="clear" w:color="auto" w:fill="F5F5F5"/>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108,412</w:t>
            </w:r>
          </w:p>
        </w:tc>
        <w:tc>
          <w:tcPr>
            <w:tcW w:w="0" w:type="dxa"/>
            <w:vAlign w:val="bottom"/>
          </w:tcPr>
          <w:p>
            <w:pPr>
              <w:spacing w:after="0"/>
              <w:rPr>
                <w:sz w:val="1"/>
                <w:szCs w:val="1"/>
                <w:color w:val="auto"/>
              </w:rPr>
            </w:pPr>
          </w:p>
        </w:tc>
      </w:tr>
      <w:tr>
        <w:trPr>
          <w:trHeight w:val="198"/>
        </w:trPr>
        <w:tc>
          <w:tcPr>
            <w:tcW w:w="5140" w:type="dxa"/>
            <w:vAlign w:val="bottom"/>
            <w:tcBorders>
              <w:bottom w:val="single" w:sz="8" w:color="F5F5F5"/>
            </w:tcBorders>
          </w:tcPr>
          <w:p>
            <w:pPr>
              <w:ind w:left="140"/>
              <w:spacing w:after="0"/>
              <w:rPr>
                <w:sz w:val="20"/>
                <w:szCs w:val="20"/>
                <w:color w:val="auto"/>
              </w:rPr>
            </w:pPr>
            <w:r>
              <w:rPr>
                <w:rFonts w:ascii="Arial" w:cs="Arial" w:eastAsia="Arial" w:hAnsi="Arial"/>
                <w:sz w:val="14"/>
                <w:szCs w:val="14"/>
                <w:color w:val="auto"/>
              </w:rPr>
              <w:t>Capital expenditures not attributed to segments</w:t>
            </w:r>
          </w:p>
        </w:tc>
        <w:tc>
          <w:tcPr>
            <w:tcW w:w="220" w:type="dxa"/>
            <w:vAlign w:val="bottom"/>
            <w:tcBorders>
              <w:bottom w:val="single" w:sz="8" w:color="F5F5F5"/>
            </w:tcBorders>
          </w:tcPr>
          <w:p>
            <w:pPr>
              <w:spacing w:after="0"/>
              <w:rPr>
                <w:sz w:val="17"/>
                <w:szCs w:val="17"/>
                <w:color w:val="auto"/>
              </w:rPr>
            </w:pPr>
          </w:p>
        </w:tc>
        <w:tc>
          <w:tcPr>
            <w:tcW w:w="1280" w:type="dxa"/>
            <w:vAlign w:val="bottom"/>
            <w:tcBorders>
              <w:bottom w:val="single" w:sz="8" w:color="F5F5F5"/>
            </w:tcBorders>
          </w:tcPr>
          <w:p>
            <w:pPr>
              <w:spacing w:after="0"/>
              <w:rPr>
                <w:sz w:val="17"/>
                <w:szCs w:val="17"/>
                <w:color w:val="auto"/>
              </w:rPr>
            </w:pPr>
          </w:p>
        </w:tc>
        <w:tc>
          <w:tcPr>
            <w:tcW w:w="340" w:type="dxa"/>
            <w:vAlign w:val="bottom"/>
            <w:tcBorders>
              <w:bottom w:val="single" w:sz="8" w:color="F5F5F5"/>
            </w:tcBorders>
          </w:tcPr>
          <w:p>
            <w:pPr>
              <w:spacing w:after="0"/>
              <w:rPr>
                <w:sz w:val="17"/>
                <w:szCs w:val="17"/>
                <w:color w:val="auto"/>
              </w:rPr>
            </w:pPr>
          </w:p>
        </w:tc>
        <w:tc>
          <w:tcPr>
            <w:tcW w:w="1180" w:type="dxa"/>
            <w:vAlign w:val="bottom"/>
            <w:tcBorders>
              <w:bottom w:val="single" w:sz="8" w:color="F5F5F5"/>
            </w:tcBorders>
          </w:tcPr>
          <w:p>
            <w:pPr>
              <w:spacing w:after="0"/>
              <w:rPr>
                <w:sz w:val="17"/>
                <w:szCs w:val="17"/>
                <w:color w:val="auto"/>
              </w:rPr>
            </w:pPr>
          </w:p>
        </w:tc>
        <w:tc>
          <w:tcPr>
            <w:tcW w:w="500" w:type="dxa"/>
            <w:vAlign w:val="bottom"/>
            <w:tcBorders>
              <w:bottom w:val="single" w:sz="8" w:color="F5F5F5"/>
            </w:tcBorders>
          </w:tcPr>
          <w:p>
            <w:pPr>
              <w:spacing w:after="0"/>
              <w:rPr>
                <w:sz w:val="17"/>
                <w:szCs w:val="17"/>
                <w:color w:val="auto"/>
              </w:rPr>
            </w:pPr>
          </w:p>
        </w:tc>
        <w:tc>
          <w:tcPr>
            <w:tcW w:w="1060" w:type="dxa"/>
            <w:vAlign w:val="bottom"/>
            <w:tcBorders>
              <w:bottom w:val="single" w:sz="8" w:color="F5F5F5"/>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49,385</w:t>
            </w:r>
          </w:p>
        </w:tc>
        <w:tc>
          <w:tcPr>
            <w:tcW w:w="0" w:type="dxa"/>
            <w:vAlign w:val="bottom"/>
          </w:tcPr>
          <w:p>
            <w:pPr>
              <w:spacing w:after="0"/>
              <w:rPr>
                <w:sz w:val="1"/>
                <w:szCs w:val="1"/>
                <w:color w:val="auto"/>
              </w:rPr>
            </w:pPr>
          </w:p>
        </w:tc>
      </w:tr>
      <w:tr>
        <w:trPr>
          <w:trHeight w:val="225"/>
        </w:trPr>
        <w:tc>
          <w:tcPr>
            <w:tcW w:w="5140" w:type="dxa"/>
            <w:vAlign w:val="bottom"/>
            <w:tcBorders>
              <w:bottom w:val="single" w:sz="8" w:color="F5F5F5"/>
            </w:tcBorders>
            <w:shd w:val="clear" w:color="auto" w:fill="F5F5F5"/>
          </w:tcPr>
          <w:p>
            <w:pPr>
              <w:ind w:left="20"/>
              <w:spacing w:after="0"/>
              <w:rPr>
                <w:sz w:val="20"/>
                <w:szCs w:val="20"/>
                <w:color w:val="auto"/>
              </w:rPr>
            </w:pPr>
            <w:r>
              <w:rPr>
                <w:rFonts w:ascii="Arial" w:cs="Arial" w:eastAsia="Arial" w:hAnsi="Arial"/>
                <w:sz w:val="14"/>
                <w:szCs w:val="14"/>
                <w:color w:val="auto"/>
              </w:rPr>
              <w:t>Total capital expenditures</w:t>
            </w:r>
          </w:p>
        </w:tc>
        <w:tc>
          <w:tcPr>
            <w:tcW w:w="220" w:type="dxa"/>
            <w:vAlign w:val="bottom"/>
            <w:tcBorders>
              <w:bottom w:val="single" w:sz="8" w:color="F5F5F5"/>
            </w:tcBorders>
            <w:shd w:val="clear" w:color="auto" w:fill="F5F5F5"/>
          </w:tcPr>
          <w:p>
            <w:pPr>
              <w:spacing w:after="0"/>
              <w:rPr>
                <w:sz w:val="19"/>
                <w:szCs w:val="19"/>
                <w:color w:val="auto"/>
              </w:rPr>
            </w:pPr>
          </w:p>
        </w:tc>
        <w:tc>
          <w:tcPr>
            <w:tcW w:w="1280" w:type="dxa"/>
            <w:vAlign w:val="bottom"/>
            <w:tcBorders>
              <w:bottom w:val="single" w:sz="8" w:color="F5F5F5"/>
            </w:tcBorders>
            <w:shd w:val="clear" w:color="auto" w:fill="F5F5F5"/>
          </w:tcPr>
          <w:p>
            <w:pPr>
              <w:spacing w:after="0"/>
              <w:rPr>
                <w:sz w:val="19"/>
                <w:szCs w:val="19"/>
                <w:color w:val="auto"/>
              </w:rPr>
            </w:pPr>
          </w:p>
        </w:tc>
        <w:tc>
          <w:tcPr>
            <w:tcW w:w="340" w:type="dxa"/>
            <w:vAlign w:val="bottom"/>
            <w:tcBorders>
              <w:bottom w:val="single" w:sz="8" w:color="F5F5F5"/>
            </w:tcBorders>
            <w:shd w:val="clear" w:color="auto" w:fill="F5F5F5"/>
          </w:tcPr>
          <w:p>
            <w:pPr>
              <w:spacing w:after="0"/>
              <w:rPr>
                <w:sz w:val="19"/>
                <w:szCs w:val="19"/>
                <w:color w:val="auto"/>
              </w:rPr>
            </w:pPr>
          </w:p>
        </w:tc>
        <w:tc>
          <w:tcPr>
            <w:tcW w:w="1180" w:type="dxa"/>
            <w:vAlign w:val="bottom"/>
            <w:tcBorders>
              <w:bottom w:val="single" w:sz="8" w:color="F5F5F5"/>
            </w:tcBorders>
            <w:shd w:val="clear" w:color="auto" w:fill="F5F5F5"/>
          </w:tcPr>
          <w:p>
            <w:pPr>
              <w:spacing w:after="0"/>
              <w:rPr>
                <w:sz w:val="19"/>
                <w:szCs w:val="19"/>
                <w:color w:val="auto"/>
              </w:rPr>
            </w:pPr>
          </w:p>
        </w:tc>
        <w:tc>
          <w:tcPr>
            <w:tcW w:w="500" w:type="dxa"/>
            <w:vAlign w:val="bottom"/>
            <w:tcBorders>
              <w:bottom w:val="single" w:sz="8" w:color="F5F5F5"/>
            </w:tcBorders>
            <w:shd w:val="clear" w:color="auto" w:fill="F5F5F5"/>
          </w:tcPr>
          <w:p>
            <w:pPr>
              <w:spacing w:after="0"/>
              <w:rPr>
                <w:sz w:val="19"/>
                <w:szCs w:val="19"/>
                <w:color w:val="auto"/>
              </w:rPr>
            </w:pPr>
          </w:p>
        </w:tc>
        <w:tc>
          <w:tcPr>
            <w:tcW w:w="1060" w:type="dxa"/>
            <w:vAlign w:val="bottom"/>
            <w:tcBorders>
              <w:bottom w:val="single" w:sz="8" w:color="F5F5F5"/>
            </w:tcBorders>
            <w:shd w:val="clear" w:color="auto" w:fill="F5F5F5"/>
          </w:tcPr>
          <w:p>
            <w:pPr>
              <w:spacing w:after="0"/>
              <w:rPr>
                <w:sz w:val="19"/>
                <w:szCs w:val="19"/>
                <w:color w:val="auto"/>
              </w:rPr>
            </w:pPr>
          </w:p>
        </w:tc>
        <w:tc>
          <w:tcPr>
            <w:tcW w:w="340" w:type="dxa"/>
            <w:vAlign w:val="bottom"/>
            <w:tcBorders>
              <w:bottom w:val="single" w:sz="8" w:color="auto"/>
            </w:tcBorders>
            <w:shd w:val="clear" w:color="auto" w:fill="F5F5F5"/>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157,797</w:t>
            </w:r>
          </w:p>
        </w:tc>
        <w:tc>
          <w:tcPr>
            <w:tcW w:w="0" w:type="dxa"/>
            <w:vAlign w:val="bottom"/>
          </w:tcPr>
          <w:p>
            <w:pPr>
              <w:spacing w:after="0"/>
              <w:rPr>
                <w:sz w:val="1"/>
                <w:szCs w:val="1"/>
                <w:color w:val="auto"/>
              </w:rPr>
            </w:pPr>
          </w:p>
        </w:tc>
      </w:tr>
      <w:tr>
        <w:trPr>
          <w:trHeight w:val="20"/>
        </w:trPr>
        <w:tc>
          <w:tcPr>
            <w:tcW w:w="5140" w:type="dxa"/>
            <w:vAlign w:val="bottom"/>
            <w:tcBorders>
              <w:top w:val="single" w:sz="8" w:color="F5F5F5"/>
            </w:tcBorders>
          </w:tcPr>
          <w:p>
            <w:pPr>
              <w:spacing w:after="0" w:line="20" w:lineRule="exact"/>
              <w:rPr>
                <w:sz w:val="1"/>
                <w:szCs w:val="1"/>
                <w:color w:val="auto"/>
              </w:rPr>
            </w:pPr>
          </w:p>
        </w:tc>
        <w:tc>
          <w:tcPr>
            <w:tcW w:w="220" w:type="dxa"/>
            <w:vAlign w:val="bottom"/>
            <w:tcBorders>
              <w:top w:val="single" w:sz="8" w:color="F5F5F5"/>
            </w:tcBorders>
          </w:tcPr>
          <w:p>
            <w:pPr>
              <w:spacing w:after="0" w:line="20" w:lineRule="exact"/>
              <w:rPr>
                <w:sz w:val="1"/>
                <w:szCs w:val="1"/>
                <w:color w:val="auto"/>
              </w:rPr>
            </w:pPr>
          </w:p>
        </w:tc>
        <w:tc>
          <w:tcPr>
            <w:tcW w:w="1280" w:type="dxa"/>
            <w:vAlign w:val="bottom"/>
            <w:tcBorders>
              <w:top w:val="single" w:sz="8" w:color="F5F5F5"/>
            </w:tcBorders>
          </w:tcPr>
          <w:p>
            <w:pPr>
              <w:spacing w:after="0" w:line="20" w:lineRule="exact"/>
              <w:rPr>
                <w:sz w:val="1"/>
                <w:szCs w:val="1"/>
                <w:color w:val="auto"/>
              </w:rPr>
            </w:pPr>
          </w:p>
        </w:tc>
        <w:tc>
          <w:tcPr>
            <w:tcW w:w="340" w:type="dxa"/>
            <w:vAlign w:val="bottom"/>
            <w:tcBorders>
              <w:top w:val="single" w:sz="8" w:color="F5F5F5"/>
            </w:tcBorders>
          </w:tcPr>
          <w:p>
            <w:pPr>
              <w:spacing w:after="0" w:line="20" w:lineRule="exact"/>
              <w:rPr>
                <w:sz w:val="1"/>
                <w:szCs w:val="1"/>
                <w:color w:val="auto"/>
              </w:rPr>
            </w:pPr>
          </w:p>
        </w:tc>
        <w:tc>
          <w:tcPr>
            <w:tcW w:w="1180" w:type="dxa"/>
            <w:vAlign w:val="bottom"/>
            <w:tcBorders>
              <w:top w:val="single" w:sz="8" w:color="F5F5F5"/>
            </w:tcBorders>
          </w:tcPr>
          <w:p>
            <w:pPr>
              <w:spacing w:after="0" w:line="20" w:lineRule="exact"/>
              <w:rPr>
                <w:sz w:val="1"/>
                <w:szCs w:val="1"/>
                <w:color w:val="auto"/>
              </w:rPr>
            </w:pPr>
          </w:p>
        </w:tc>
        <w:tc>
          <w:tcPr>
            <w:tcW w:w="500" w:type="dxa"/>
            <w:vAlign w:val="bottom"/>
            <w:tcBorders>
              <w:top w:val="single" w:sz="8" w:color="F5F5F5"/>
            </w:tcBorders>
          </w:tcPr>
          <w:p>
            <w:pPr>
              <w:spacing w:after="0" w:line="20" w:lineRule="exact"/>
              <w:rPr>
                <w:sz w:val="1"/>
                <w:szCs w:val="1"/>
                <w:color w:val="auto"/>
              </w:rPr>
            </w:pPr>
          </w:p>
        </w:tc>
        <w:tc>
          <w:tcPr>
            <w:tcW w:w="1060" w:type="dxa"/>
            <w:vAlign w:val="bottom"/>
            <w:tcBorders>
              <w:top w:val="single" w:sz="8" w:color="F5F5F5"/>
            </w:tcBorders>
          </w:tcPr>
          <w:p>
            <w:pPr>
              <w:spacing w:after="0" w:line="20" w:lineRule="exact"/>
              <w:rPr>
                <w:sz w:val="1"/>
                <w:szCs w:val="1"/>
                <w:color w:val="auto"/>
              </w:rPr>
            </w:pPr>
          </w:p>
        </w:tc>
        <w:tc>
          <w:tcPr>
            <w:tcW w:w="340" w:type="dxa"/>
            <w:vAlign w:val="bottom"/>
            <w:tcBorders>
              <w:top w:val="single" w:sz="8" w:color="F5F5F5"/>
              <w:bottom w:val="single" w:sz="8" w:color="auto"/>
            </w:tcBorders>
          </w:tcPr>
          <w:p>
            <w:pPr>
              <w:spacing w:after="0" w:line="20" w:lineRule="exact"/>
              <w:rPr>
                <w:sz w:val="1"/>
                <w:szCs w:val="1"/>
                <w:color w:val="auto"/>
              </w:rPr>
            </w:pPr>
          </w:p>
        </w:tc>
        <w:tc>
          <w:tcPr>
            <w:tcW w:w="1180" w:type="dxa"/>
            <w:vAlign w:val="bottom"/>
            <w:tcBorders>
              <w:top w:val="single" w:sz="8" w:color="F5F5F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77</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sz w:val="20"/>
          <w:szCs w:val="20"/>
          <w:color w:val="auto"/>
        </w:rPr>
      </w:pPr>
      <w:r>
        <w:rPr>
          <w:rFonts w:ascii="Arial" w:cs="Arial" w:eastAsia="Arial" w:hAnsi="Arial"/>
          <w:sz w:val="16"/>
          <w:szCs w:val="16"/>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Abercrombie &amp; Fitch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Fiscal 2022</w:t>
            </w:r>
          </w:p>
        </w:tc>
        <w:tc>
          <w:tcPr>
            <w:tcW w:w="10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97"/>
        </w:trPr>
        <w:tc>
          <w:tcPr>
            <w:tcW w:w="5140" w:type="dxa"/>
            <w:vAlign w:val="bottom"/>
            <w:tcBorders>
              <w:bottom w:val="single" w:sz="8" w:color="F5F5F5"/>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68"/>
              <w:spacing w:after="0" w:line="197" w:lineRule="exact"/>
              <w:rPr>
                <w:sz w:val="20"/>
                <w:szCs w:val="20"/>
                <w:color w:val="auto"/>
              </w:rPr>
            </w:pPr>
            <w:r>
              <w:rPr>
                <w:rFonts w:ascii="Arial" w:cs="Arial" w:eastAsia="Arial" w:hAnsi="Arial"/>
                <w:sz w:val="14"/>
                <w:szCs w:val="14"/>
                <w:b w:val="1"/>
                <w:bCs w:val="1"/>
                <w:color w:val="auto"/>
              </w:rPr>
              <w:t xml:space="preserve">Americas </w:t>
            </w:r>
            <w:r>
              <w:rPr>
                <w:rFonts w:ascii="Arial" w:cs="Arial" w:eastAsia="Arial" w:hAnsi="Arial"/>
                <w:sz w:val="18"/>
                <w:szCs w:val="18"/>
                <w:b w:val="1"/>
                <w:bCs w:val="1"/>
                <w:color w:val="auto"/>
                <w:vertAlign w:val="superscript"/>
              </w:rPr>
              <w:t>(1)</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EMEA</w:t>
            </w: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APAC</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Total</w:t>
            </w:r>
          </w:p>
        </w:tc>
      </w:tr>
      <w:tr>
        <w:trPr>
          <w:trHeight w:val="196"/>
        </w:trPr>
        <w:tc>
          <w:tcPr>
            <w:tcW w:w="5140" w:type="dxa"/>
            <w:vAlign w:val="bottom"/>
            <w:shd w:val="clear" w:color="auto" w:fill="F5F5F5"/>
          </w:tcPr>
          <w:p>
            <w:pPr>
              <w:ind w:left="20"/>
              <w:spacing w:after="0"/>
              <w:rPr>
                <w:sz w:val="20"/>
                <w:szCs w:val="20"/>
                <w:color w:val="auto"/>
              </w:rPr>
            </w:pPr>
            <w:r>
              <w:rPr>
                <w:rFonts w:ascii="Arial" w:cs="Arial" w:eastAsia="Arial" w:hAnsi="Arial"/>
                <w:sz w:val="14"/>
                <w:szCs w:val="14"/>
                <w:color w:val="auto"/>
              </w:rPr>
              <w:t>Net Sales</w:t>
            </w:r>
          </w:p>
        </w:tc>
        <w:tc>
          <w:tcPr>
            <w:tcW w:w="220" w:type="dxa"/>
            <w:vAlign w:val="bottom"/>
            <w:shd w:val="clear" w:color="auto" w:fill="F5F5F5"/>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2,920,157</w:t>
            </w:r>
          </w:p>
        </w:tc>
        <w:tc>
          <w:tcPr>
            <w:tcW w:w="340" w:type="dxa"/>
            <w:vAlign w:val="bottom"/>
            <w:shd w:val="clear" w:color="auto" w:fill="F5F5F5"/>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658,794</w:t>
            </w:r>
          </w:p>
        </w:tc>
        <w:tc>
          <w:tcPr>
            <w:tcW w:w="500" w:type="dxa"/>
            <w:vAlign w:val="bottom"/>
            <w:shd w:val="clear" w:color="auto" w:fill="F5F5F5"/>
          </w:tcPr>
          <w:p>
            <w:pPr>
              <w:jc w:val="right"/>
              <w:ind w:right="308"/>
              <w:spacing w:after="0"/>
              <w:rPr>
                <w:sz w:val="20"/>
                <w:szCs w:val="20"/>
                <w:color w:val="auto"/>
              </w:rPr>
            </w:pPr>
            <w:r>
              <w:rPr>
                <w:rFonts w:ascii="Arial" w:cs="Arial" w:eastAsia="Arial" w:hAnsi="Arial"/>
                <w:sz w:val="14"/>
                <w:szCs w:val="14"/>
                <w:color w:val="auto"/>
              </w:rPr>
              <w:t>$</w:t>
            </w:r>
          </w:p>
        </w:tc>
        <w:tc>
          <w:tcPr>
            <w:tcW w:w="106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118,800</w:t>
            </w:r>
          </w:p>
        </w:tc>
        <w:tc>
          <w:tcPr>
            <w:tcW w:w="340" w:type="dxa"/>
            <w:vAlign w:val="bottom"/>
            <w:shd w:val="clear" w:color="auto" w:fill="F5F5F5"/>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3,697,751</w:t>
            </w:r>
          </w:p>
        </w:tc>
      </w:tr>
      <w:tr>
        <w:trPr>
          <w:trHeight w:val="198"/>
        </w:trPr>
        <w:tc>
          <w:tcPr>
            <w:tcW w:w="5140" w:type="dxa"/>
            <w:vAlign w:val="bottom"/>
          </w:tcPr>
          <w:p>
            <w:pPr>
              <w:ind w:left="140"/>
              <w:spacing w:after="0"/>
              <w:rPr>
                <w:sz w:val="20"/>
                <w:szCs w:val="20"/>
                <w:color w:val="auto"/>
              </w:rPr>
            </w:pPr>
            <w:r>
              <w:rPr>
                <w:rFonts w:ascii="Arial" w:cs="Arial" w:eastAsia="Arial" w:hAnsi="Arial"/>
                <w:sz w:val="14"/>
                <w:szCs w:val="14"/>
                <w:color w:val="auto"/>
              </w:rPr>
              <w:t>Cost of sales, exclusive of depreciation and amortization</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1,262,429</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287,618</w:t>
            </w:r>
          </w:p>
        </w:tc>
        <w:tc>
          <w:tcPr>
            <w:tcW w:w="50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43,166</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1,593,213</w:t>
            </w:r>
          </w:p>
        </w:tc>
      </w:tr>
      <w:tr>
        <w:trPr>
          <w:trHeight w:val="207"/>
        </w:trPr>
        <w:tc>
          <w:tcPr>
            <w:tcW w:w="5140" w:type="dxa"/>
            <w:vAlign w:val="bottom"/>
            <w:shd w:val="clear" w:color="auto" w:fill="F5F5F5"/>
          </w:tcPr>
          <w:p>
            <w:pPr>
              <w:ind w:left="140"/>
              <w:spacing w:after="0"/>
              <w:rPr>
                <w:sz w:val="20"/>
                <w:szCs w:val="20"/>
                <w:color w:val="auto"/>
              </w:rPr>
            </w:pPr>
            <w:r>
              <w:rPr>
                <w:rFonts w:ascii="Arial" w:cs="Arial" w:eastAsia="Arial" w:hAnsi="Arial"/>
                <w:sz w:val="14"/>
                <w:szCs w:val="14"/>
                <w:color w:val="auto"/>
              </w:rPr>
              <w:t xml:space="preserve">Store occupancy </w:t>
            </w:r>
            <w:r>
              <w:rPr>
                <w:rFonts w:ascii="Arial" w:cs="Arial" w:eastAsia="Arial" w:hAnsi="Arial"/>
                <w:sz w:val="18"/>
                <w:szCs w:val="18"/>
                <w:color w:val="auto"/>
                <w:vertAlign w:val="superscript"/>
              </w:rPr>
              <w:t>(2)</w:t>
            </w:r>
          </w:p>
        </w:tc>
        <w:tc>
          <w:tcPr>
            <w:tcW w:w="220" w:type="dxa"/>
            <w:vAlign w:val="bottom"/>
            <w:shd w:val="clear" w:color="auto" w:fill="F5F5F5"/>
          </w:tcPr>
          <w:p>
            <w:pPr>
              <w:spacing w:after="0"/>
              <w:rPr>
                <w:sz w:val="17"/>
                <w:szCs w:val="17"/>
                <w:color w:val="auto"/>
              </w:rPr>
            </w:pPr>
          </w:p>
        </w:tc>
        <w:tc>
          <w:tcPr>
            <w:tcW w:w="12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299,678</w:t>
            </w:r>
          </w:p>
        </w:tc>
        <w:tc>
          <w:tcPr>
            <w:tcW w:w="340" w:type="dxa"/>
            <w:vAlign w:val="bottom"/>
            <w:shd w:val="clear" w:color="auto" w:fill="F5F5F5"/>
          </w:tcPr>
          <w:p>
            <w:pPr>
              <w:spacing w:after="0"/>
              <w:rPr>
                <w:sz w:val="17"/>
                <w:szCs w:val="17"/>
                <w:color w:val="auto"/>
              </w:rPr>
            </w:pPr>
          </w:p>
        </w:tc>
        <w:tc>
          <w:tcPr>
            <w:tcW w:w="11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105,868</w:t>
            </w:r>
          </w:p>
        </w:tc>
        <w:tc>
          <w:tcPr>
            <w:tcW w:w="500" w:type="dxa"/>
            <w:vAlign w:val="bottom"/>
            <w:shd w:val="clear" w:color="auto" w:fill="F5F5F5"/>
          </w:tcPr>
          <w:p>
            <w:pPr>
              <w:spacing w:after="0"/>
              <w:rPr>
                <w:sz w:val="17"/>
                <w:szCs w:val="17"/>
                <w:color w:val="auto"/>
              </w:rPr>
            </w:pPr>
          </w:p>
        </w:tc>
        <w:tc>
          <w:tcPr>
            <w:tcW w:w="106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39,831</w:t>
            </w:r>
          </w:p>
        </w:tc>
        <w:tc>
          <w:tcPr>
            <w:tcW w:w="340" w:type="dxa"/>
            <w:vAlign w:val="bottom"/>
            <w:shd w:val="clear" w:color="auto" w:fill="F5F5F5"/>
          </w:tcPr>
          <w:p>
            <w:pPr>
              <w:spacing w:after="0"/>
              <w:rPr>
                <w:sz w:val="17"/>
                <w:szCs w:val="17"/>
                <w:color w:val="auto"/>
              </w:rPr>
            </w:pPr>
          </w:p>
        </w:tc>
        <w:tc>
          <w:tcPr>
            <w:tcW w:w="11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445,377</w:t>
            </w:r>
          </w:p>
        </w:tc>
      </w:tr>
      <w:tr>
        <w:trPr>
          <w:trHeight w:val="203"/>
        </w:trPr>
        <w:tc>
          <w:tcPr>
            <w:tcW w:w="5140" w:type="dxa"/>
            <w:vAlign w:val="bottom"/>
          </w:tcPr>
          <w:p>
            <w:pPr>
              <w:ind w:left="140"/>
              <w:spacing w:after="0" w:line="202" w:lineRule="exact"/>
              <w:rPr>
                <w:sz w:val="20"/>
                <w:szCs w:val="20"/>
                <w:color w:val="auto"/>
              </w:rPr>
            </w:pPr>
            <w:r>
              <w:rPr>
                <w:rFonts w:ascii="Arial" w:cs="Arial" w:eastAsia="Arial" w:hAnsi="Arial"/>
                <w:sz w:val="14"/>
                <w:szCs w:val="14"/>
                <w:color w:val="auto"/>
              </w:rPr>
              <w:t xml:space="preserve">Fulfillment </w:t>
            </w:r>
            <w:r>
              <w:rPr>
                <w:rFonts w:ascii="Arial" w:cs="Arial" w:eastAsia="Arial" w:hAnsi="Arial"/>
                <w:sz w:val="18"/>
                <w:szCs w:val="18"/>
                <w:color w:val="auto"/>
                <w:vertAlign w:val="superscript"/>
              </w:rPr>
              <w:t>(2)</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356,506</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69,466</w:t>
            </w:r>
          </w:p>
        </w:tc>
        <w:tc>
          <w:tcPr>
            <w:tcW w:w="50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18,563</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444,535</w:t>
            </w:r>
          </w:p>
        </w:tc>
      </w:tr>
      <w:tr>
        <w:trPr>
          <w:trHeight w:val="203"/>
        </w:trPr>
        <w:tc>
          <w:tcPr>
            <w:tcW w:w="5140" w:type="dxa"/>
            <w:vAlign w:val="bottom"/>
            <w:shd w:val="clear" w:color="auto" w:fill="F5F5F5"/>
          </w:tcPr>
          <w:p>
            <w:pPr>
              <w:ind w:left="140"/>
              <w:spacing w:after="0" w:line="202" w:lineRule="exact"/>
              <w:rPr>
                <w:sz w:val="20"/>
                <w:szCs w:val="20"/>
                <w:color w:val="auto"/>
              </w:rPr>
            </w:pPr>
            <w:r>
              <w:rPr>
                <w:rFonts w:ascii="Arial" w:cs="Arial" w:eastAsia="Arial" w:hAnsi="Arial"/>
                <w:sz w:val="14"/>
                <w:szCs w:val="14"/>
                <w:color w:val="auto"/>
              </w:rPr>
              <w:t xml:space="preserve">Other expense </w:t>
            </w:r>
            <w:r>
              <w:rPr>
                <w:rFonts w:ascii="Arial" w:cs="Arial" w:eastAsia="Arial" w:hAnsi="Arial"/>
                <w:sz w:val="18"/>
                <w:szCs w:val="18"/>
                <w:color w:val="auto"/>
                <w:vertAlign w:val="superscript"/>
              </w:rPr>
              <w:t>(3)</w:t>
            </w:r>
          </w:p>
        </w:tc>
        <w:tc>
          <w:tcPr>
            <w:tcW w:w="220" w:type="dxa"/>
            <w:vAlign w:val="bottom"/>
            <w:tcBorders>
              <w:bottom w:val="single" w:sz="8" w:color="auto"/>
            </w:tcBorders>
            <w:shd w:val="clear" w:color="auto" w:fill="F5F5F5"/>
          </w:tcPr>
          <w:p>
            <w:pPr>
              <w:spacing w:after="0"/>
              <w:rPr>
                <w:sz w:val="17"/>
                <w:szCs w:val="17"/>
                <w:color w:val="auto"/>
              </w:rPr>
            </w:pPr>
          </w:p>
        </w:tc>
        <w:tc>
          <w:tcPr>
            <w:tcW w:w="128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518,099</w:t>
            </w:r>
          </w:p>
        </w:tc>
        <w:tc>
          <w:tcPr>
            <w:tcW w:w="340" w:type="dxa"/>
            <w:vAlign w:val="bottom"/>
            <w:tcBorders>
              <w:bottom w:val="single" w:sz="8" w:color="auto"/>
            </w:tcBorders>
            <w:shd w:val="clear" w:color="auto" w:fill="F5F5F5"/>
          </w:tcPr>
          <w:p>
            <w:pPr>
              <w:spacing w:after="0"/>
              <w:rPr>
                <w:sz w:val="17"/>
                <w:szCs w:val="17"/>
                <w:color w:val="auto"/>
              </w:rPr>
            </w:pPr>
          </w:p>
        </w:tc>
        <w:tc>
          <w:tcPr>
            <w:tcW w:w="118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150,657</w:t>
            </w:r>
          </w:p>
        </w:tc>
        <w:tc>
          <w:tcPr>
            <w:tcW w:w="500" w:type="dxa"/>
            <w:vAlign w:val="bottom"/>
            <w:tcBorders>
              <w:bottom w:val="single" w:sz="8" w:color="auto"/>
            </w:tcBorders>
            <w:shd w:val="clear" w:color="auto" w:fill="F5F5F5"/>
          </w:tcPr>
          <w:p>
            <w:pPr>
              <w:spacing w:after="0"/>
              <w:rPr>
                <w:sz w:val="17"/>
                <w:szCs w:val="17"/>
                <w:color w:val="auto"/>
              </w:rPr>
            </w:pPr>
          </w:p>
        </w:tc>
        <w:tc>
          <w:tcPr>
            <w:tcW w:w="1060" w:type="dxa"/>
            <w:vAlign w:val="bottom"/>
            <w:tcBorders>
              <w:bottom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46,347</w:t>
            </w:r>
          </w:p>
        </w:tc>
        <w:tc>
          <w:tcPr>
            <w:tcW w:w="340" w:type="dxa"/>
            <w:vAlign w:val="bottom"/>
            <w:tcBorders>
              <w:bottom w:val="single" w:sz="8" w:color="auto"/>
            </w:tcBorders>
            <w:shd w:val="clear" w:color="auto" w:fill="F5F5F5"/>
          </w:tcPr>
          <w:p>
            <w:pPr>
              <w:spacing w:after="0"/>
              <w:rPr>
                <w:sz w:val="17"/>
                <w:szCs w:val="17"/>
                <w:color w:val="auto"/>
              </w:rPr>
            </w:pPr>
          </w:p>
        </w:tc>
        <w:tc>
          <w:tcPr>
            <w:tcW w:w="118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715,103</w:t>
            </w:r>
          </w:p>
        </w:tc>
      </w:tr>
      <w:tr>
        <w:trPr>
          <w:trHeight w:val="192"/>
        </w:trPr>
        <w:tc>
          <w:tcPr>
            <w:tcW w:w="5140" w:type="dxa"/>
            <w:vAlign w:val="bottom"/>
          </w:tcPr>
          <w:p>
            <w:pPr>
              <w:ind w:left="20"/>
              <w:spacing w:after="0"/>
              <w:rPr>
                <w:sz w:val="20"/>
                <w:szCs w:val="20"/>
                <w:color w:val="auto"/>
              </w:rPr>
            </w:pPr>
            <w:r>
              <w:rPr>
                <w:rFonts w:ascii="Arial" w:cs="Arial" w:eastAsia="Arial" w:hAnsi="Arial"/>
                <w:sz w:val="14"/>
                <w:szCs w:val="14"/>
                <w:color w:val="auto"/>
              </w:rPr>
              <w:t>Segment income (loss)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483,445</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45,185</w:t>
            </w:r>
          </w:p>
        </w:tc>
        <w:tc>
          <w:tcPr>
            <w:tcW w:w="5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(29,107)</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499,523</w:t>
            </w:r>
          </w:p>
        </w:tc>
      </w:tr>
      <w:tr>
        <w:trPr>
          <w:trHeight w:val="207"/>
        </w:trPr>
        <w:tc>
          <w:tcPr>
            <w:tcW w:w="5140" w:type="dxa"/>
            <w:vAlign w:val="bottom"/>
            <w:shd w:val="clear" w:color="auto" w:fill="F5F5F5"/>
          </w:tcPr>
          <w:p>
            <w:pPr>
              <w:ind w:left="20"/>
              <w:spacing w:after="0"/>
              <w:rPr>
                <w:sz w:val="20"/>
                <w:szCs w:val="20"/>
                <w:color w:val="auto"/>
              </w:rPr>
            </w:pPr>
            <w:r>
              <w:rPr>
                <w:rFonts w:ascii="Arial" w:cs="Arial" w:eastAsia="Arial" w:hAnsi="Arial"/>
                <w:sz w:val="14"/>
                <w:szCs w:val="14"/>
                <w:color w:val="auto"/>
              </w:rPr>
              <w:t>Operating loss not attributed to segments:</w:t>
            </w:r>
          </w:p>
        </w:tc>
        <w:tc>
          <w:tcPr>
            <w:tcW w:w="220" w:type="dxa"/>
            <w:vAlign w:val="bottom"/>
            <w:shd w:val="clear" w:color="auto" w:fill="F5F5F5"/>
          </w:tcPr>
          <w:p>
            <w:pPr>
              <w:spacing w:after="0"/>
              <w:rPr>
                <w:sz w:val="17"/>
                <w:szCs w:val="17"/>
                <w:color w:val="auto"/>
              </w:rPr>
            </w:pPr>
          </w:p>
        </w:tc>
        <w:tc>
          <w:tcPr>
            <w:tcW w:w="1280" w:type="dxa"/>
            <w:vAlign w:val="bottom"/>
            <w:shd w:val="clear" w:color="auto" w:fill="F5F5F5"/>
          </w:tcPr>
          <w:p>
            <w:pPr>
              <w:spacing w:after="0"/>
              <w:rPr>
                <w:sz w:val="17"/>
                <w:szCs w:val="17"/>
                <w:color w:val="auto"/>
              </w:rPr>
            </w:pPr>
          </w:p>
        </w:tc>
        <w:tc>
          <w:tcPr>
            <w:tcW w:w="340" w:type="dxa"/>
            <w:vAlign w:val="bottom"/>
            <w:shd w:val="clear" w:color="auto" w:fill="F5F5F5"/>
          </w:tcPr>
          <w:p>
            <w:pPr>
              <w:spacing w:after="0"/>
              <w:rPr>
                <w:sz w:val="17"/>
                <w:szCs w:val="17"/>
                <w:color w:val="auto"/>
              </w:rPr>
            </w:pPr>
          </w:p>
        </w:tc>
        <w:tc>
          <w:tcPr>
            <w:tcW w:w="1180" w:type="dxa"/>
            <w:vAlign w:val="bottom"/>
            <w:shd w:val="clear" w:color="auto" w:fill="F5F5F5"/>
          </w:tcPr>
          <w:p>
            <w:pPr>
              <w:spacing w:after="0"/>
              <w:rPr>
                <w:sz w:val="17"/>
                <w:szCs w:val="17"/>
                <w:color w:val="auto"/>
              </w:rPr>
            </w:pPr>
          </w:p>
        </w:tc>
        <w:tc>
          <w:tcPr>
            <w:tcW w:w="500" w:type="dxa"/>
            <w:vAlign w:val="bottom"/>
            <w:shd w:val="clear" w:color="auto" w:fill="F5F5F5"/>
          </w:tcPr>
          <w:p>
            <w:pPr>
              <w:spacing w:after="0"/>
              <w:rPr>
                <w:sz w:val="17"/>
                <w:szCs w:val="17"/>
                <w:color w:val="auto"/>
              </w:rPr>
            </w:pPr>
          </w:p>
        </w:tc>
        <w:tc>
          <w:tcPr>
            <w:tcW w:w="1060" w:type="dxa"/>
            <w:vAlign w:val="bottom"/>
            <w:shd w:val="clear" w:color="auto" w:fill="F5F5F5"/>
          </w:tcPr>
          <w:p>
            <w:pPr>
              <w:spacing w:after="0"/>
              <w:rPr>
                <w:sz w:val="17"/>
                <w:szCs w:val="17"/>
                <w:color w:val="auto"/>
              </w:rPr>
            </w:pPr>
          </w:p>
        </w:tc>
        <w:tc>
          <w:tcPr>
            <w:tcW w:w="340" w:type="dxa"/>
            <w:vAlign w:val="bottom"/>
            <w:shd w:val="clear" w:color="auto" w:fill="F5F5F5"/>
          </w:tcPr>
          <w:p>
            <w:pPr>
              <w:spacing w:after="0"/>
              <w:rPr>
                <w:sz w:val="17"/>
                <w:szCs w:val="17"/>
                <w:color w:val="auto"/>
              </w:rPr>
            </w:pPr>
          </w:p>
        </w:tc>
        <w:tc>
          <w:tcPr>
            <w:tcW w:w="1180" w:type="dxa"/>
            <w:vAlign w:val="bottom"/>
            <w:shd w:val="clear" w:color="auto" w:fill="F5F5F5"/>
          </w:tcPr>
          <w:p>
            <w:pPr>
              <w:spacing w:after="0"/>
              <w:rPr>
                <w:sz w:val="17"/>
                <w:szCs w:val="17"/>
                <w:color w:val="auto"/>
              </w:rPr>
            </w:pPr>
          </w:p>
        </w:tc>
      </w:tr>
      <w:tr>
        <w:trPr>
          <w:trHeight w:val="203"/>
        </w:trPr>
        <w:tc>
          <w:tcPr>
            <w:tcW w:w="5140" w:type="dxa"/>
            <w:vAlign w:val="bottom"/>
            <w:tcBorders>
              <w:bottom w:val="single" w:sz="8" w:color="F5F5F5"/>
            </w:tcBorders>
          </w:tcPr>
          <w:p>
            <w:pPr>
              <w:ind w:left="140"/>
              <w:spacing w:after="0" w:line="202" w:lineRule="exact"/>
              <w:rPr>
                <w:sz w:val="20"/>
                <w:szCs w:val="20"/>
                <w:color w:val="auto"/>
              </w:rPr>
            </w:pPr>
            <w:r>
              <w:rPr>
                <w:rFonts w:ascii="Arial" w:cs="Arial" w:eastAsia="Arial" w:hAnsi="Arial"/>
                <w:sz w:val="14"/>
                <w:szCs w:val="14"/>
                <w:color w:val="auto"/>
              </w:rPr>
              <w:t xml:space="preserve">Corporate and other unallocated expenses </w:t>
            </w:r>
            <w:r>
              <w:rPr>
                <w:rFonts w:ascii="Arial" w:cs="Arial" w:eastAsia="Arial" w:hAnsi="Arial"/>
                <w:sz w:val="18"/>
                <w:szCs w:val="18"/>
                <w:color w:val="auto"/>
                <w:vertAlign w:val="superscript"/>
              </w:rPr>
              <w:t>(4)</w:t>
            </w:r>
          </w:p>
        </w:tc>
        <w:tc>
          <w:tcPr>
            <w:tcW w:w="220" w:type="dxa"/>
            <w:vAlign w:val="bottom"/>
            <w:tcBorders>
              <w:bottom w:val="single" w:sz="8" w:color="F5F5F5"/>
            </w:tcBorders>
          </w:tcPr>
          <w:p>
            <w:pPr>
              <w:spacing w:after="0"/>
              <w:rPr>
                <w:sz w:val="17"/>
                <w:szCs w:val="17"/>
                <w:color w:val="auto"/>
              </w:rPr>
            </w:pPr>
          </w:p>
        </w:tc>
        <w:tc>
          <w:tcPr>
            <w:tcW w:w="1280" w:type="dxa"/>
            <w:vAlign w:val="bottom"/>
            <w:tcBorders>
              <w:bottom w:val="single" w:sz="8" w:color="F5F5F5"/>
            </w:tcBorders>
          </w:tcPr>
          <w:p>
            <w:pPr>
              <w:spacing w:after="0"/>
              <w:rPr>
                <w:sz w:val="17"/>
                <w:szCs w:val="17"/>
                <w:color w:val="auto"/>
              </w:rPr>
            </w:pPr>
          </w:p>
        </w:tc>
        <w:tc>
          <w:tcPr>
            <w:tcW w:w="340" w:type="dxa"/>
            <w:vAlign w:val="bottom"/>
            <w:tcBorders>
              <w:bottom w:val="single" w:sz="8" w:color="F5F5F5"/>
            </w:tcBorders>
          </w:tcPr>
          <w:p>
            <w:pPr>
              <w:spacing w:after="0"/>
              <w:rPr>
                <w:sz w:val="17"/>
                <w:szCs w:val="17"/>
                <w:color w:val="auto"/>
              </w:rPr>
            </w:pPr>
          </w:p>
        </w:tc>
        <w:tc>
          <w:tcPr>
            <w:tcW w:w="1180" w:type="dxa"/>
            <w:vAlign w:val="bottom"/>
            <w:tcBorders>
              <w:bottom w:val="single" w:sz="8" w:color="F5F5F5"/>
            </w:tcBorders>
          </w:tcPr>
          <w:p>
            <w:pPr>
              <w:spacing w:after="0"/>
              <w:rPr>
                <w:sz w:val="17"/>
                <w:szCs w:val="17"/>
                <w:color w:val="auto"/>
              </w:rPr>
            </w:pPr>
          </w:p>
        </w:tc>
        <w:tc>
          <w:tcPr>
            <w:tcW w:w="500" w:type="dxa"/>
            <w:vAlign w:val="bottom"/>
            <w:tcBorders>
              <w:bottom w:val="single" w:sz="8" w:color="F5F5F5"/>
            </w:tcBorders>
          </w:tcPr>
          <w:p>
            <w:pPr>
              <w:spacing w:after="0"/>
              <w:rPr>
                <w:sz w:val="17"/>
                <w:szCs w:val="17"/>
                <w:color w:val="auto"/>
              </w:rPr>
            </w:pPr>
          </w:p>
        </w:tc>
        <w:tc>
          <w:tcPr>
            <w:tcW w:w="1060" w:type="dxa"/>
            <w:vAlign w:val="bottom"/>
            <w:tcBorders>
              <w:bottom w:val="single" w:sz="8" w:color="F5F5F5"/>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(406,875)</w:t>
            </w:r>
          </w:p>
        </w:tc>
      </w:tr>
      <w:tr>
        <w:trPr>
          <w:trHeight w:val="196"/>
        </w:trPr>
        <w:tc>
          <w:tcPr>
            <w:tcW w:w="5140" w:type="dxa"/>
            <w:vAlign w:val="bottom"/>
            <w:shd w:val="clear" w:color="auto" w:fill="F5F5F5"/>
          </w:tcPr>
          <w:p>
            <w:pPr>
              <w:ind w:left="20"/>
              <w:spacing w:after="0"/>
              <w:rPr>
                <w:sz w:val="20"/>
                <w:szCs w:val="20"/>
                <w:color w:val="auto"/>
              </w:rPr>
            </w:pPr>
            <w:r>
              <w:rPr>
                <w:rFonts w:ascii="Arial" w:cs="Arial" w:eastAsia="Arial" w:hAnsi="Arial"/>
                <w:sz w:val="14"/>
                <w:szCs w:val="14"/>
                <w:color w:val="auto"/>
              </w:rPr>
              <w:t>Operating income</w:t>
            </w:r>
          </w:p>
        </w:tc>
        <w:tc>
          <w:tcPr>
            <w:tcW w:w="220" w:type="dxa"/>
            <w:vAlign w:val="bottom"/>
            <w:shd w:val="clear" w:color="auto" w:fill="F5F5F5"/>
          </w:tcPr>
          <w:p>
            <w:pPr>
              <w:spacing w:after="0"/>
              <w:rPr>
                <w:sz w:val="17"/>
                <w:szCs w:val="17"/>
                <w:color w:val="auto"/>
              </w:rPr>
            </w:pPr>
          </w:p>
        </w:tc>
        <w:tc>
          <w:tcPr>
            <w:tcW w:w="1280" w:type="dxa"/>
            <w:vAlign w:val="bottom"/>
            <w:shd w:val="clear" w:color="auto" w:fill="F5F5F5"/>
          </w:tcPr>
          <w:p>
            <w:pPr>
              <w:spacing w:after="0"/>
              <w:rPr>
                <w:sz w:val="17"/>
                <w:szCs w:val="17"/>
                <w:color w:val="auto"/>
              </w:rPr>
            </w:pPr>
          </w:p>
        </w:tc>
        <w:tc>
          <w:tcPr>
            <w:tcW w:w="340" w:type="dxa"/>
            <w:vAlign w:val="bottom"/>
            <w:shd w:val="clear" w:color="auto" w:fill="F5F5F5"/>
          </w:tcPr>
          <w:p>
            <w:pPr>
              <w:spacing w:after="0"/>
              <w:rPr>
                <w:sz w:val="17"/>
                <w:szCs w:val="17"/>
                <w:color w:val="auto"/>
              </w:rPr>
            </w:pPr>
          </w:p>
        </w:tc>
        <w:tc>
          <w:tcPr>
            <w:tcW w:w="1180" w:type="dxa"/>
            <w:vAlign w:val="bottom"/>
            <w:shd w:val="clear" w:color="auto" w:fill="F5F5F5"/>
          </w:tcPr>
          <w:p>
            <w:pPr>
              <w:spacing w:after="0"/>
              <w:rPr>
                <w:sz w:val="17"/>
                <w:szCs w:val="17"/>
                <w:color w:val="auto"/>
              </w:rPr>
            </w:pPr>
          </w:p>
        </w:tc>
        <w:tc>
          <w:tcPr>
            <w:tcW w:w="500" w:type="dxa"/>
            <w:vAlign w:val="bottom"/>
            <w:shd w:val="clear" w:color="auto" w:fill="F5F5F5"/>
          </w:tcPr>
          <w:p>
            <w:pPr>
              <w:spacing w:after="0"/>
              <w:rPr>
                <w:sz w:val="17"/>
                <w:szCs w:val="17"/>
                <w:color w:val="auto"/>
              </w:rPr>
            </w:pPr>
          </w:p>
        </w:tc>
        <w:tc>
          <w:tcPr>
            <w:tcW w:w="1060" w:type="dxa"/>
            <w:vAlign w:val="bottom"/>
            <w:shd w:val="clear" w:color="auto" w:fill="F5F5F5"/>
          </w:tcPr>
          <w:p>
            <w:pPr>
              <w:spacing w:after="0"/>
              <w:rPr>
                <w:sz w:val="17"/>
                <w:szCs w:val="17"/>
                <w:color w:val="auto"/>
              </w:rPr>
            </w:pPr>
          </w:p>
        </w:tc>
        <w:tc>
          <w:tcPr>
            <w:tcW w:w="340" w:type="dxa"/>
            <w:vAlign w:val="bottom"/>
            <w:shd w:val="clear" w:color="auto" w:fill="F5F5F5"/>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92,648</w:t>
            </w:r>
          </w:p>
        </w:tc>
      </w:tr>
      <w:tr>
        <w:trPr>
          <w:trHeight w:val="199"/>
        </w:trPr>
        <w:tc>
          <w:tcPr>
            <w:tcW w:w="5140" w:type="dxa"/>
            <w:vAlign w:val="bottom"/>
            <w:tcBorders>
              <w:bottom w:val="single" w:sz="8" w:color="F5F5F5"/>
            </w:tcBorders>
          </w:tcPr>
          <w:p>
            <w:pPr>
              <w:ind w:left="20"/>
              <w:spacing w:after="0"/>
              <w:rPr>
                <w:sz w:val="20"/>
                <w:szCs w:val="20"/>
                <w:color w:val="auto"/>
              </w:rPr>
            </w:pPr>
            <w:r>
              <w:rPr>
                <w:rFonts w:ascii="Arial" w:cs="Arial" w:eastAsia="Arial" w:hAnsi="Arial"/>
                <w:sz w:val="14"/>
                <w:szCs w:val="14"/>
                <w:color w:val="auto"/>
              </w:rPr>
              <w:t>Interest expense (income), Net</w:t>
            </w:r>
          </w:p>
        </w:tc>
        <w:tc>
          <w:tcPr>
            <w:tcW w:w="220" w:type="dxa"/>
            <w:vAlign w:val="bottom"/>
            <w:tcBorders>
              <w:bottom w:val="single" w:sz="8" w:color="F5F5F5"/>
            </w:tcBorders>
          </w:tcPr>
          <w:p>
            <w:pPr>
              <w:spacing w:after="0"/>
              <w:rPr>
                <w:sz w:val="17"/>
                <w:szCs w:val="17"/>
                <w:color w:val="auto"/>
              </w:rPr>
            </w:pPr>
          </w:p>
        </w:tc>
        <w:tc>
          <w:tcPr>
            <w:tcW w:w="1280" w:type="dxa"/>
            <w:vAlign w:val="bottom"/>
            <w:tcBorders>
              <w:bottom w:val="single" w:sz="8" w:color="F5F5F5"/>
            </w:tcBorders>
          </w:tcPr>
          <w:p>
            <w:pPr>
              <w:spacing w:after="0"/>
              <w:rPr>
                <w:sz w:val="17"/>
                <w:szCs w:val="17"/>
                <w:color w:val="auto"/>
              </w:rPr>
            </w:pPr>
          </w:p>
        </w:tc>
        <w:tc>
          <w:tcPr>
            <w:tcW w:w="340" w:type="dxa"/>
            <w:vAlign w:val="bottom"/>
            <w:tcBorders>
              <w:bottom w:val="single" w:sz="8" w:color="F5F5F5"/>
            </w:tcBorders>
          </w:tcPr>
          <w:p>
            <w:pPr>
              <w:spacing w:after="0"/>
              <w:rPr>
                <w:sz w:val="17"/>
                <w:szCs w:val="17"/>
                <w:color w:val="auto"/>
              </w:rPr>
            </w:pPr>
          </w:p>
        </w:tc>
        <w:tc>
          <w:tcPr>
            <w:tcW w:w="1180" w:type="dxa"/>
            <w:vAlign w:val="bottom"/>
            <w:tcBorders>
              <w:bottom w:val="single" w:sz="8" w:color="F5F5F5"/>
            </w:tcBorders>
          </w:tcPr>
          <w:p>
            <w:pPr>
              <w:spacing w:after="0"/>
              <w:rPr>
                <w:sz w:val="17"/>
                <w:szCs w:val="17"/>
                <w:color w:val="auto"/>
              </w:rPr>
            </w:pPr>
          </w:p>
        </w:tc>
        <w:tc>
          <w:tcPr>
            <w:tcW w:w="500" w:type="dxa"/>
            <w:vAlign w:val="bottom"/>
            <w:tcBorders>
              <w:bottom w:val="single" w:sz="8" w:color="F5F5F5"/>
            </w:tcBorders>
          </w:tcPr>
          <w:p>
            <w:pPr>
              <w:spacing w:after="0"/>
              <w:rPr>
                <w:sz w:val="17"/>
                <w:szCs w:val="17"/>
                <w:color w:val="auto"/>
              </w:rPr>
            </w:pPr>
          </w:p>
        </w:tc>
        <w:tc>
          <w:tcPr>
            <w:tcW w:w="1060" w:type="dxa"/>
            <w:vAlign w:val="bottom"/>
            <w:tcBorders>
              <w:bottom w:val="single" w:sz="8" w:color="F5F5F5"/>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25,632</w:t>
            </w:r>
          </w:p>
        </w:tc>
      </w:tr>
      <w:tr>
        <w:trPr>
          <w:trHeight w:val="200"/>
        </w:trPr>
        <w:tc>
          <w:tcPr>
            <w:tcW w:w="5140" w:type="dxa"/>
            <w:vAlign w:val="bottom"/>
            <w:shd w:val="clear" w:color="auto" w:fill="F5F5F5"/>
          </w:tcPr>
          <w:p>
            <w:pPr>
              <w:ind w:left="20"/>
              <w:spacing w:after="0"/>
              <w:rPr>
                <w:sz w:val="20"/>
                <w:szCs w:val="20"/>
                <w:color w:val="auto"/>
              </w:rPr>
            </w:pPr>
            <w:r>
              <w:rPr>
                <w:rFonts w:ascii="Arial" w:cs="Arial" w:eastAsia="Arial" w:hAnsi="Arial"/>
                <w:sz w:val="14"/>
                <w:szCs w:val="14"/>
                <w:color w:val="auto"/>
              </w:rPr>
              <w:t>Income before taxes</w:t>
            </w:r>
          </w:p>
        </w:tc>
        <w:tc>
          <w:tcPr>
            <w:tcW w:w="220" w:type="dxa"/>
            <w:vAlign w:val="bottom"/>
            <w:shd w:val="clear" w:color="auto" w:fill="F5F5F5"/>
          </w:tcPr>
          <w:p>
            <w:pPr>
              <w:spacing w:after="0"/>
              <w:rPr>
                <w:sz w:val="17"/>
                <w:szCs w:val="17"/>
                <w:color w:val="auto"/>
              </w:rPr>
            </w:pPr>
          </w:p>
        </w:tc>
        <w:tc>
          <w:tcPr>
            <w:tcW w:w="1280" w:type="dxa"/>
            <w:vAlign w:val="bottom"/>
            <w:shd w:val="clear" w:color="auto" w:fill="F5F5F5"/>
          </w:tcPr>
          <w:p>
            <w:pPr>
              <w:spacing w:after="0"/>
              <w:rPr>
                <w:sz w:val="17"/>
                <w:szCs w:val="17"/>
                <w:color w:val="auto"/>
              </w:rPr>
            </w:pPr>
          </w:p>
        </w:tc>
        <w:tc>
          <w:tcPr>
            <w:tcW w:w="340" w:type="dxa"/>
            <w:vAlign w:val="bottom"/>
            <w:shd w:val="clear" w:color="auto" w:fill="F5F5F5"/>
          </w:tcPr>
          <w:p>
            <w:pPr>
              <w:spacing w:after="0"/>
              <w:rPr>
                <w:sz w:val="17"/>
                <w:szCs w:val="17"/>
                <w:color w:val="auto"/>
              </w:rPr>
            </w:pPr>
          </w:p>
        </w:tc>
        <w:tc>
          <w:tcPr>
            <w:tcW w:w="1180" w:type="dxa"/>
            <w:vAlign w:val="bottom"/>
            <w:shd w:val="clear" w:color="auto" w:fill="F5F5F5"/>
          </w:tcPr>
          <w:p>
            <w:pPr>
              <w:spacing w:after="0"/>
              <w:rPr>
                <w:sz w:val="17"/>
                <w:szCs w:val="17"/>
                <w:color w:val="auto"/>
              </w:rPr>
            </w:pPr>
          </w:p>
        </w:tc>
        <w:tc>
          <w:tcPr>
            <w:tcW w:w="500" w:type="dxa"/>
            <w:vAlign w:val="bottom"/>
            <w:shd w:val="clear" w:color="auto" w:fill="F5F5F5"/>
          </w:tcPr>
          <w:p>
            <w:pPr>
              <w:spacing w:after="0"/>
              <w:rPr>
                <w:sz w:val="17"/>
                <w:szCs w:val="17"/>
                <w:color w:val="auto"/>
              </w:rPr>
            </w:pPr>
          </w:p>
        </w:tc>
        <w:tc>
          <w:tcPr>
            <w:tcW w:w="1060" w:type="dxa"/>
            <w:vAlign w:val="bottom"/>
            <w:shd w:val="clear" w:color="auto" w:fill="F5F5F5"/>
          </w:tcPr>
          <w:p>
            <w:pPr>
              <w:spacing w:after="0"/>
              <w:rPr>
                <w:sz w:val="17"/>
                <w:szCs w:val="17"/>
                <w:color w:val="auto"/>
              </w:rPr>
            </w:pPr>
          </w:p>
        </w:tc>
        <w:tc>
          <w:tcPr>
            <w:tcW w:w="340" w:type="dxa"/>
            <w:vAlign w:val="bottom"/>
            <w:shd w:val="clear" w:color="auto" w:fill="F5F5F5"/>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67,016</w:t>
            </w:r>
          </w:p>
        </w:tc>
      </w:tr>
      <w:tr>
        <w:trPr>
          <w:trHeight w:val="108"/>
        </w:trPr>
        <w:tc>
          <w:tcPr>
            <w:tcW w:w="5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203"/>
        </w:trPr>
        <w:tc>
          <w:tcPr>
            <w:tcW w:w="5140" w:type="dxa"/>
            <w:vAlign w:val="bottom"/>
            <w:shd w:val="clear" w:color="auto" w:fill="F5F5F5"/>
          </w:tcPr>
          <w:p>
            <w:pPr>
              <w:ind w:left="20"/>
              <w:spacing w:after="0"/>
              <w:rPr>
                <w:sz w:val="20"/>
                <w:szCs w:val="20"/>
                <w:color w:val="auto"/>
              </w:rPr>
            </w:pPr>
            <w:r>
              <w:rPr>
                <w:rFonts w:ascii="Arial" w:cs="Arial" w:eastAsia="Arial" w:hAnsi="Arial"/>
                <w:sz w:val="14"/>
                <w:szCs w:val="14"/>
                <w:color w:val="auto"/>
              </w:rPr>
              <w:t>Depreciation and amortization</w:t>
            </w:r>
          </w:p>
        </w:tc>
        <w:tc>
          <w:tcPr>
            <w:tcW w:w="220" w:type="dxa"/>
            <w:vAlign w:val="bottom"/>
            <w:shd w:val="clear" w:color="auto" w:fill="F5F5F5"/>
          </w:tcPr>
          <w:p>
            <w:pPr>
              <w:spacing w:after="0"/>
              <w:rPr>
                <w:sz w:val="17"/>
                <w:szCs w:val="17"/>
                <w:color w:val="auto"/>
              </w:rPr>
            </w:pPr>
          </w:p>
        </w:tc>
        <w:tc>
          <w:tcPr>
            <w:tcW w:w="12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75,231</w:t>
            </w:r>
          </w:p>
        </w:tc>
        <w:tc>
          <w:tcPr>
            <w:tcW w:w="340" w:type="dxa"/>
            <w:vAlign w:val="bottom"/>
            <w:shd w:val="clear" w:color="auto" w:fill="F5F5F5"/>
          </w:tcPr>
          <w:p>
            <w:pPr>
              <w:spacing w:after="0"/>
              <w:rPr>
                <w:sz w:val="17"/>
                <w:szCs w:val="17"/>
                <w:color w:val="auto"/>
              </w:rPr>
            </w:pPr>
          </w:p>
        </w:tc>
        <w:tc>
          <w:tcPr>
            <w:tcW w:w="11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21,497</w:t>
            </w:r>
          </w:p>
        </w:tc>
        <w:tc>
          <w:tcPr>
            <w:tcW w:w="500" w:type="dxa"/>
            <w:vAlign w:val="bottom"/>
            <w:shd w:val="clear" w:color="auto" w:fill="F5F5F5"/>
          </w:tcPr>
          <w:p>
            <w:pPr>
              <w:spacing w:after="0"/>
              <w:rPr>
                <w:sz w:val="17"/>
                <w:szCs w:val="17"/>
                <w:color w:val="auto"/>
              </w:rPr>
            </w:pPr>
          </w:p>
        </w:tc>
        <w:tc>
          <w:tcPr>
            <w:tcW w:w="106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8,123</w:t>
            </w:r>
          </w:p>
        </w:tc>
        <w:tc>
          <w:tcPr>
            <w:tcW w:w="340" w:type="dxa"/>
            <w:vAlign w:val="bottom"/>
            <w:shd w:val="clear" w:color="auto" w:fill="F5F5F5"/>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104,851</w:t>
            </w:r>
          </w:p>
        </w:tc>
      </w:tr>
      <w:tr>
        <w:trPr>
          <w:trHeight w:val="198"/>
        </w:trPr>
        <w:tc>
          <w:tcPr>
            <w:tcW w:w="5140" w:type="dxa"/>
            <w:vAlign w:val="bottom"/>
            <w:tcBorders>
              <w:bottom w:val="single" w:sz="8" w:color="F5F5F5"/>
            </w:tcBorders>
          </w:tcPr>
          <w:p>
            <w:pPr>
              <w:ind w:left="140"/>
              <w:spacing w:after="0"/>
              <w:rPr>
                <w:sz w:val="20"/>
                <w:szCs w:val="20"/>
                <w:color w:val="auto"/>
              </w:rPr>
            </w:pPr>
            <w:r>
              <w:rPr>
                <w:rFonts w:ascii="Arial" w:cs="Arial" w:eastAsia="Arial" w:hAnsi="Arial"/>
                <w:sz w:val="14"/>
                <w:szCs w:val="14"/>
                <w:color w:val="auto"/>
              </w:rPr>
              <w:t>Depreciation and amortization not attributed to segments</w:t>
            </w:r>
          </w:p>
        </w:tc>
        <w:tc>
          <w:tcPr>
            <w:tcW w:w="220" w:type="dxa"/>
            <w:vAlign w:val="bottom"/>
            <w:tcBorders>
              <w:bottom w:val="single" w:sz="8" w:color="F5F5F5"/>
            </w:tcBorders>
          </w:tcPr>
          <w:p>
            <w:pPr>
              <w:spacing w:after="0"/>
              <w:rPr>
                <w:sz w:val="17"/>
                <w:szCs w:val="17"/>
                <w:color w:val="auto"/>
              </w:rPr>
            </w:pPr>
          </w:p>
        </w:tc>
        <w:tc>
          <w:tcPr>
            <w:tcW w:w="1280" w:type="dxa"/>
            <w:vAlign w:val="bottom"/>
            <w:tcBorders>
              <w:bottom w:val="single" w:sz="8" w:color="F5F5F5"/>
            </w:tcBorders>
          </w:tcPr>
          <w:p>
            <w:pPr>
              <w:spacing w:after="0"/>
              <w:rPr>
                <w:sz w:val="17"/>
                <w:szCs w:val="17"/>
                <w:color w:val="auto"/>
              </w:rPr>
            </w:pPr>
          </w:p>
        </w:tc>
        <w:tc>
          <w:tcPr>
            <w:tcW w:w="340" w:type="dxa"/>
            <w:vAlign w:val="bottom"/>
            <w:tcBorders>
              <w:bottom w:val="single" w:sz="8" w:color="F5F5F5"/>
            </w:tcBorders>
          </w:tcPr>
          <w:p>
            <w:pPr>
              <w:spacing w:after="0"/>
              <w:rPr>
                <w:sz w:val="17"/>
                <w:szCs w:val="17"/>
                <w:color w:val="auto"/>
              </w:rPr>
            </w:pPr>
          </w:p>
        </w:tc>
        <w:tc>
          <w:tcPr>
            <w:tcW w:w="1180" w:type="dxa"/>
            <w:vAlign w:val="bottom"/>
            <w:tcBorders>
              <w:bottom w:val="single" w:sz="8" w:color="F5F5F5"/>
            </w:tcBorders>
          </w:tcPr>
          <w:p>
            <w:pPr>
              <w:spacing w:after="0"/>
              <w:rPr>
                <w:sz w:val="17"/>
                <w:szCs w:val="17"/>
                <w:color w:val="auto"/>
              </w:rPr>
            </w:pPr>
          </w:p>
        </w:tc>
        <w:tc>
          <w:tcPr>
            <w:tcW w:w="500" w:type="dxa"/>
            <w:vAlign w:val="bottom"/>
            <w:tcBorders>
              <w:bottom w:val="single" w:sz="8" w:color="F5F5F5"/>
            </w:tcBorders>
          </w:tcPr>
          <w:p>
            <w:pPr>
              <w:spacing w:after="0"/>
              <w:rPr>
                <w:sz w:val="17"/>
                <w:szCs w:val="17"/>
                <w:color w:val="auto"/>
              </w:rPr>
            </w:pPr>
          </w:p>
        </w:tc>
        <w:tc>
          <w:tcPr>
            <w:tcW w:w="1060" w:type="dxa"/>
            <w:vAlign w:val="bottom"/>
            <w:tcBorders>
              <w:bottom w:val="single" w:sz="8" w:color="F5F5F5"/>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27,392</w:t>
            </w:r>
          </w:p>
        </w:tc>
      </w:tr>
      <w:tr>
        <w:trPr>
          <w:trHeight w:val="200"/>
        </w:trPr>
        <w:tc>
          <w:tcPr>
            <w:tcW w:w="5140" w:type="dxa"/>
            <w:vAlign w:val="bottom"/>
            <w:shd w:val="clear" w:color="auto" w:fill="F5F5F5"/>
          </w:tcPr>
          <w:p>
            <w:pPr>
              <w:ind w:left="20"/>
              <w:spacing w:after="0"/>
              <w:rPr>
                <w:sz w:val="20"/>
                <w:szCs w:val="20"/>
                <w:color w:val="auto"/>
              </w:rPr>
            </w:pPr>
            <w:r>
              <w:rPr>
                <w:rFonts w:ascii="Arial" w:cs="Arial" w:eastAsia="Arial" w:hAnsi="Arial"/>
                <w:sz w:val="14"/>
                <w:szCs w:val="14"/>
                <w:color w:val="auto"/>
              </w:rPr>
              <w:t>Total depreciation and amortization</w:t>
            </w:r>
          </w:p>
        </w:tc>
        <w:tc>
          <w:tcPr>
            <w:tcW w:w="220" w:type="dxa"/>
            <w:vAlign w:val="bottom"/>
            <w:shd w:val="clear" w:color="auto" w:fill="F5F5F5"/>
          </w:tcPr>
          <w:p>
            <w:pPr>
              <w:spacing w:after="0"/>
              <w:rPr>
                <w:sz w:val="17"/>
                <w:szCs w:val="17"/>
                <w:color w:val="auto"/>
              </w:rPr>
            </w:pPr>
          </w:p>
        </w:tc>
        <w:tc>
          <w:tcPr>
            <w:tcW w:w="1280" w:type="dxa"/>
            <w:vAlign w:val="bottom"/>
            <w:shd w:val="clear" w:color="auto" w:fill="F5F5F5"/>
          </w:tcPr>
          <w:p>
            <w:pPr>
              <w:spacing w:after="0"/>
              <w:rPr>
                <w:sz w:val="17"/>
                <w:szCs w:val="17"/>
                <w:color w:val="auto"/>
              </w:rPr>
            </w:pPr>
          </w:p>
        </w:tc>
        <w:tc>
          <w:tcPr>
            <w:tcW w:w="340" w:type="dxa"/>
            <w:vAlign w:val="bottom"/>
            <w:shd w:val="clear" w:color="auto" w:fill="F5F5F5"/>
          </w:tcPr>
          <w:p>
            <w:pPr>
              <w:spacing w:after="0"/>
              <w:rPr>
                <w:sz w:val="17"/>
                <w:szCs w:val="17"/>
                <w:color w:val="auto"/>
              </w:rPr>
            </w:pPr>
          </w:p>
        </w:tc>
        <w:tc>
          <w:tcPr>
            <w:tcW w:w="1180" w:type="dxa"/>
            <w:vAlign w:val="bottom"/>
            <w:shd w:val="clear" w:color="auto" w:fill="F5F5F5"/>
          </w:tcPr>
          <w:p>
            <w:pPr>
              <w:spacing w:after="0"/>
              <w:rPr>
                <w:sz w:val="17"/>
                <w:szCs w:val="17"/>
                <w:color w:val="auto"/>
              </w:rPr>
            </w:pPr>
          </w:p>
        </w:tc>
        <w:tc>
          <w:tcPr>
            <w:tcW w:w="500" w:type="dxa"/>
            <w:vAlign w:val="bottom"/>
            <w:shd w:val="clear" w:color="auto" w:fill="F5F5F5"/>
          </w:tcPr>
          <w:p>
            <w:pPr>
              <w:spacing w:after="0"/>
              <w:rPr>
                <w:sz w:val="17"/>
                <w:szCs w:val="17"/>
                <w:color w:val="auto"/>
              </w:rPr>
            </w:pPr>
          </w:p>
        </w:tc>
        <w:tc>
          <w:tcPr>
            <w:tcW w:w="1060" w:type="dxa"/>
            <w:vAlign w:val="bottom"/>
            <w:shd w:val="clear" w:color="auto" w:fill="F5F5F5"/>
          </w:tcPr>
          <w:p>
            <w:pPr>
              <w:spacing w:after="0"/>
              <w:rPr>
                <w:sz w:val="17"/>
                <w:szCs w:val="17"/>
                <w:color w:val="auto"/>
              </w:rPr>
            </w:pPr>
          </w:p>
        </w:tc>
        <w:tc>
          <w:tcPr>
            <w:tcW w:w="340" w:type="dxa"/>
            <w:vAlign w:val="bottom"/>
            <w:shd w:val="clear" w:color="auto" w:fill="F5F5F5"/>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132,243</w:t>
            </w:r>
          </w:p>
        </w:tc>
      </w:tr>
      <w:tr>
        <w:trPr>
          <w:trHeight w:val="108"/>
        </w:trPr>
        <w:tc>
          <w:tcPr>
            <w:tcW w:w="5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203"/>
        </w:trPr>
        <w:tc>
          <w:tcPr>
            <w:tcW w:w="5140" w:type="dxa"/>
            <w:vAlign w:val="bottom"/>
            <w:shd w:val="clear" w:color="auto" w:fill="F5F5F5"/>
          </w:tcPr>
          <w:p>
            <w:pPr>
              <w:ind w:left="20"/>
              <w:spacing w:after="0"/>
              <w:rPr>
                <w:sz w:val="20"/>
                <w:szCs w:val="20"/>
                <w:color w:val="auto"/>
              </w:rPr>
            </w:pPr>
            <w:r>
              <w:rPr>
                <w:rFonts w:ascii="Arial" w:cs="Arial" w:eastAsia="Arial" w:hAnsi="Arial"/>
                <w:sz w:val="14"/>
                <w:szCs w:val="14"/>
                <w:color w:val="auto"/>
              </w:rPr>
              <w:t>Capital expenditures</w:t>
            </w:r>
          </w:p>
        </w:tc>
        <w:tc>
          <w:tcPr>
            <w:tcW w:w="220" w:type="dxa"/>
            <w:vAlign w:val="bottom"/>
            <w:shd w:val="clear" w:color="auto" w:fill="F5F5F5"/>
          </w:tcPr>
          <w:p>
            <w:pPr>
              <w:spacing w:after="0"/>
              <w:rPr>
                <w:sz w:val="17"/>
                <w:szCs w:val="17"/>
                <w:color w:val="auto"/>
              </w:rPr>
            </w:pPr>
          </w:p>
        </w:tc>
        <w:tc>
          <w:tcPr>
            <w:tcW w:w="12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102,030</w:t>
            </w:r>
          </w:p>
        </w:tc>
        <w:tc>
          <w:tcPr>
            <w:tcW w:w="340" w:type="dxa"/>
            <w:vAlign w:val="bottom"/>
            <w:shd w:val="clear" w:color="auto" w:fill="F5F5F5"/>
          </w:tcPr>
          <w:p>
            <w:pPr>
              <w:spacing w:after="0"/>
              <w:rPr>
                <w:sz w:val="17"/>
                <w:szCs w:val="17"/>
                <w:color w:val="auto"/>
              </w:rPr>
            </w:pPr>
          </w:p>
        </w:tc>
        <w:tc>
          <w:tcPr>
            <w:tcW w:w="11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32,206</w:t>
            </w:r>
          </w:p>
        </w:tc>
        <w:tc>
          <w:tcPr>
            <w:tcW w:w="500" w:type="dxa"/>
            <w:vAlign w:val="bottom"/>
            <w:shd w:val="clear" w:color="auto" w:fill="F5F5F5"/>
          </w:tcPr>
          <w:p>
            <w:pPr>
              <w:spacing w:after="0"/>
              <w:rPr>
                <w:sz w:val="17"/>
                <w:szCs w:val="17"/>
                <w:color w:val="auto"/>
              </w:rPr>
            </w:pPr>
          </w:p>
        </w:tc>
        <w:tc>
          <w:tcPr>
            <w:tcW w:w="106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1,249</w:t>
            </w:r>
          </w:p>
        </w:tc>
        <w:tc>
          <w:tcPr>
            <w:tcW w:w="340" w:type="dxa"/>
            <w:vAlign w:val="bottom"/>
            <w:shd w:val="clear" w:color="auto" w:fill="F5F5F5"/>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135,485</w:t>
            </w:r>
          </w:p>
        </w:tc>
      </w:tr>
      <w:tr>
        <w:trPr>
          <w:trHeight w:val="198"/>
        </w:trPr>
        <w:tc>
          <w:tcPr>
            <w:tcW w:w="5140" w:type="dxa"/>
            <w:vAlign w:val="bottom"/>
            <w:tcBorders>
              <w:bottom w:val="single" w:sz="8" w:color="F5F5F5"/>
            </w:tcBorders>
          </w:tcPr>
          <w:p>
            <w:pPr>
              <w:ind w:left="140"/>
              <w:spacing w:after="0"/>
              <w:rPr>
                <w:sz w:val="20"/>
                <w:szCs w:val="20"/>
                <w:color w:val="auto"/>
              </w:rPr>
            </w:pPr>
            <w:r>
              <w:rPr>
                <w:rFonts w:ascii="Arial" w:cs="Arial" w:eastAsia="Arial" w:hAnsi="Arial"/>
                <w:sz w:val="14"/>
                <w:szCs w:val="14"/>
                <w:color w:val="auto"/>
              </w:rPr>
              <w:t>Capital expenditures not attributed to segments</w:t>
            </w:r>
          </w:p>
        </w:tc>
        <w:tc>
          <w:tcPr>
            <w:tcW w:w="220" w:type="dxa"/>
            <w:vAlign w:val="bottom"/>
            <w:tcBorders>
              <w:bottom w:val="single" w:sz="8" w:color="F5F5F5"/>
            </w:tcBorders>
          </w:tcPr>
          <w:p>
            <w:pPr>
              <w:spacing w:after="0"/>
              <w:rPr>
                <w:sz w:val="17"/>
                <w:szCs w:val="17"/>
                <w:color w:val="auto"/>
              </w:rPr>
            </w:pPr>
          </w:p>
        </w:tc>
        <w:tc>
          <w:tcPr>
            <w:tcW w:w="1280" w:type="dxa"/>
            <w:vAlign w:val="bottom"/>
            <w:tcBorders>
              <w:bottom w:val="single" w:sz="8" w:color="F5F5F5"/>
            </w:tcBorders>
          </w:tcPr>
          <w:p>
            <w:pPr>
              <w:spacing w:after="0"/>
              <w:rPr>
                <w:sz w:val="17"/>
                <w:szCs w:val="17"/>
                <w:color w:val="auto"/>
              </w:rPr>
            </w:pPr>
          </w:p>
        </w:tc>
        <w:tc>
          <w:tcPr>
            <w:tcW w:w="340" w:type="dxa"/>
            <w:vAlign w:val="bottom"/>
            <w:tcBorders>
              <w:bottom w:val="single" w:sz="8" w:color="F5F5F5"/>
            </w:tcBorders>
          </w:tcPr>
          <w:p>
            <w:pPr>
              <w:spacing w:after="0"/>
              <w:rPr>
                <w:sz w:val="17"/>
                <w:szCs w:val="17"/>
                <w:color w:val="auto"/>
              </w:rPr>
            </w:pPr>
          </w:p>
        </w:tc>
        <w:tc>
          <w:tcPr>
            <w:tcW w:w="1180" w:type="dxa"/>
            <w:vAlign w:val="bottom"/>
            <w:tcBorders>
              <w:bottom w:val="single" w:sz="8" w:color="F5F5F5"/>
            </w:tcBorders>
          </w:tcPr>
          <w:p>
            <w:pPr>
              <w:spacing w:after="0"/>
              <w:rPr>
                <w:sz w:val="17"/>
                <w:szCs w:val="17"/>
                <w:color w:val="auto"/>
              </w:rPr>
            </w:pPr>
          </w:p>
        </w:tc>
        <w:tc>
          <w:tcPr>
            <w:tcW w:w="500" w:type="dxa"/>
            <w:vAlign w:val="bottom"/>
            <w:tcBorders>
              <w:bottom w:val="single" w:sz="8" w:color="F5F5F5"/>
            </w:tcBorders>
          </w:tcPr>
          <w:p>
            <w:pPr>
              <w:spacing w:after="0"/>
              <w:rPr>
                <w:sz w:val="17"/>
                <w:szCs w:val="17"/>
                <w:color w:val="auto"/>
              </w:rPr>
            </w:pPr>
          </w:p>
        </w:tc>
        <w:tc>
          <w:tcPr>
            <w:tcW w:w="1060" w:type="dxa"/>
            <w:vAlign w:val="bottom"/>
            <w:tcBorders>
              <w:bottom w:val="single" w:sz="8" w:color="F5F5F5"/>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29,081</w:t>
            </w:r>
          </w:p>
        </w:tc>
      </w:tr>
      <w:tr>
        <w:trPr>
          <w:trHeight w:val="225"/>
        </w:trPr>
        <w:tc>
          <w:tcPr>
            <w:tcW w:w="5140" w:type="dxa"/>
            <w:vAlign w:val="bottom"/>
            <w:tcBorders>
              <w:bottom w:val="single" w:sz="8" w:color="F5F5F5"/>
            </w:tcBorders>
            <w:shd w:val="clear" w:color="auto" w:fill="F5F5F5"/>
          </w:tcPr>
          <w:p>
            <w:pPr>
              <w:ind w:left="20"/>
              <w:spacing w:after="0"/>
              <w:rPr>
                <w:sz w:val="20"/>
                <w:szCs w:val="20"/>
                <w:color w:val="auto"/>
              </w:rPr>
            </w:pPr>
            <w:r>
              <w:rPr>
                <w:rFonts w:ascii="Arial" w:cs="Arial" w:eastAsia="Arial" w:hAnsi="Arial"/>
                <w:sz w:val="14"/>
                <w:szCs w:val="14"/>
                <w:color w:val="auto"/>
              </w:rPr>
              <w:t>Total capital expenditures</w:t>
            </w:r>
          </w:p>
        </w:tc>
        <w:tc>
          <w:tcPr>
            <w:tcW w:w="220" w:type="dxa"/>
            <w:vAlign w:val="bottom"/>
            <w:tcBorders>
              <w:bottom w:val="single" w:sz="8" w:color="F5F5F5"/>
            </w:tcBorders>
            <w:shd w:val="clear" w:color="auto" w:fill="F5F5F5"/>
          </w:tcPr>
          <w:p>
            <w:pPr>
              <w:spacing w:after="0"/>
              <w:rPr>
                <w:sz w:val="19"/>
                <w:szCs w:val="19"/>
                <w:color w:val="auto"/>
              </w:rPr>
            </w:pPr>
          </w:p>
        </w:tc>
        <w:tc>
          <w:tcPr>
            <w:tcW w:w="1280" w:type="dxa"/>
            <w:vAlign w:val="bottom"/>
            <w:tcBorders>
              <w:bottom w:val="single" w:sz="8" w:color="F5F5F5"/>
            </w:tcBorders>
            <w:shd w:val="clear" w:color="auto" w:fill="F5F5F5"/>
          </w:tcPr>
          <w:p>
            <w:pPr>
              <w:spacing w:after="0"/>
              <w:rPr>
                <w:sz w:val="19"/>
                <w:szCs w:val="19"/>
                <w:color w:val="auto"/>
              </w:rPr>
            </w:pPr>
          </w:p>
        </w:tc>
        <w:tc>
          <w:tcPr>
            <w:tcW w:w="340" w:type="dxa"/>
            <w:vAlign w:val="bottom"/>
            <w:tcBorders>
              <w:bottom w:val="single" w:sz="8" w:color="F5F5F5"/>
            </w:tcBorders>
            <w:shd w:val="clear" w:color="auto" w:fill="F5F5F5"/>
          </w:tcPr>
          <w:p>
            <w:pPr>
              <w:spacing w:after="0"/>
              <w:rPr>
                <w:sz w:val="19"/>
                <w:szCs w:val="19"/>
                <w:color w:val="auto"/>
              </w:rPr>
            </w:pPr>
          </w:p>
        </w:tc>
        <w:tc>
          <w:tcPr>
            <w:tcW w:w="1180" w:type="dxa"/>
            <w:vAlign w:val="bottom"/>
            <w:tcBorders>
              <w:bottom w:val="single" w:sz="8" w:color="F5F5F5"/>
            </w:tcBorders>
            <w:shd w:val="clear" w:color="auto" w:fill="F5F5F5"/>
          </w:tcPr>
          <w:p>
            <w:pPr>
              <w:spacing w:after="0"/>
              <w:rPr>
                <w:sz w:val="19"/>
                <w:szCs w:val="19"/>
                <w:color w:val="auto"/>
              </w:rPr>
            </w:pPr>
          </w:p>
        </w:tc>
        <w:tc>
          <w:tcPr>
            <w:tcW w:w="500" w:type="dxa"/>
            <w:vAlign w:val="bottom"/>
            <w:tcBorders>
              <w:bottom w:val="single" w:sz="8" w:color="F5F5F5"/>
            </w:tcBorders>
            <w:shd w:val="clear" w:color="auto" w:fill="F5F5F5"/>
          </w:tcPr>
          <w:p>
            <w:pPr>
              <w:spacing w:after="0"/>
              <w:rPr>
                <w:sz w:val="19"/>
                <w:szCs w:val="19"/>
                <w:color w:val="auto"/>
              </w:rPr>
            </w:pPr>
          </w:p>
        </w:tc>
        <w:tc>
          <w:tcPr>
            <w:tcW w:w="1060" w:type="dxa"/>
            <w:vAlign w:val="bottom"/>
            <w:tcBorders>
              <w:bottom w:val="single" w:sz="8" w:color="F5F5F5"/>
            </w:tcBorders>
            <w:shd w:val="clear" w:color="auto" w:fill="F5F5F5"/>
          </w:tcPr>
          <w:p>
            <w:pPr>
              <w:spacing w:after="0"/>
              <w:rPr>
                <w:sz w:val="19"/>
                <w:szCs w:val="19"/>
                <w:color w:val="auto"/>
              </w:rPr>
            </w:pPr>
          </w:p>
        </w:tc>
        <w:tc>
          <w:tcPr>
            <w:tcW w:w="340" w:type="dxa"/>
            <w:vAlign w:val="bottom"/>
            <w:tcBorders>
              <w:bottom w:val="single" w:sz="8" w:color="auto"/>
            </w:tcBorders>
            <w:shd w:val="clear" w:color="auto" w:fill="F5F5F5"/>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164,566</w:t>
            </w:r>
          </w:p>
        </w:tc>
      </w:tr>
      <w:tr>
        <w:trPr>
          <w:trHeight w:val="20"/>
        </w:trPr>
        <w:tc>
          <w:tcPr>
            <w:tcW w:w="5140" w:type="dxa"/>
            <w:vAlign w:val="bottom"/>
            <w:tcBorders>
              <w:top w:val="single" w:sz="8" w:color="F5F5F5"/>
            </w:tcBorders>
          </w:tcPr>
          <w:p>
            <w:pPr>
              <w:spacing w:after="0" w:line="20" w:lineRule="exact"/>
              <w:rPr>
                <w:sz w:val="1"/>
                <w:szCs w:val="1"/>
                <w:color w:val="auto"/>
              </w:rPr>
            </w:pPr>
          </w:p>
        </w:tc>
        <w:tc>
          <w:tcPr>
            <w:tcW w:w="220" w:type="dxa"/>
            <w:vAlign w:val="bottom"/>
            <w:tcBorders>
              <w:top w:val="single" w:sz="8" w:color="F5F5F5"/>
            </w:tcBorders>
          </w:tcPr>
          <w:p>
            <w:pPr>
              <w:spacing w:after="0" w:line="20" w:lineRule="exact"/>
              <w:rPr>
                <w:sz w:val="1"/>
                <w:szCs w:val="1"/>
                <w:color w:val="auto"/>
              </w:rPr>
            </w:pPr>
          </w:p>
        </w:tc>
        <w:tc>
          <w:tcPr>
            <w:tcW w:w="1280" w:type="dxa"/>
            <w:vAlign w:val="bottom"/>
            <w:tcBorders>
              <w:top w:val="single" w:sz="8" w:color="F5F5F5"/>
            </w:tcBorders>
          </w:tcPr>
          <w:p>
            <w:pPr>
              <w:spacing w:after="0" w:line="20" w:lineRule="exact"/>
              <w:rPr>
                <w:sz w:val="1"/>
                <w:szCs w:val="1"/>
                <w:color w:val="auto"/>
              </w:rPr>
            </w:pPr>
          </w:p>
        </w:tc>
        <w:tc>
          <w:tcPr>
            <w:tcW w:w="340" w:type="dxa"/>
            <w:vAlign w:val="bottom"/>
            <w:tcBorders>
              <w:top w:val="single" w:sz="8" w:color="F5F5F5"/>
            </w:tcBorders>
          </w:tcPr>
          <w:p>
            <w:pPr>
              <w:spacing w:after="0" w:line="20" w:lineRule="exact"/>
              <w:rPr>
                <w:sz w:val="1"/>
                <w:szCs w:val="1"/>
                <w:color w:val="auto"/>
              </w:rPr>
            </w:pPr>
          </w:p>
        </w:tc>
        <w:tc>
          <w:tcPr>
            <w:tcW w:w="1180" w:type="dxa"/>
            <w:vAlign w:val="bottom"/>
            <w:tcBorders>
              <w:top w:val="single" w:sz="8" w:color="F5F5F5"/>
            </w:tcBorders>
          </w:tcPr>
          <w:p>
            <w:pPr>
              <w:spacing w:after="0" w:line="20" w:lineRule="exact"/>
              <w:rPr>
                <w:sz w:val="1"/>
                <w:szCs w:val="1"/>
                <w:color w:val="auto"/>
              </w:rPr>
            </w:pPr>
          </w:p>
        </w:tc>
        <w:tc>
          <w:tcPr>
            <w:tcW w:w="500" w:type="dxa"/>
            <w:vAlign w:val="bottom"/>
            <w:tcBorders>
              <w:top w:val="single" w:sz="8" w:color="F5F5F5"/>
            </w:tcBorders>
          </w:tcPr>
          <w:p>
            <w:pPr>
              <w:spacing w:after="0" w:line="20" w:lineRule="exact"/>
              <w:rPr>
                <w:sz w:val="1"/>
                <w:szCs w:val="1"/>
                <w:color w:val="auto"/>
              </w:rPr>
            </w:pPr>
          </w:p>
        </w:tc>
        <w:tc>
          <w:tcPr>
            <w:tcW w:w="1060" w:type="dxa"/>
            <w:vAlign w:val="bottom"/>
            <w:tcBorders>
              <w:top w:val="single" w:sz="8" w:color="F5F5F5"/>
            </w:tcBorders>
          </w:tcPr>
          <w:p>
            <w:pPr>
              <w:spacing w:after="0" w:line="20" w:lineRule="exact"/>
              <w:rPr>
                <w:sz w:val="1"/>
                <w:szCs w:val="1"/>
                <w:color w:val="auto"/>
              </w:rPr>
            </w:pPr>
          </w:p>
        </w:tc>
        <w:tc>
          <w:tcPr>
            <w:tcW w:w="340" w:type="dxa"/>
            <w:vAlign w:val="bottom"/>
            <w:tcBorders>
              <w:top w:val="single" w:sz="8" w:color="F5F5F5"/>
              <w:bottom w:val="single" w:sz="8" w:color="auto"/>
            </w:tcBorders>
          </w:tcPr>
          <w:p>
            <w:pPr>
              <w:spacing w:after="0" w:line="20" w:lineRule="exact"/>
              <w:rPr>
                <w:sz w:val="1"/>
                <w:szCs w:val="1"/>
                <w:color w:val="auto"/>
              </w:rPr>
            </w:pPr>
          </w:p>
        </w:tc>
        <w:tc>
          <w:tcPr>
            <w:tcW w:w="1180" w:type="dxa"/>
            <w:vAlign w:val="bottom"/>
            <w:tcBorders>
              <w:top w:val="single" w:sz="8" w:color="F5F5F5"/>
              <w:bottom w:val="single" w:sz="8" w:color="auto"/>
            </w:tcBorders>
          </w:tcPr>
          <w:p>
            <w:pPr>
              <w:spacing w:after="0" w:line="20" w:lineRule="exact"/>
              <w:rPr>
                <w:sz w:val="1"/>
                <w:szCs w:val="1"/>
                <w:color w:val="auto"/>
              </w:rPr>
            </w:pPr>
          </w:p>
        </w:tc>
      </w:tr>
    </w:tbl>
    <w:p>
      <w:pPr>
        <w:spacing w:after="0" w:line="5" w:lineRule="exact"/>
        <w:rPr>
          <w:sz w:val="20"/>
          <w:szCs w:val="20"/>
          <w:color w:val="auto"/>
        </w:rPr>
      </w:pPr>
    </w:p>
    <w:p>
      <w:pPr>
        <w:ind w:left="320" w:hanging="312"/>
        <w:spacing w:after="0"/>
        <w:tabs>
          <w:tab w:leader="none" w:pos="320" w:val="left"/>
        </w:tabs>
        <w:numPr>
          <w:ilvl w:val="0"/>
          <w:numId w:val="76"/>
        </w:numPr>
        <w:rPr>
          <w:rFonts w:ascii="Arial" w:cs="Arial" w:eastAsia="Arial" w:hAnsi="Arial"/>
          <w:sz w:val="19"/>
          <w:szCs w:val="19"/>
          <w:color w:val="auto"/>
          <w:vertAlign w:val="superscript"/>
        </w:rPr>
      </w:pPr>
      <w:r>
        <w:rPr>
          <w:rFonts w:ascii="Arial" w:cs="Arial" w:eastAsia="Arial" w:hAnsi="Arial"/>
          <w:sz w:val="13"/>
          <w:szCs w:val="13"/>
          <w:color w:val="auto"/>
        </w:rPr>
        <w:t>Includes the U.S., Canada, and Latin America. Net sales in the U.S. were $3.8 billion, $3.3 billion, and $2.8 billion in Fiscal 2024, Fiscal 2023, and Fiscal 2022, respectively.</w:t>
      </w:r>
    </w:p>
    <w:p>
      <w:pPr>
        <w:ind w:left="320" w:hanging="312"/>
        <w:spacing w:after="0" w:line="182" w:lineRule="auto"/>
        <w:tabs>
          <w:tab w:leader="none" w:pos="320" w:val="left"/>
        </w:tabs>
        <w:numPr>
          <w:ilvl w:val="0"/>
          <w:numId w:val="76"/>
        </w:numPr>
        <w:rPr>
          <w:rFonts w:ascii="Arial" w:cs="Arial" w:eastAsia="Arial" w:hAnsi="Arial"/>
          <w:sz w:val="17"/>
          <w:szCs w:val="17"/>
          <w:color w:val="auto"/>
          <w:vertAlign w:val="superscript"/>
        </w:rPr>
      </w:pPr>
      <w:r>
        <w:rPr>
          <w:rFonts w:ascii="Arial" w:cs="Arial" w:eastAsia="Arial" w:hAnsi="Arial"/>
          <w:sz w:val="11"/>
          <w:szCs w:val="11"/>
          <w:color w:val="auto"/>
        </w:rPr>
        <w:t>Included in selling expense on the Consolidated Statements of Operations and Comprehensive Income (Loss).</w:t>
      </w:r>
    </w:p>
    <w:p>
      <w:pPr>
        <w:ind w:left="340" w:right="40" w:hanging="332"/>
        <w:spacing w:after="0" w:line="187" w:lineRule="auto"/>
        <w:tabs>
          <w:tab w:leader="none" w:pos="333" w:val="left"/>
        </w:tabs>
        <w:numPr>
          <w:ilvl w:val="0"/>
          <w:numId w:val="76"/>
        </w:numPr>
        <w:rPr>
          <w:rFonts w:ascii="Arial" w:cs="Arial" w:eastAsia="Arial" w:hAnsi="Arial"/>
          <w:sz w:val="18"/>
          <w:szCs w:val="18"/>
          <w:color w:val="auto"/>
          <w:vertAlign w:val="superscript"/>
        </w:rPr>
      </w:pPr>
      <w:r>
        <w:rPr>
          <w:rFonts w:ascii="Arial" w:cs="Arial" w:eastAsia="Arial" w:hAnsi="Arial"/>
          <w:sz w:val="12"/>
          <w:szCs w:val="12"/>
          <w:color w:val="auto"/>
        </w:rPr>
        <w:t>Other expense includes store payroll, other direct store controllable and marketing expenses included in selling expense, as well as allocated and support related expenses included in general and administrative expense on the Consolidated Statements of Operations and Comprehensive Income (Loss).</w:t>
      </w:r>
    </w:p>
    <w:p>
      <w:pPr>
        <w:spacing w:after="0" w:line="1" w:lineRule="exact"/>
        <w:rPr>
          <w:rFonts w:ascii="Arial" w:cs="Arial" w:eastAsia="Arial" w:hAnsi="Arial"/>
          <w:sz w:val="18"/>
          <w:szCs w:val="18"/>
          <w:color w:val="auto"/>
          <w:vertAlign w:val="superscript"/>
        </w:rPr>
      </w:pPr>
    </w:p>
    <w:p>
      <w:pPr>
        <w:ind w:left="320" w:hanging="312"/>
        <w:spacing w:after="0" w:line="189" w:lineRule="auto"/>
        <w:tabs>
          <w:tab w:leader="none" w:pos="320" w:val="left"/>
        </w:tabs>
        <w:numPr>
          <w:ilvl w:val="0"/>
          <w:numId w:val="76"/>
        </w:numPr>
        <w:rPr>
          <w:rFonts w:ascii="Arial" w:cs="Arial" w:eastAsia="Arial" w:hAnsi="Arial"/>
          <w:sz w:val="17"/>
          <w:szCs w:val="17"/>
          <w:color w:val="auto"/>
          <w:vertAlign w:val="superscript"/>
        </w:rPr>
      </w:pPr>
      <w:r>
        <w:rPr>
          <w:rFonts w:ascii="Arial" w:cs="Arial" w:eastAsia="Arial" w:hAnsi="Arial"/>
          <w:sz w:val="11"/>
          <w:szCs w:val="11"/>
          <w:color w:val="auto"/>
        </w:rPr>
        <w:t>Corporate and other unallocated expenses represent corporate overhead expenses that have not been allocated to any segment.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3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6"/>
                <w:szCs w:val="16"/>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color w:val="auto"/>
              </w:rPr>
              <w:t>February 1, 2025</w:t>
            </w:r>
          </w:p>
        </w:tc>
        <w:tc>
          <w:tcPr>
            <w:tcW w:w="280" w:type="dxa"/>
            <w:vAlign w:val="bottom"/>
          </w:tcPr>
          <w:p>
            <w:pPr>
              <w:spacing w:after="0"/>
              <w:rPr>
                <w:sz w:val="16"/>
                <w:szCs w:val="16"/>
                <w:color w:val="auto"/>
              </w:rPr>
            </w:pPr>
          </w:p>
        </w:tc>
        <w:tc>
          <w:tcPr>
            <w:tcW w:w="1400" w:type="dxa"/>
            <w:vAlign w:val="bottom"/>
            <w:gridSpan w:val="2"/>
          </w:tcPr>
          <w:p>
            <w:pPr>
              <w:ind w:left="200"/>
              <w:spacing w:after="0"/>
              <w:rPr>
                <w:sz w:val="20"/>
                <w:szCs w:val="20"/>
                <w:color w:val="auto"/>
              </w:rPr>
            </w:pPr>
            <w:r>
              <w:rPr>
                <w:rFonts w:ascii="Arial" w:cs="Arial" w:eastAsia="Arial" w:hAnsi="Arial"/>
                <w:sz w:val="14"/>
                <w:szCs w:val="14"/>
                <w:color w:val="auto"/>
              </w:rPr>
              <w:t>February 3, 2024</w:t>
            </w: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January 28, 2023</w:t>
            </w:r>
          </w:p>
        </w:tc>
      </w:tr>
      <w:tr>
        <w:trPr>
          <w:trHeight w:val="186"/>
        </w:trPr>
        <w:tc>
          <w:tcPr>
            <w:tcW w:w="6320" w:type="dxa"/>
            <w:vAlign w:val="bottom"/>
            <w:tcBorders>
              <w:top w:val="single" w:sz="8" w:color="F5F5F5"/>
            </w:tcBorders>
            <w:shd w:val="clear" w:color="auto" w:fill="F5F5F5"/>
          </w:tcPr>
          <w:p>
            <w:pPr>
              <w:ind w:left="20"/>
              <w:spacing w:after="0"/>
              <w:rPr>
                <w:sz w:val="20"/>
                <w:szCs w:val="20"/>
                <w:color w:val="auto"/>
              </w:rPr>
            </w:pPr>
            <w:r>
              <w:rPr>
                <w:rFonts w:ascii="Arial" w:cs="Arial" w:eastAsia="Arial" w:hAnsi="Arial"/>
                <w:sz w:val="14"/>
                <w:szCs w:val="14"/>
                <w:color w:val="auto"/>
              </w:rPr>
              <w:t>Assets</w:t>
            </w:r>
          </w:p>
        </w:tc>
        <w:tc>
          <w:tcPr>
            <w:tcW w:w="280" w:type="dxa"/>
            <w:vAlign w:val="bottom"/>
            <w:tcBorders>
              <w:top w:val="single" w:sz="8" w:color="auto"/>
            </w:tcBorders>
            <w:shd w:val="clear" w:color="auto" w:fill="F5F5F5"/>
          </w:tcPr>
          <w:p>
            <w:pPr>
              <w:spacing w:after="0"/>
              <w:rPr>
                <w:sz w:val="16"/>
                <w:szCs w:val="16"/>
                <w:color w:val="auto"/>
              </w:rPr>
            </w:pPr>
          </w:p>
        </w:tc>
        <w:tc>
          <w:tcPr>
            <w:tcW w:w="1300" w:type="dxa"/>
            <w:vAlign w:val="bottom"/>
            <w:tcBorders>
              <w:top w:val="single" w:sz="8" w:color="auto"/>
            </w:tcBorders>
            <w:shd w:val="clear" w:color="auto" w:fill="F5F5F5"/>
          </w:tcPr>
          <w:p>
            <w:pPr>
              <w:spacing w:after="0"/>
              <w:rPr>
                <w:sz w:val="16"/>
                <w:szCs w:val="16"/>
                <w:color w:val="auto"/>
              </w:rPr>
            </w:pPr>
          </w:p>
        </w:tc>
        <w:tc>
          <w:tcPr>
            <w:tcW w:w="80" w:type="dxa"/>
            <w:vAlign w:val="bottom"/>
            <w:tcBorders>
              <w:top w:val="single" w:sz="8" w:color="F5F5F5"/>
            </w:tcBorders>
            <w:shd w:val="clear" w:color="auto" w:fill="F5F5F5"/>
          </w:tcPr>
          <w:p>
            <w:pPr>
              <w:spacing w:after="0"/>
              <w:rPr>
                <w:sz w:val="16"/>
                <w:szCs w:val="16"/>
                <w:color w:val="auto"/>
              </w:rPr>
            </w:pPr>
          </w:p>
        </w:tc>
        <w:tc>
          <w:tcPr>
            <w:tcW w:w="280" w:type="dxa"/>
            <w:vAlign w:val="bottom"/>
            <w:tcBorders>
              <w:top w:val="single" w:sz="8" w:color="auto"/>
            </w:tcBorders>
            <w:shd w:val="clear" w:color="auto" w:fill="F5F5F5"/>
          </w:tcPr>
          <w:p>
            <w:pPr>
              <w:spacing w:after="0"/>
              <w:rPr>
                <w:sz w:val="16"/>
                <w:szCs w:val="16"/>
                <w:color w:val="auto"/>
              </w:rPr>
            </w:pPr>
          </w:p>
        </w:tc>
        <w:tc>
          <w:tcPr>
            <w:tcW w:w="1300" w:type="dxa"/>
            <w:vAlign w:val="bottom"/>
            <w:tcBorders>
              <w:top w:val="single" w:sz="8" w:color="auto"/>
            </w:tcBorders>
            <w:shd w:val="clear" w:color="auto" w:fill="F5F5F5"/>
          </w:tcPr>
          <w:p>
            <w:pPr>
              <w:spacing w:after="0"/>
              <w:rPr>
                <w:sz w:val="16"/>
                <w:szCs w:val="16"/>
                <w:color w:val="auto"/>
              </w:rPr>
            </w:pPr>
          </w:p>
        </w:tc>
        <w:tc>
          <w:tcPr>
            <w:tcW w:w="100" w:type="dxa"/>
            <w:vAlign w:val="bottom"/>
            <w:tcBorders>
              <w:top w:val="single" w:sz="8" w:color="F5F5F5"/>
            </w:tcBorders>
            <w:shd w:val="clear" w:color="auto" w:fill="F5F5F5"/>
          </w:tcPr>
          <w:p>
            <w:pPr>
              <w:spacing w:after="0"/>
              <w:rPr>
                <w:sz w:val="16"/>
                <w:szCs w:val="16"/>
                <w:color w:val="auto"/>
              </w:rPr>
            </w:pPr>
          </w:p>
        </w:tc>
        <w:tc>
          <w:tcPr>
            <w:tcW w:w="280" w:type="dxa"/>
            <w:vAlign w:val="bottom"/>
            <w:tcBorders>
              <w:top w:val="single" w:sz="8" w:color="auto"/>
            </w:tcBorders>
            <w:shd w:val="clear" w:color="auto" w:fill="F5F5F5"/>
          </w:tcPr>
          <w:p>
            <w:pPr>
              <w:spacing w:after="0"/>
              <w:rPr>
                <w:sz w:val="16"/>
                <w:szCs w:val="16"/>
                <w:color w:val="auto"/>
              </w:rPr>
            </w:pPr>
          </w:p>
        </w:tc>
        <w:tc>
          <w:tcPr>
            <w:tcW w:w="1300" w:type="dxa"/>
            <w:vAlign w:val="bottom"/>
            <w:tcBorders>
              <w:top w:val="single" w:sz="8" w:color="auto"/>
            </w:tcBorders>
            <w:shd w:val="clear" w:color="auto" w:fill="F5F5F5"/>
          </w:tcPr>
          <w:p>
            <w:pPr>
              <w:spacing w:after="0"/>
              <w:rPr>
                <w:sz w:val="16"/>
                <w:szCs w:val="16"/>
                <w:color w:val="auto"/>
              </w:rPr>
            </w:pPr>
          </w:p>
        </w:tc>
      </w:tr>
      <w:tr>
        <w:trPr>
          <w:trHeight w:val="199"/>
        </w:trPr>
        <w:tc>
          <w:tcPr>
            <w:tcW w:w="6320" w:type="dxa"/>
            <w:vAlign w:val="bottom"/>
          </w:tcPr>
          <w:p>
            <w:pPr>
              <w:ind w:left="140"/>
              <w:spacing w:after="0"/>
              <w:rPr>
                <w:sz w:val="20"/>
                <w:szCs w:val="20"/>
                <w:color w:val="auto"/>
              </w:rPr>
            </w:pPr>
            <w:r>
              <w:rPr>
                <w:rFonts w:ascii="Arial" w:cs="Arial" w:eastAsia="Arial" w:hAnsi="Arial"/>
                <w:sz w:val="14"/>
                <w:szCs w:val="14"/>
                <w:color w:val="auto"/>
              </w:rPr>
              <w:t>Inventories</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6"/>
        </w:trPr>
        <w:tc>
          <w:tcPr>
            <w:tcW w:w="6320" w:type="dxa"/>
            <w:vAlign w:val="bottom"/>
            <w:shd w:val="clear" w:color="auto" w:fill="F5F5F5"/>
          </w:tcPr>
          <w:p>
            <w:pPr>
              <w:ind w:left="240"/>
              <w:spacing w:after="0"/>
              <w:rPr>
                <w:sz w:val="20"/>
                <w:szCs w:val="20"/>
                <w:color w:val="auto"/>
              </w:rPr>
            </w:pPr>
            <w:r>
              <w:rPr>
                <w:rFonts w:ascii="Arial" w:cs="Arial" w:eastAsia="Arial" w:hAnsi="Arial"/>
                <w:sz w:val="14"/>
                <w:szCs w:val="14"/>
                <w:color w:val="auto"/>
              </w:rPr>
              <w:t>Americas</w:t>
            </w:r>
          </w:p>
        </w:tc>
        <w:tc>
          <w:tcPr>
            <w:tcW w:w="280" w:type="dxa"/>
            <w:vAlign w:val="bottom"/>
            <w:shd w:val="clear" w:color="auto" w:fill="F5F5F5"/>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463,148</w:t>
            </w:r>
          </w:p>
        </w:tc>
        <w:tc>
          <w:tcPr>
            <w:tcW w:w="80" w:type="dxa"/>
            <w:vAlign w:val="bottom"/>
            <w:shd w:val="clear" w:color="auto" w:fill="F5F5F5"/>
          </w:tcPr>
          <w:p>
            <w:pPr>
              <w:spacing w:after="0"/>
              <w:rPr>
                <w:sz w:val="17"/>
                <w:szCs w:val="17"/>
                <w:color w:val="auto"/>
              </w:rPr>
            </w:pPr>
          </w:p>
        </w:tc>
        <w:tc>
          <w:tcPr>
            <w:tcW w:w="280" w:type="dxa"/>
            <w:vAlign w:val="bottom"/>
            <w:shd w:val="clear" w:color="auto" w:fill="F5F5F5"/>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372,371</w:t>
            </w:r>
          </w:p>
        </w:tc>
        <w:tc>
          <w:tcPr>
            <w:tcW w:w="100" w:type="dxa"/>
            <w:vAlign w:val="bottom"/>
            <w:shd w:val="clear" w:color="auto" w:fill="F5F5F5"/>
          </w:tcPr>
          <w:p>
            <w:pPr>
              <w:spacing w:after="0"/>
              <w:rPr>
                <w:sz w:val="17"/>
                <w:szCs w:val="17"/>
                <w:color w:val="auto"/>
              </w:rPr>
            </w:pPr>
          </w:p>
        </w:tc>
        <w:tc>
          <w:tcPr>
            <w:tcW w:w="280" w:type="dxa"/>
            <w:vAlign w:val="bottom"/>
            <w:shd w:val="clear" w:color="auto" w:fill="F5F5F5"/>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404,040</w:t>
            </w:r>
          </w:p>
        </w:tc>
      </w:tr>
      <w:tr>
        <w:trPr>
          <w:trHeight w:val="198"/>
        </w:trPr>
        <w:tc>
          <w:tcPr>
            <w:tcW w:w="6320" w:type="dxa"/>
            <w:vAlign w:val="bottom"/>
          </w:tcPr>
          <w:p>
            <w:pPr>
              <w:ind w:left="240"/>
              <w:spacing w:after="0"/>
              <w:rPr>
                <w:sz w:val="20"/>
                <w:szCs w:val="20"/>
                <w:color w:val="auto"/>
              </w:rPr>
            </w:pPr>
            <w:r>
              <w:rPr>
                <w:rFonts w:ascii="Arial" w:cs="Arial" w:eastAsia="Arial" w:hAnsi="Arial"/>
                <w:sz w:val="14"/>
                <w:szCs w:val="14"/>
                <w:color w:val="auto"/>
              </w:rPr>
              <w:t>EMEA</w:t>
            </w:r>
          </w:p>
        </w:tc>
        <w:tc>
          <w:tcPr>
            <w:tcW w:w="280" w:type="dxa"/>
            <w:vAlign w:val="bottom"/>
          </w:tcPr>
          <w:p>
            <w:pPr>
              <w:spacing w:after="0"/>
              <w:rPr>
                <w:sz w:val="17"/>
                <w:szCs w:val="17"/>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88,728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77,125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80,447</w:t>
            </w:r>
          </w:p>
        </w:tc>
      </w:tr>
      <w:tr>
        <w:trPr>
          <w:trHeight w:val="207"/>
        </w:trPr>
        <w:tc>
          <w:tcPr>
            <w:tcW w:w="6320" w:type="dxa"/>
            <w:vAlign w:val="bottom"/>
            <w:shd w:val="clear" w:color="auto" w:fill="F5F5F5"/>
          </w:tcPr>
          <w:p>
            <w:pPr>
              <w:ind w:left="240"/>
              <w:spacing w:after="0"/>
              <w:rPr>
                <w:sz w:val="20"/>
                <w:szCs w:val="20"/>
                <w:color w:val="auto"/>
              </w:rPr>
            </w:pPr>
            <w:r>
              <w:rPr>
                <w:rFonts w:ascii="Arial" w:cs="Arial" w:eastAsia="Arial" w:hAnsi="Arial"/>
                <w:sz w:val="14"/>
                <w:szCs w:val="14"/>
                <w:color w:val="auto"/>
              </w:rPr>
              <w:t>APAC</w:t>
            </w:r>
          </w:p>
        </w:tc>
        <w:tc>
          <w:tcPr>
            <w:tcW w:w="280" w:type="dxa"/>
            <w:vAlign w:val="bottom"/>
            <w:tcBorders>
              <w:bottom w:val="single" w:sz="8" w:color="auto"/>
            </w:tcBorders>
            <w:shd w:val="clear" w:color="auto" w:fill="F5F5F5"/>
          </w:tcPr>
          <w:p>
            <w:pPr>
              <w:spacing w:after="0"/>
              <w:rPr>
                <w:sz w:val="17"/>
                <w:szCs w:val="17"/>
                <w:color w:val="auto"/>
              </w:rPr>
            </w:pPr>
          </w:p>
        </w:tc>
        <w:tc>
          <w:tcPr>
            <w:tcW w:w="1300" w:type="dxa"/>
            <w:vAlign w:val="bottom"/>
            <w:tcBorders>
              <w:bottom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23,129</w:t>
            </w:r>
          </w:p>
        </w:tc>
        <w:tc>
          <w:tcPr>
            <w:tcW w:w="80" w:type="dxa"/>
            <w:vAlign w:val="bottom"/>
            <w:shd w:val="clear" w:color="auto" w:fill="F5F5F5"/>
          </w:tcPr>
          <w:p>
            <w:pPr>
              <w:spacing w:after="0"/>
              <w:rPr>
                <w:sz w:val="17"/>
                <w:szCs w:val="17"/>
                <w:color w:val="auto"/>
              </w:rPr>
            </w:pPr>
          </w:p>
        </w:tc>
        <w:tc>
          <w:tcPr>
            <w:tcW w:w="280" w:type="dxa"/>
            <w:vAlign w:val="bottom"/>
            <w:tcBorders>
              <w:bottom w:val="single" w:sz="8" w:color="auto"/>
            </w:tcBorders>
            <w:shd w:val="clear" w:color="auto" w:fill="F5F5F5"/>
          </w:tcPr>
          <w:p>
            <w:pPr>
              <w:spacing w:after="0"/>
              <w:rPr>
                <w:sz w:val="17"/>
                <w:szCs w:val="17"/>
                <w:color w:val="auto"/>
              </w:rPr>
            </w:pPr>
          </w:p>
        </w:tc>
        <w:tc>
          <w:tcPr>
            <w:tcW w:w="130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19,970</w:t>
            </w:r>
          </w:p>
        </w:tc>
        <w:tc>
          <w:tcPr>
            <w:tcW w:w="100" w:type="dxa"/>
            <w:vAlign w:val="bottom"/>
            <w:shd w:val="clear" w:color="auto" w:fill="F5F5F5"/>
          </w:tcPr>
          <w:p>
            <w:pPr>
              <w:spacing w:after="0"/>
              <w:rPr>
                <w:sz w:val="17"/>
                <w:szCs w:val="17"/>
                <w:color w:val="auto"/>
              </w:rPr>
            </w:pPr>
          </w:p>
        </w:tc>
        <w:tc>
          <w:tcPr>
            <w:tcW w:w="280" w:type="dxa"/>
            <w:vAlign w:val="bottom"/>
            <w:tcBorders>
              <w:bottom w:val="single" w:sz="8" w:color="auto"/>
            </w:tcBorders>
            <w:shd w:val="clear" w:color="auto" w:fill="F5F5F5"/>
          </w:tcPr>
          <w:p>
            <w:pPr>
              <w:spacing w:after="0"/>
              <w:rPr>
                <w:sz w:val="17"/>
                <w:szCs w:val="17"/>
                <w:color w:val="auto"/>
              </w:rPr>
            </w:pPr>
          </w:p>
        </w:tc>
        <w:tc>
          <w:tcPr>
            <w:tcW w:w="130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21,134</w:t>
            </w:r>
          </w:p>
        </w:tc>
      </w:tr>
      <w:tr>
        <w:trPr>
          <w:trHeight w:val="192"/>
        </w:trPr>
        <w:tc>
          <w:tcPr>
            <w:tcW w:w="6320" w:type="dxa"/>
            <w:vAlign w:val="bottom"/>
          </w:tcPr>
          <w:p>
            <w:pPr>
              <w:ind w:left="140"/>
              <w:spacing w:after="0"/>
              <w:rPr>
                <w:sz w:val="20"/>
                <w:szCs w:val="20"/>
                <w:color w:val="auto"/>
              </w:rPr>
            </w:pPr>
            <w:r>
              <w:rPr>
                <w:rFonts w:ascii="Arial" w:cs="Arial" w:eastAsia="Arial" w:hAnsi="Arial"/>
                <w:sz w:val="14"/>
                <w:szCs w:val="14"/>
                <w:color w:val="auto"/>
              </w:rPr>
              <w:t>Total inventories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575,005</w:t>
            </w:r>
          </w:p>
        </w:tc>
        <w:tc>
          <w:tcPr>
            <w:tcW w:w="8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469,466</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505,621</w:t>
            </w:r>
          </w:p>
        </w:tc>
      </w:tr>
      <w:tr>
        <w:trPr>
          <w:trHeight w:val="203"/>
        </w:trPr>
        <w:tc>
          <w:tcPr>
            <w:tcW w:w="6320" w:type="dxa"/>
            <w:vAlign w:val="bottom"/>
            <w:shd w:val="clear" w:color="auto" w:fill="F5F5F5"/>
          </w:tcPr>
          <w:p>
            <w:pPr>
              <w:ind w:left="20"/>
              <w:spacing w:after="0"/>
              <w:rPr>
                <w:sz w:val="20"/>
                <w:szCs w:val="20"/>
                <w:color w:val="auto"/>
              </w:rPr>
            </w:pPr>
            <w:r>
              <w:rPr>
                <w:rFonts w:ascii="Arial" w:cs="Arial" w:eastAsia="Arial" w:hAnsi="Arial"/>
                <w:sz w:val="14"/>
                <w:szCs w:val="14"/>
                <w:color w:val="auto"/>
              </w:rPr>
              <w:t>Assets not attributed to Segments</w:t>
            </w:r>
          </w:p>
        </w:tc>
        <w:tc>
          <w:tcPr>
            <w:tcW w:w="280" w:type="dxa"/>
            <w:vAlign w:val="bottom"/>
            <w:tcBorders>
              <w:bottom w:val="single" w:sz="8" w:color="auto"/>
            </w:tcBorders>
            <w:shd w:val="clear" w:color="auto" w:fill="F5F5F5"/>
          </w:tcPr>
          <w:p>
            <w:pPr>
              <w:spacing w:after="0"/>
              <w:rPr>
                <w:sz w:val="17"/>
                <w:szCs w:val="17"/>
                <w:color w:val="auto"/>
              </w:rPr>
            </w:pPr>
          </w:p>
        </w:tc>
        <w:tc>
          <w:tcPr>
            <w:tcW w:w="1300" w:type="dxa"/>
            <w:vAlign w:val="bottom"/>
            <w:tcBorders>
              <w:bottom w:val="single" w:sz="8" w:color="auto"/>
            </w:tcBorders>
            <w:shd w:val="clear" w:color="auto" w:fill="F5F5F5"/>
          </w:tcPr>
          <w:p>
            <w:pPr>
              <w:jc w:val="right"/>
              <w:ind w:right="8"/>
              <w:spacing w:after="0"/>
              <w:rPr>
                <w:sz w:val="20"/>
                <w:szCs w:val="20"/>
                <w:color w:val="auto"/>
              </w:rPr>
            </w:pPr>
            <w:r>
              <w:rPr>
                <w:rFonts w:ascii="Arial" w:cs="Arial" w:eastAsia="Arial" w:hAnsi="Arial"/>
                <w:sz w:val="14"/>
                <w:szCs w:val="14"/>
                <w:color w:val="auto"/>
              </w:rPr>
              <w:t>2,724,882</w:t>
            </w:r>
          </w:p>
        </w:tc>
        <w:tc>
          <w:tcPr>
            <w:tcW w:w="80" w:type="dxa"/>
            <w:vAlign w:val="bottom"/>
            <w:shd w:val="clear" w:color="auto" w:fill="F5F5F5"/>
          </w:tcPr>
          <w:p>
            <w:pPr>
              <w:spacing w:after="0"/>
              <w:rPr>
                <w:sz w:val="17"/>
                <w:szCs w:val="17"/>
                <w:color w:val="auto"/>
              </w:rPr>
            </w:pPr>
          </w:p>
        </w:tc>
        <w:tc>
          <w:tcPr>
            <w:tcW w:w="280" w:type="dxa"/>
            <w:vAlign w:val="bottom"/>
            <w:tcBorders>
              <w:bottom w:val="single" w:sz="8" w:color="auto"/>
            </w:tcBorders>
            <w:shd w:val="clear" w:color="auto" w:fill="F5F5F5"/>
          </w:tcPr>
          <w:p>
            <w:pPr>
              <w:spacing w:after="0"/>
              <w:rPr>
                <w:sz w:val="17"/>
                <w:szCs w:val="17"/>
                <w:color w:val="auto"/>
              </w:rPr>
            </w:pPr>
          </w:p>
        </w:tc>
        <w:tc>
          <w:tcPr>
            <w:tcW w:w="130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2,504,767</w:t>
            </w:r>
          </w:p>
        </w:tc>
        <w:tc>
          <w:tcPr>
            <w:tcW w:w="100" w:type="dxa"/>
            <w:vAlign w:val="bottom"/>
            <w:shd w:val="clear" w:color="auto" w:fill="F5F5F5"/>
          </w:tcPr>
          <w:p>
            <w:pPr>
              <w:spacing w:after="0"/>
              <w:rPr>
                <w:sz w:val="17"/>
                <w:szCs w:val="17"/>
                <w:color w:val="auto"/>
              </w:rPr>
            </w:pPr>
          </w:p>
        </w:tc>
        <w:tc>
          <w:tcPr>
            <w:tcW w:w="280" w:type="dxa"/>
            <w:vAlign w:val="bottom"/>
            <w:tcBorders>
              <w:bottom w:val="single" w:sz="8" w:color="auto"/>
            </w:tcBorders>
            <w:shd w:val="clear" w:color="auto" w:fill="F5F5F5"/>
          </w:tcPr>
          <w:p>
            <w:pPr>
              <w:spacing w:after="0"/>
              <w:rPr>
                <w:sz w:val="17"/>
                <w:szCs w:val="17"/>
                <w:color w:val="auto"/>
              </w:rPr>
            </w:pPr>
          </w:p>
        </w:tc>
        <w:tc>
          <w:tcPr>
            <w:tcW w:w="130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2,207,479</w:t>
            </w:r>
          </w:p>
        </w:tc>
      </w:tr>
      <w:tr>
        <w:trPr>
          <w:trHeight w:val="200"/>
        </w:trPr>
        <w:tc>
          <w:tcPr>
            <w:tcW w:w="632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3,299,887</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2,974,233</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2,713,100</w:t>
            </w:r>
          </w:p>
        </w:tc>
      </w:tr>
      <w:tr>
        <w:trPr>
          <w:trHeight w:val="20"/>
        </w:trPr>
        <w:tc>
          <w:tcPr>
            <w:tcW w:w="6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right="20"/>
        <w:spacing w:after="0" w:line="284" w:lineRule="auto"/>
        <w:rPr>
          <w:sz w:val="20"/>
          <w:szCs w:val="20"/>
          <w:color w:val="auto"/>
        </w:rPr>
      </w:pPr>
      <w:r>
        <w:rPr>
          <w:rFonts w:ascii="Arial" w:cs="Arial" w:eastAsia="Arial" w:hAnsi="Arial"/>
          <w:sz w:val="16"/>
          <w:szCs w:val="16"/>
          <w:color w:val="auto"/>
        </w:rPr>
        <w:t>The Company’s long-lived assets and intellectual property, which primarily relates to trademark assets associated with the Company’s global operations, by geographic area as of February 1, 2025, February 3, 2024, and January 28, 2023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3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6"/>
                <w:szCs w:val="16"/>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color w:val="auto"/>
              </w:rPr>
              <w:t>February 1, 2025</w:t>
            </w:r>
          </w:p>
        </w:tc>
        <w:tc>
          <w:tcPr>
            <w:tcW w:w="280" w:type="dxa"/>
            <w:vAlign w:val="bottom"/>
          </w:tcPr>
          <w:p>
            <w:pPr>
              <w:spacing w:after="0"/>
              <w:rPr>
                <w:sz w:val="16"/>
                <w:szCs w:val="16"/>
                <w:color w:val="auto"/>
              </w:rPr>
            </w:pPr>
          </w:p>
        </w:tc>
        <w:tc>
          <w:tcPr>
            <w:tcW w:w="1400" w:type="dxa"/>
            <w:vAlign w:val="bottom"/>
            <w:gridSpan w:val="2"/>
          </w:tcPr>
          <w:p>
            <w:pPr>
              <w:ind w:left="200"/>
              <w:spacing w:after="0"/>
              <w:rPr>
                <w:sz w:val="20"/>
                <w:szCs w:val="20"/>
                <w:color w:val="auto"/>
              </w:rPr>
            </w:pPr>
            <w:r>
              <w:rPr>
                <w:rFonts w:ascii="Arial" w:cs="Arial" w:eastAsia="Arial" w:hAnsi="Arial"/>
                <w:sz w:val="14"/>
                <w:szCs w:val="14"/>
                <w:color w:val="auto"/>
              </w:rPr>
              <w:t>February 3, 2024</w:t>
            </w: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January 28, 2023</w:t>
            </w:r>
          </w:p>
        </w:tc>
      </w:tr>
      <w:tr>
        <w:trPr>
          <w:trHeight w:val="200"/>
        </w:trPr>
        <w:tc>
          <w:tcPr>
            <w:tcW w:w="6300" w:type="dxa"/>
            <w:vAlign w:val="bottom"/>
            <w:tcBorders>
              <w:top w:val="single" w:sz="8" w:color="F5F5F5"/>
            </w:tcBorders>
            <w:shd w:val="clear" w:color="auto" w:fill="F5F5F5"/>
          </w:tcPr>
          <w:p>
            <w:pPr>
              <w:ind w:left="20"/>
              <w:spacing w:after="0" w:line="200" w:lineRule="exact"/>
              <w:rPr>
                <w:sz w:val="20"/>
                <w:szCs w:val="20"/>
                <w:color w:val="auto"/>
              </w:rPr>
            </w:pPr>
            <w:r>
              <w:rPr>
                <w:rFonts w:ascii="Arial" w:cs="Arial" w:eastAsia="Arial" w:hAnsi="Arial"/>
                <w:sz w:val="14"/>
                <w:szCs w:val="14"/>
                <w:color w:val="auto"/>
              </w:rPr>
              <w:t xml:space="preserve">Americas </w:t>
            </w:r>
            <w:r>
              <w:rPr>
                <w:rFonts w:ascii="Arial" w:cs="Arial" w:eastAsia="Arial" w:hAnsi="Arial"/>
                <w:sz w:val="18"/>
                <w:szCs w:val="18"/>
                <w:color w:val="auto"/>
                <w:vertAlign w:val="superscript"/>
              </w:rPr>
              <w:t>(1) (2)</w:t>
            </w:r>
          </w:p>
        </w:tc>
        <w:tc>
          <w:tcPr>
            <w:tcW w:w="280" w:type="dxa"/>
            <w:vAlign w:val="bottom"/>
            <w:tcBorders>
              <w:top w:val="single" w:sz="8" w:color="auto"/>
            </w:tcBorders>
            <w:shd w:val="clear" w:color="auto" w:fill="F5F5F5"/>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991,673</w:t>
            </w:r>
          </w:p>
        </w:tc>
        <w:tc>
          <w:tcPr>
            <w:tcW w:w="100" w:type="dxa"/>
            <w:vAlign w:val="bottom"/>
            <w:tcBorders>
              <w:top w:val="single" w:sz="8" w:color="F5F5F5"/>
            </w:tcBorders>
            <w:shd w:val="clear" w:color="auto" w:fill="F5F5F5"/>
          </w:tcPr>
          <w:p>
            <w:pPr>
              <w:spacing w:after="0"/>
              <w:rPr>
                <w:sz w:val="17"/>
                <w:szCs w:val="17"/>
                <w:color w:val="auto"/>
              </w:rPr>
            </w:pPr>
          </w:p>
        </w:tc>
        <w:tc>
          <w:tcPr>
            <w:tcW w:w="280" w:type="dxa"/>
            <w:vAlign w:val="bottom"/>
            <w:tcBorders>
              <w:top w:val="single" w:sz="8" w:color="auto"/>
            </w:tcBorders>
            <w:shd w:val="clear" w:color="auto" w:fill="F5F5F5"/>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897,315</w:t>
            </w:r>
          </w:p>
        </w:tc>
        <w:tc>
          <w:tcPr>
            <w:tcW w:w="100" w:type="dxa"/>
            <w:vAlign w:val="bottom"/>
            <w:tcBorders>
              <w:top w:val="single" w:sz="8" w:color="F5F5F5"/>
            </w:tcBorders>
            <w:shd w:val="clear" w:color="auto" w:fill="F5F5F5"/>
          </w:tcPr>
          <w:p>
            <w:pPr>
              <w:spacing w:after="0"/>
              <w:rPr>
                <w:sz w:val="17"/>
                <w:szCs w:val="17"/>
                <w:color w:val="auto"/>
              </w:rPr>
            </w:pPr>
          </w:p>
        </w:tc>
        <w:tc>
          <w:tcPr>
            <w:tcW w:w="280" w:type="dxa"/>
            <w:vAlign w:val="bottom"/>
            <w:tcBorders>
              <w:top w:val="single" w:sz="8" w:color="auto"/>
            </w:tcBorders>
            <w:shd w:val="clear" w:color="auto" w:fill="F5F5F5"/>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929,381</w:t>
            </w:r>
          </w:p>
        </w:tc>
      </w:tr>
      <w:tr>
        <w:trPr>
          <w:trHeight w:val="203"/>
        </w:trPr>
        <w:tc>
          <w:tcPr>
            <w:tcW w:w="630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EMEA </w:t>
            </w:r>
            <w:r>
              <w:rPr>
                <w:rFonts w:ascii="Arial" w:cs="Arial" w:eastAsia="Arial" w:hAnsi="Arial"/>
                <w:sz w:val="18"/>
                <w:szCs w:val="18"/>
                <w:color w:val="auto"/>
                <w:vertAlign w:val="superscript"/>
              </w:rPr>
              <w:t>(3)</w:t>
            </w: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292,285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288,967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317,712</w:t>
            </w:r>
          </w:p>
        </w:tc>
      </w:tr>
      <w:tr>
        <w:trPr>
          <w:trHeight w:val="203"/>
        </w:trPr>
        <w:tc>
          <w:tcPr>
            <w:tcW w:w="6300" w:type="dxa"/>
            <w:vAlign w:val="bottom"/>
            <w:shd w:val="clear" w:color="auto" w:fill="F5F5F5"/>
          </w:tcPr>
          <w:p>
            <w:pPr>
              <w:ind w:left="20"/>
              <w:spacing w:after="0"/>
              <w:rPr>
                <w:sz w:val="20"/>
                <w:szCs w:val="20"/>
                <w:color w:val="auto"/>
              </w:rPr>
            </w:pPr>
            <w:r>
              <w:rPr>
                <w:rFonts w:ascii="Arial" w:cs="Arial" w:eastAsia="Arial" w:hAnsi="Arial"/>
                <w:sz w:val="14"/>
                <w:szCs w:val="14"/>
                <w:color w:val="auto"/>
              </w:rPr>
              <w:t>APAC</w:t>
            </w:r>
          </w:p>
        </w:tc>
        <w:tc>
          <w:tcPr>
            <w:tcW w:w="280" w:type="dxa"/>
            <w:vAlign w:val="bottom"/>
            <w:tcBorders>
              <w:bottom w:val="single" w:sz="8" w:color="auto"/>
            </w:tcBorders>
            <w:shd w:val="clear" w:color="auto" w:fill="F5F5F5"/>
          </w:tcPr>
          <w:p>
            <w:pPr>
              <w:spacing w:after="0"/>
              <w:rPr>
                <w:sz w:val="17"/>
                <w:szCs w:val="17"/>
                <w:color w:val="auto"/>
              </w:rPr>
            </w:pPr>
          </w:p>
        </w:tc>
        <w:tc>
          <w:tcPr>
            <w:tcW w:w="130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114,388</w:t>
            </w:r>
          </w:p>
        </w:tc>
        <w:tc>
          <w:tcPr>
            <w:tcW w:w="100" w:type="dxa"/>
            <w:vAlign w:val="bottom"/>
            <w:shd w:val="clear" w:color="auto" w:fill="F5F5F5"/>
          </w:tcPr>
          <w:p>
            <w:pPr>
              <w:spacing w:after="0"/>
              <w:rPr>
                <w:sz w:val="17"/>
                <w:szCs w:val="17"/>
                <w:color w:val="auto"/>
              </w:rPr>
            </w:pPr>
          </w:p>
        </w:tc>
        <w:tc>
          <w:tcPr>
            <w:tcW w:w="280" w:type="dxa"/>
            <w:vAlign w:val="bottom"/>
            <w:tcBorders>
              <w:bottom w:val="single" w:sz="8" w:color="auto"/>
            </w:tcBorders>
            <w:shd w:val="clear" w:color="auto" w:fill="F5F5F5"/>
          </w:tcPr>
          <w:p>
            <w:pPr>
              <w:spacing w:after="0"/>
              <w:rPr>
                <w:sz w:val="17"/>
                <w:szCs w:val="17"/>
                <w:color w:val="auto"/>
              </w:rPr>
            </w:pPr>
          </w:p>
        </w:tc>
        <w:tc>
          <w:tcPr>
            <w:tcW w:w="130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50,324</w:t>
            </w:r>
          </w:p>
        </w:tc>
        <w:tc>
          <w:tcPr>
            <w:tcW w:w="100" w:type="dxa"/>
            <w:vAlign w:val="bottom"/>
            <w:shd w:val="clear" w:color="auto" w:fill="F5F5F5"/>
          </w:tcPr>
          <w:p>
            <w:pPr>
              <w:spacing w:after="0"/>
              <w:rPr>
                <w:sz w:val="17"/>
                <w:szCs w:val="17"/>
                <w:color w:val="auto"/>
              </w:rPr>
            </w:pPr>
          </w:p>
        </w:tc>
        <w:tc>
          <w:tcPr>
            <w:tcW w:w="280" w:type="dxa"/>
            <w:vAlign w:val="bottom"/>
            <w:tcBorders>
              <w:bottom w:val="single" w:sz="8" w:color="auto"/>
            </w:tcBorders>
            <w:shd w:val="clear" w:color="auto" w:fill="F5F5F5"/>
          </w:tcPr>
          <w:p>
            <w:pPr>
              <w:spacing w:after="0"/>
              <w:rPr>
                <w:sz w:val="17"/>
                <w:szCs w:val="17"/>
                <w:color w:val="auto"/>
              </w:rPr>
            </w:pPr>
          </w:p>
        </w:tc>
        <w:tc>
          <w:tcPr>
            <w:tcW w:w="1300" w:type="dxa"/>
            <w:vAlign w:val="bottom"/>
            <w:tcBorders>
              <w:bottom w:val="single" w:sz="8" w:color="auto"/>
            </w:tcBorders>
            <w:shd w:val="clear" w:color="auto" w:fill="F5F5F5"/>
          </w:tcPr>
          <w:p>
            <w:pPr>
              <w:jc w:val="right"/>
              <w:spacing w:after="0"/>
              <w:rPr>
                <w:sz w:val="20"/>
                <w:szCs w:val="20"/>
                <w:color w:val="auto"/>
              </w:rPr>
            </w:pPr>
            <w:r>
              <w:rPr>
                <w:rFonts w:ascii="Arial" w:cs="Arial" w:eastAsia="Arial" w:hAnsi="Arial"/>
                <w:sz w:val="14"/>
                <w:szCs w:val="14"/>
                <w:color w:val="auto"/>
              </w:rPr>
              <w:t>49,771</w:t>
            </w:r>
          </w:p>
        </w:tc>
      </w:tr>
      <w:tr>
        <w:trPr>
          <w:trHeight w:val="192"/>
        </w:trPr>
        <w:tc>
          <w:tcPr>
            <w:tcW w:w="6300" w:type="dxa"/>
            <w:vAlign w:val="bottom"/>
          </w:tcPr>
          <w:p>
            <w:pPr>
              <w:ind w:left="20"/>
              <w:spacing w:after="0"/>
              <w:rPr>
                <w:sz w:val="20"/>
                <w:szCs w:val="20"/>
                <w:color w:val="auto"/>
              </w:rPr>
            </w:pPr>
            <w:r>
              <w:rPr>
                <w:rFonts w:ascii="Arial" w:cs="Arial" w:eastAsia="Arial" w:hAnsi="Arial"/>
                <w:sz w:val="14"/>
                <w:szCs w:val="14"/>
                <w:color w:val="auto"/>
              </w:rPr>
              <w:t>Total</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1,398,346</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1,236,606</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1,296,864</w:t>
            </w:r>
          </w:p>
        </w:tc>
      </w:tr>
      <w:tr>
        <w:trPr>
          <w:trHeight w:val="25"/>
        </w:trPr>
        <w:tc>
          <w:tcPr>
            <w:tcW w:w="6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77" w:lineRule="exact"/>
        <w:rPr>
          <w:sz w:val="20"/>
          <w:szCs w:val="20"/>
          <w:color w:val="auto"/>
        </w:rPr>
      </w:pPr>
    </w:p>
    <w:p>
      <w:pPr>
        <w:ind w:left="180" w:hanging="172"/>
        <w:spacing w:after="0" w:line="222" w:lineRule="auto"/>
        <w:tabs>
          <w:tab w:leader="none" w:pos="173" w:val="left"/>
        </w:tabs>
        <w:numPr>
          <w:ilvl w:val="0"/>
          <w:numId w:val="77"/>
        </w:numPr>
        <w:rPr>
          <w:rFonts w:ascii="Arial" w:cs="Arial" w:eastAsia="Arial" w:hAnsi="Arial"/>
          <w:sz w:val="19"/>
          <w:szCs w:val="19"/>
          <w:color w:val="auto"/>
          <w:vertAlign w:val="superscript"/>
        </w:rPr>
      </w:pPr>
      <w:r>
        <w:rPr>
          <w:rFonts w:ascii="Arial" w:cs="Arial" w:eastAsia="Arial" w:hAnsi="Arial"/>
          <w:sz w:val="13"/>
          <w:szCs w:val="13"/>
          <w:color w:val="auto"/>
        </w:rPr>
        <w:t>Includes the U.S., Canada, and Latin America. Long-lived assets and intellectual property located in the U.S. were $965 million, $880 million, and $911 million as of February 1, 2025, February 3, 2024, and January 28, 2023 respectively.</w:t>
      </w:r>
    </w:p>
    <w:p>
      <w:pPr>
        <w:spacing w:after="0" w:line="1" w:lineRule="exact"/>
        <w:rPr>
          <w:rFonts w:ascii="Arial" w:cs="Arial" w:eastAsia="Arial" w:hAnsi="Arial"/>
          <w:sz w:val="19"/>
          <w:szCs w:val="19"/>
          <w:color w:val="auto"/>
          <w:vertAlign w:val="superscript"/>
        </w:rPr>
      </w:pPr>
    </w:p>
    <w:p>
      <w:pPr>
        <w:ind w:left="160" w:hanging="152"/>
        <w:spacing w:after="0" w:line="181" w:lineRule="auto"/>
        <w:tabs>
          <w:tab w:leader="none" w:pos="160" w:val="left"/>
        </w:tabs>
        <w:numPr>
          <w:ilvl w:val="0"/>
          <w:numId w:val="77"/>
        </w:numPr>
        <w:rPr>
          <w:rFonts w:ascii="Arial" w:cs="Arial" w:eastAsia="Arial" w:hAnsi="Arial"/>
          <w:sz w:val="18"/>
          <w:szCs w:val="18"/>
          <w:color w:val="auto"/>
          <w:vertAlign w:val="superscript"/>
        </w:rPr>
      </w:pPr>
      <w:r>
        <w:rPr>
          <w:rFonts w:ascii="Arial" w:cs="Arial" w:eastAsia="Arial" w:hAnsi="Arial"/>
          <w:sz w:val="12"/>
          <w:szCs w:val="12"/>
          <w:color w:val="auto"/>
        </w:rPr>
        <w:t>Includes intellectual property of $2.9 million, $2.9 million, and $3.4 million at February 1, 2025, February 3, 2024, and January 28, 2023, respectively.</w:t>
      </w:r>
    </w:p>
    <w:p>
      <w:pPr>
        <w:ind w:left="160" w:hanging="152"/>
        <w:spacing w:after="0" w:line="189" w:lineRule="auto"/>
        <w:tabs>
          <w:tab w:leader="none" w:pos="160" w:val="left"/>
        </w:tabs>
        <w:numPr>
          <w:ilvl w:val="0"/>
          <w:numId w:val="77"/>
        </w:numPr>
        <w:rPr>
          <w:rFonts w:ascii="Arial" w:cs="Arial" w:eastAsia="Arial" w:hAnsi="Arial"/>
          <w:sz w:val="17"/>
          <w:szCs w:val="17"/>
          <w:color w:val="auto"/>
          <w:vertAlign w:val="superscript"/>
        </w:rPr>
      </w:pPr>
      <w:r>
        <w:rPr>
          <w:rFonts w:ascii="Arial" w:cs="Arial" w:eastAsia="Arial" w:hAnsi="Arial"/>
          <w:sz w:val="11"/>
          <w:szCs w:val="11"/>
          <w:color w:val="auto"/>
        </w:rPr>
        <w:t>Includes intellectual property of $16.6 million, $17.4 million, and $18.3 million at February 1, 2025, February 3, 2024, and January 28, 2023, respectively.</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78</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sz w:val="20"/>
          <w:szCs w:val="20"/>
          <w:color w:val="auto"/>
        </w:rPr>
      </w:pPr>
      <w:r>
        <w:rPr>
          <w:rFonts w:ascii="Arial" w:cs="Arial" w:eastAsia="Arial" w:hAnsi="Arial"/>
          <w:sz w:val="16"/>
          <w:szCs w:val="16"/>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Abercrombie &amp; Fitch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Brand Information</w:t>
      </w:r>
    </w:p>
    <w:p>
      <w:pPr>
        <w:spacing w:after="0" w:line="23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table provides additional disaggregated revenue information, which is categorized by brand, for Fiscal 2024, Fiscal 2023 and Fiscal 2022 were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2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460" w:type="dxa"/>
            <w:vAlign w:val="bottom"/>
          </w:tcPr>
          <w:p>
            <w:pPr>
              <w:spacing w:after="0"/>
              <w:rPr>
                <w:sz w:val="16"/>
                <w:szCs w:val="16"/>
                <w:color w:val="auto"/>
              </w:rPr>
            </w:pPr>
          </w:p>
        </w:tc>
        <w:tc>
          <w:tcPr>
            <w:tcW w:w="1220" w:type="dxa"/>
            <w:vAlign w:val="bottom"/>
            <w:gridSpan w:val="2"/>
          </w:tcPr>
          <w:p>
            <w:pPr>
              <w:jc w:val="center"/>
              <w:ind w:left="168"/>
              <w:spacing w:after="0"/>
              <w:rPr>
                <w:sz w:val="20"/>
                <w:szCs w:val="20"/>
                <w:color w:val="auto"/>
              </w:rPr>
            </w:pPr>
            <w:r>
              <w:rPr>
                <w:rFonts w:ascii="Arial" w:cs="Arial" w:eastAsia="Arial" w:hAnsi="Arial"/>
                <w:sz w:val="14"/>
                <w:szCs w:val="14"/>
                <w:color w:val="auto"/>
              </w:rPr>
              <w:t>Fiscal 2024</w:t>
            </w:r>
          </w:p>
        </w:tc>
        <w:tc>
          <w:tcPr>
            <w:tcW w:w="460" w:type="dxa"/>
            <w:vAlign w:val="bottom"/>
          </w:tcPr>
          <w:p>
            <w:pPr>
              <w:spacing w:after="0"/>
              <w:rPr>
                <w:sz w:val="16"/>
                <w:szCs w:val="16"/>
                <w:color w:val="auto"/>
              </w:rPr>
            </w:pPr>
          </w:p>
        </w:tc>
        <w:tc>
          <w:tcPr>
            <w:tcW w:w="1240" w:type="dxa"/>
            <w:vAlign w:val="bottom"/>
            <w:gridSpan w:val="2"/>
          </w:tcPr>
          <w:p>
            <w:pPr>
              <w:jc w:val="center"/>
              <w:ind w:left="168"/>
              <w:spacing w:after="0"/>
              <w:rPr>
                <w:sz w:val="20"/>
                <w:szCs w:val="20"/>
                <w:color w:val="auto"/>
              </w:rPr>
            </w:pPr>
            <w:r>
              <w:rPr>
                <w:rFonts w:ascii="Arial" w:cs="Arial" w:eastAsia="Arial" w:hAnsi="Arial"/>
                <w:sz w:val="14"/>
                <w:szCs w:val="14"/>
                <w:color w:val="auto"/>
              </w:rPr>
              <w:t>Fiscal 2023</w:t>
            </w:r>
          </w:p>
        </w:tc>
        <w:tc>
          <w:tcPr>
            <w:tcW w:w="460" w:type="dxa"/>
            <w:vAlign w:val="bottom"/>
          </w:tcPr>
          <w:p>
            <w:pPr>
              <w:spacing w:after="0"/>
              <w:rPr>
                <w:sz w:val="16"/>
                <w:szCs w:val="16"/>
                <w:color w:val="auto"/>
              </w:rPr>
            </w:pPr>
          </w:p>
        </w:tc>
        <w:tc>
          <w:tcPr>
            <w:tcW w:w="1120" w:type="dxa"/>
            <w:vAlign w:val="bottom"/>
          </w:tcPr>
          <w:p>
            <w:pPr>
              <w:jc w:val="center"/>
              <w:ind w:left="268"/>
              <w:spacing w:after="0"/>
              <w:rPr>
                <w:sz w:val="20"/>
                <w:szCs w:val="20"/>
                <w:color w:val="auto"/>
              </w:rPr>
            </w:pPr>
            <w:r>
              <w:rPr>
                <w:rFonts w:ascii="Arial" w:cs="Arial" w:eastAsia="Arial" w:hAnsi="Arial"/>
                <w:sz w:val="14"/>
                <w:szCs w:val="14"/>
                <w:color w:val="auto"/>
              </w:rPr>
              <w:t>Fiscal 2022</w:t>
            </w:r>
          </w:p>
        </w:tc>
      </w:tr>
      <w:tr>
        <w:trPr>
          <w:trHeight w:val="200"/>
        </w:trPr>
        <w:tc>
          <w:tcPr>
            <w:tcW w:w="6260" w:type="dxa"/>
            <w:vAlign w:val="bottom"/>
            <w:tcBorders>
              <w:top w:val="single" w:sz="8" w:color="F5F5F5"/>
            </w:tcBorders>
            <w:shd w:val="clear" w:color="auto" w:fill="F5F5F5"/>
          </w:tcPr>
          <w:p>
            <w:pPr>
              <w:ind w:left="20"/>
              <w:spacing w:after="0"/>
              <w:rPr>
                <w:sz w:val="20"/>
                <w:szCs w:val="20"/>
                <w:color w:val="auto"/>
              </w:rPr>
            </w:pPr>
            <w:r>
              <w:rPr>
                <w:rFonts w:ascii="Arial" w:cs="Arial" w:eastAsia="Arial" w:hAnsi="Arial"/>
                <w:sz w:val="14"/>
                <w:szCs w:val="14"/>
                <w:color w:val="auto"/>
              </w:rPr>
              <w:t>Abercrombie</w:t>
            </w:r>
          </w:p>
        </w:tc>
        <w:tc>
          <w:tcPr>
            <w:tcW w:w="460" w:type="dxa"/>
            <w:vAlign w:val="bottom"/>
            <w:tcBorders>
              <w:top w:val="single" w:sz="8" w:color="auto"/>
            </w:tcBorders>
            <w:shd w:val="clear" w:color="auto" w:fill="F5F5F5"/>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F5F5F5"/>
          </w:tcPr>
          <w:p>
            <w:pPr>
              <w:jc w:val="center"/>
              <w:ind w:left="288"/>
              <w:spacing w:after="0"/>
              <w:rPr>
                <w:sz w:val="20"/>
                <w:szCs w:val="20"/>
                <w:color w:val="auto"/>
              </w:rPr>
            </w:pPr>
            <w:r>
              <w:rPr>
                <w:rFonts w:ascii="Arial" w:cs="Arial" w:eastAsia="Arial" w:hAnsi="Arial"/>
                <w:sz w:val="14"/>
                <w:szCs w:val="14"/>
                <w:color w:val="auto"/>
              </w:rPr>
              <w:t>2,556,434</w:t>
            </w:r>
          </w:p>
        </w:tc>
        <w:tc>
          <w:tcPr>
            <w:tcW w:w="100" w:type="dxa"/>
            <w:vAlign w:val="bottom"/>
            <w:tcBorders>
              <w:top w:val="single" w:sz="8" w:color="F5F5F5"/>
            </w:tcBorders>
            <w:shd w:val="clear" w:color="auto" w:fill="F5F5F5"/>
          </w:tcPr>
          <w:p>
            <w:pPr>
              <w:spacing w:after="0"/>
              <w:rPr>
                <w:sz w:val="17"/>
                <w:szCs w:val="17"/>
                <w:color w:val="auto"/>
              </w:rPr>
            </w:pPr>
          </w:p>
        </w:tc>
        <w:tc>
          <w:tcPr>
            <w:tcW w:w="460" w:type="dxa"/>
            <w:vAlign w:val="bottom"/>
            <w:tcBorders>
              <w:top w:val="single" w:sz="8" w:color="auto"/>
            </w:tcBorders>
            <w:shd w:val="clear" w:color="auto" w:fill="F5F5F5"/>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F5F5F5"/>
          </w:tcPr>
          <w:p>
            <w:pPr>
              <w:jc w:val="center"/>
              <w:ind w:left="288"/>
              <w:spacing w:after="0"/>
              <w:rPr>
                <w:sz w:val="20"/>
                <w:szCs w:val="20"/>
                <w:color w:val="auto"/>
              </w:rPr>
            </w:pPr>
            <w:r>
              <w:rPr>
                <w:rFonts w:ascii="Arial" w:cs="Arial" w:eastAsia="Arial" w:hAnsi="Arial"/>
                <w:sz w:val="14"/>
                <w:szCs w:val="14"/>
                <w:color w:val="auto"/>
              </w:rPr>
              <w:t>2,201,686</w:t>
            </w:r>
          </w:p>
        </w:tc>
        <w:tc>
          <w:tcPr>
            <w:tcW w:w="120" w:type="dxa"/>
            <w:vAlign w:val="bottom"/>
            <w:tcBorders>
              <w:top w:val="single" w:sz="8" w:color="F5F5F5"/>
            </w:tcBorders>
            <w:shd w:val="clear" w:color="auto" w:fill="F5F5F5"/>
          </w:tcPr>
          <w:p>
            <w:pPr>
              <w:spacing w:after="0"/>
              <w:rPr>
                <w:sz w:val="17"/>
                <w:szCs w:val="17"/>
                <w:color w:val="auto"/>
              </w:rPr>
            </w:pPr>
          </w:p>
        </w:tc>
        <w:tc>
          <w:tcPr>
            <w:tcW w:w="460" w:type="dxa"/>
            <w:vAlign w:val="bottom"/>
            <w:tcBorders>
              <w:top w:val="single" w:sz="8" w:color="auto"/>
            </w:tcBorders>
            <w:shd w:val="clear" w:color="auto" w:fill="F5F5F5"/>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F5F5F5"/>
          </w:tcPr>
          <w:p>
            <w:pPr>
              <w:jc w:val="center"/>
              <w:ind w:left="248"/>
              <w:spacing w:after="0"/>
              <w:rPr>
                <w:sz w:val="20"/>
                <w:szCs w:val="20"/>
                <w:color w:val="auto"/>
              </w:rPr>
            </w:pPr>
            <w:r>
              <w:rPr>
                <w:rFonts w:ascii="Arial" w:cs="Arial" w:eastAsia="Arial" w:hAnsi="Arial"/>
                <w:sz w:val="14"/>
                <w:szCs w:val="14"/>
                <w:color w:val="auto"/>
              </w:rPr>
              <w:t>1,734,866</w:t>
            </w:r>
          </w:p>
        </w:tc>
      </w:tr>
      <w:tr>
        <w:trPr>
          <w:trHeight w:val="198"/>
        </w:trPr>
        <w:tc>
          <w:tcPr>
            <w:tcW w:w="6260" w:type="dxa"/>
            <w:vAlign w:val="bottom"/>
            <w:tcBorders>
              <w:bottom w:val="single" w:sz="8" w:color="F5F5F5"/>
            </w:tcBorders>
          </w:tcPr>
          <w:p>
            <w:pPr>
              <w:ind w:left="20"/>
              <w:spacing w:after="0"/>
              <w:rPr>
                <w:sz w:val="20"/>
                <w:szCs w:val="20"/>
                <w:color w:val="auto"/>
              </w:rPr>
            </w:pPr>
            <w:r>
              <w:rPr>
                <w:rFonts w:ascii="Arial" w:cs="Arial" w:eastAsia="Arial" w:hAnsi="Arial"/>
                <w:sz w:val="14"/>
                <w:szCs w:val="14"/>
                <w:color w:val="auto"/>
              </w:rPr>
              <w:t>Hollister</w:t>
            </w:r>
          </w:p>
        </w:tc>
        <w:tc>
          <w:tcPr>
            <w:tcW w:w="4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color w:val="auto"/>
              </w:rPr>
              <w:t>2,392,153</w:t>
            </w:r>
          </w:p>
        </w:tc>
        <w:tc>
          <w:tcPr>
            <w:tcW w:w="100" w:type="dxa"/>
            <w:vAlign w:val="bottom"/>
            <w:tcBorders>
              <w:bottom w:val="single" w:sz="8" w:color="F5F5F5"/>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color w:val="auto"/>
              </w:rPr>
              <w:t>2,078,991</w:t>
            </w:r>
          </w:p>
        </w:tc>
        <w:tc>
          <w:tcPr>
            <w:tcW w:w="120" w:type="dxa"/>
            <w:vAlign w:val="bottom"/>
            <w:tcBorders>
              <w:bottom w:val="single" w:sz="8" w:color="F5F5F5"/>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color w:val="auto"/>
              </w:rPr>
              <w:t>1,962,885</w:t>
            </w:r>
          </w:p>
        </w:tc>
      </w:tr>
      <w:tr>
        <w:trPr>
          <w:trHeight w:val="221"/>
        </w:trPr>
        <w:tc>
          <w:tcPr>
            <w:tcW w:w="6260" w:type="dxa"/>
            <w:vAlign w:val="bottom"/>
            <w:tcBorders>
              <w:bottom w:val="single" w:sz="8" w:color="F5F5F5"/>
            </w:tcBorders>
            <w:shd w:val="clear" w:color="auto" w:fill="F5F5F5"/>
          </w:tcPr>
          <w:p>
            <w:pPr>
              <w:ind w:left="20"/>
              <w:spacing w:after="0"/>
              <w:rPr>
                <w:sz w:val="20"/>
                <w:szCs w:val="20"/>
                <w:color w:val="auto"/>
              </w:rPr>
            </w:pPr>
            <w:r>
              <w:rPr>
                <w:rFonts w:ascii="Arial" w:cs="Arial" w:eastAsia="Arial" w:hAnsi="Arial"/>
                <w:sz w:val="14"/>
                <w:szCs w:val="14"/>
                <w:color w:val="auto"/>
              </w:rPr>
              <w:t>Total</w:t>
            </w:r>
          </w:p>
        </w:tc>
        <w:tc>
          <w:tcPr>
            <w:tcW w:w="460" w:type="dxa"/>
            <w:vAlign w:val="bottom"/>
            <w:tcBorders>
              <w:bottom w:val="single" w:sz="8" w:color="auto"/>
            </w:tcBorders>
            <w:shd w:val="clear" w:color="auto" w:fill="F5F5F5"/>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F5F5F5"/>
          </w:tcPr>
          <w:p>
            <w:pPr>
              <w:jc w:val="center"/>
              <w:ind w:left="288"/>
              <w:spacing w:after="0"/>
              <w:rPr>
                <w:sz w:val="20"/>
                <w:szCs w:val="20"/>
                <w:color w:val="auto"/>
              </w:rPr>
            </w:pPr>
            <w:r>
              <w:rPr>
                <w:rFonts w:ascii="Arial" w:cs="Arial" w:eastAsia="Arial" w:hAnsi="Arial"/>
                <w:sz w:val="14"/>
                <w:szCs w:val="14"/>
                <w:color w:val="auto"/>
              </w:rPr>
              <w:t>4,948,587</w:t>
            </w:r>
          </w:p>
        </w:tc>
        <w:tc>
          <w:tcPr>
            <w:tcW w:w="100" w:type="dxa"/>
            <w:vAlign w:val="bottom"/>
            <w:tcBorders>
              <w:bottom w:val="single" w:sz="8" w:color="F5F5F5"/>
            </w:tcBorders>
            <w:shd w:val="clear" w:color="auto" w:fill="F5F5F5"/>
          </w:tcPr>
          <w:p>
            <w:pPr>
              <w:spacing w:after="0"/>
              <w:rPr>
                <w:sz w:val="18"/>
                <w:szCs w:val="18"/>
                <w:color w:val="auto"/>
              </w:rPr>
            </w:pPr>
          </w:p>
        </w:tc>
        <w:tc>
          <w:tcPr>
            <w:tcW w:w="460" w:type="dxa"/>
            <w:vAlign w:val="bottom"/>
            <w:tcBorders>
              <w:bottom w:val="single" w:sz="8" w:color="auto"/>
            </w:tcBorders>
            <w:shd w:val="clear" w:color="auto" w:fill="F5F5F5"/>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F5F5F5"/>
          </w:tcPr>
          <w:p>
            <w:pPr>
              <w:jc w:val="center"/>
              <w:ind w:left="288"/>
              <w:spacing w:after="0"/>
              <w:rPr>
                <w:sz w:val="20"/>
                <w:szCs w:val="20"/>
                <w:color w:val="auto"/>
              </w:rPr>
            </w:pPr>
            <w:r>
              <w:rPr>
                <w:rFonts w:ascii="Arial" w:cs="Arial" w:eastAsia="Arial" w:hAnsi="Arial"/>
                <w:sz w:val="14"/>
                <w:szCs w:val="14"/>
                <w:color w:val="auto"/>
              </w:rPr>
              <w:t>4,280,677</w:t>
            </w:r>
          </w:p>
        </w:tc>
        <w:tc>
          <w:tcPr>
            <w:tcW w:w="120" w:type="dxa"/>
            <w:vAlign w:val="bottom"/>
            <w:tcBorders>
              <w:bottom w:val="single" w:sz="8" w:color="F5F5F5"/>
            </w:tcBorders>
            <w:shd w:val="clear" w:color="auto" w:fill="F5F5F5"/>
          </w:tcPr>
          <w:p>
            <w:pPr>
              <w:spacing w:after="0"/>
              <w:rPr>
                <w:sz w:val="18"/>
                <w:szCs w:val="18"/>
                <w:color w:val="auto"/>
              </w:rPr>
            </w:pPr>
          </w:p>
        </w:tc>
        <w:tc>
          <w:tcPr>
            <w:tcW w:w="460" w:type="dxa"/>
            <w:vAlign w:val="bottom"/>
            <w:tcBorders>
              <w:bottom w:val="single" w:sz="8" w:color="auto"/>
            </w:tcBorders>
            <w:shd w:val="clear" w:color="auto" w:fill="F5F5F5"/>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F5F5F5"/>
          </w:tcPr>
          <w:p>
            <w:pPr>
              <w:jc w:val="center"/>
              <w:ind w:left="248"/>
              <w:spacing w:after="0"/>
              <w:rPr>
                <w:sz w:val="20"/>
                <w:szCs w:val="20"/>
                <w:color w:val="auto"/>
              </w:rPr>
            </w:pPr>
            <w:r>
              <w:rPr>
                <w:rFonts w:ascii="Arial" w:cs="Arial" w:eastAsia="Arial" w:hAnsi="Arial"/>
                <w:sz w:val="14"/>
                <w:szCs w:val="14"/>
                <w:color w:val="auto"/>
              </w:rPr>
              <w:t>3,697,751</w:t>
            </w:r>
          </w:p>
        </w:tc>
      </w:tr>
      <w:tr>
        <w:trPr>
          <w:trHeight w:val="20"/>
        </w:trPr>
        <w:tc>
          <w:tcPr>
            <w:tcW w:w="6260" w:type="dxa"/>
            <w:vAlign w:val="bottom"/>
            <w:tcBorders>
              <w:top w:val="single" w:sz="8" w:color="F5F5F5"/>
            </w:tcBorders>
          </w:tcPr>
          <w:p>
            <w:pPr>
              <w:spacing w:after="0" w:line="20" w:lineRule="exact"/>
              <w:rPr>
                <w:sz w:val="1"/>
                <w:szCs w:val="1"/>
                <w:color w:val="auto"/>
              </w:rPr>
            </w:pPr>
          </w:p>
        </w:tc>
        <w:tc>
          <w:tcPr>
            <w:tcW w:w="460" w:type="dxa"/>
            <w:vAlign w:val="bottom"/>
            <w:tcBorders>
              <w:top w:val="single" w:sz="8" w:color="F5F5F5"/>
              <w:bottom w:val="single" w:sz="8" w:color="auto"/>
            </w:tcBorders>
          </w:tcPr>
          <w:p>
            <w:pPr>
              <w:spacing w:after="0" w:line="20" w:lineRule="exact"/>
              <w:rPr>
                <w:sz w:val="1"/>
                <w:szCs w:val="1"/>
                <w:color w:val="auto"/>
              </w:rPr>
            </w:pPr>
          </w:p>
        </w:tc>
        <w:tc>
          <w:tcPr>
            <w:tcW w:w="1120" w:type="dxa"/>
            <w:vAlign w:val="bottom"/>
            <w:tcBorders>
              <w:top w:val="single" w:sz="8" w:color="F5F5F5"/>
              <w:bottom w:val="single" w:sz="8" w:color="auto"/>
            </w:tcBorders>
          </w:tcPr>
          <w:p>
            <w:pPr>
              <w:spacing w:after="0" w:line="20" w:lineRule="exact"/>
              <w:rPr>
                <w:sz w:val="1"/>
                <w:szCs w:val="1"/>
                <w:color w:val="auto"/>
              </w:rPr>
            </w:pPr>
          </w:p>
        </w:tc>
        <w:tc>
          <w:tcPr>
            <w:tcW w:w="100" w:type="dxa"/>
            <w:vAlign w:val="bottom"/>
            <w:tcBorders>
              <w:top w:val="single" w:sz="8" w:color="F5F5F5"/>
            </w:tcBorders>
          </w:tcPr>
          <w:p>
            <w:pPr>
              <w:spacing w:after="0" w:line="20" w:lineRule="exact"/>
              <w:rPr>
                <w:sz w:val="1"/>
                <w:szCs w:val="1"/>
                <w:color w:val="auto"/>
              </w:rPr>
            </w:pPr>
          </w:p>
        </w:tc>
        <w:tc>
          <w:tcPr>
            <w:tcW w:w="460" w:type="dxa"/>
            <w:vAlign w:val="bottom"/>
            <w:tcBorders>
              <w:top w:val="single" w:sz="8" w:color="F5F5F5"/>
              <w:bottom w:val="single" w:sz="8" w:color="auto"/>
            </w:tcBorders>
          </w:tcPr>
          <w:p>
            <w:pPr>
              <w:spacing w:after="0" w:line="20" w:lineRule="exact"/>
              <w:rPr>
                <w:sz w:val="1"/>
                <w:szCs w:val="1"/>
                <w:color w:val="auto"/>
              </w:rPr>
            </w:pPr>
          </w:p>
        </w:tc>
        <w:tc>
          <w:tcPr>
            <w:tcW w:w="1120" w:type="dxa"/>
            <w:vAlign w:val="bottom"/>
            <w:tcBorders>
              <w:top w:val="single" w:sz="8" w:color="F5F5F5"/>
              <w:bottom w:val="single" w:sz="8" w:color="auto"/>
            </w:tcBorders>
          </w:tcPr>
          <w:p>
            <w:pPr>
              <w:spacing w:after="0" w:line="20" w:lineRule="exact"/>
              <w:rPr>
                <w:sz w:val="1"/>
                <w:szCs w:val="1"/>
                <w:color w:val="auto"/>
              </w:rPr>
            </w:pPr>
          </w:p>
        </w:tc>
        <w:tc>
          <w:tcPr>
            <w:tcW w:w="120" w:type="dxa"/>
            <w:vAlign w:val="bottom"/>
            <w:tcBorders>
              <w:top w:val="single" w:sz="8" w:color="F5F5F5"/>
            </w:tcBorders>
          </w:tcPr>
          <w:p>
            <w:pPr>
              <w:spacing w:after="0" w:line="20" w:lineRule="exact"/>
              <w:rPr>
                <w:sz w:val="1"/>
                <w:szCs w:val="1"/>
                <w:color w:val="auto"/>
              </w:rPr>
            </w:pPr>
          </w:p>
        </w:tc>
        <w:tc>
          <w:tcPr>
            <w:tcW w:w="460" w:type="dxa"/>
            <w:vAlign w:val="bottom"/>
            <w:tcBorders>
              <w:top w:val="single" w:sz="8" w:color="F5F5F5"/>
              <w:bottom w:val="single" w:sz="8" w:color="auto"/>
            </w:tcBorders>
          </w:tcPr>
          <w:p>
            <w:pPr>
              <w:spacing w:after="0" w:line="20" w:lineRule="exact"/>
              <w:rPr>
                <w:sz w:val="1"/>
                <w:szCs w:val="1"/>
                <w:color w:val="auto"/>
              </w:rPr>
            </w:pPr>
          </w:p>
        </w:tc>
        <w:tc>
          <w:tcPr>
            <w:tcW w:w="1120" w:type="dxa"/>
            <w:vAlign w:val="bottom"/>
            <w:tcBorders>
              <w:top w:val="single" w:sz="8" w:color="F5F5F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b w:val="1"/>
          <w:bCs w:val="1"/>
          <w:color w:val="AC7E65"/>
        </w:rPr>
        <w:t>18. CONTINGENCIES</w:t>
      </w:r>
    </w:p>
    <w:p>
      <w:pPr>
        <w:spacing w:after="0" w:line="24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 and its affiliates are defendants in lawsuits and other adversary proceedings that may range from individual actions involving a single plaintiff to class action lawsuits. The Company’s legal costs incurred in connection with the resolution of claims and lawsuits are generally expensed as incurred, and the Company establishes estimated liabilities for the outcome of litigation where losses are deemed probable and the amount of loss, or range of loss, is reasonably estimable. The Company also determines estimates of reasonably possible losses or ranges of reasonably possible losses in excess of related accrued liabilities, if any, when it has determined that a loss is reasonably possible and it is able to determine such estimates. Based on currently available information, the Company cannot estimate a range of reasonably possible losses in excess of the accrued charges for legal contingencies. In addition, the Company has not established accruals for certain claims and legal proceedings pending against the Company where it is not possible to reasonably estimate the outcome or potential liability, and the Company cannot estimate a range of reasonably possible losses for these legal matters.</w:t>
      </w:r>
    </w:p>
    <w:p>
      <w:pPr>
        <w:spacing w:after="0" w:line="20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Actual liabilities may differ from the amounts recorded, due to uncertainties regarding final settlement agreement negotiations, court approvals and the terms of any approval by the courts, and there can be no assurance that final resolution of legal matters will not have a material adverse effect on the Company’s financial condition, results of operations or cash flows. The Company’s assessment of the current exposure could change in the event of the discovery of additional facts.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79</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32"/>
          <w:szCs w:val="32"/>
          <w:u w:val="single" w:color="auto"/>
          <w:color w:val="AC7E65"/>
        </w:rPr>
        <w:t>Report of Independent Registered Public Accounting Firm</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 Stockholders of Abercrombie &amp; Fitch Co.</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Opinions on the Financial Statements and Internal Control over Financial Reporting</w:t>
      </w:r>
    </w:p>
    <w:p>
      <w:pPr>
        <w:spacing w:after="0" w:line="23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 xml:space="preserve">We have audited the accompanying consolidated balance sheets of Abercrombie &amp; Fitch Co. and its subsidiaries (the “Company”) as of February 1, 2025 and February 3, 2024, and the related consolidated statements of operations and comprehensive income (loss), of stockholders’ equity and of cash flows for each of the three years in the period ended February 1, 2025, including the related notes (collectively referred to as the “consolidated financial statements”). We also have audited the Company's internal control over financial reporting as of February 1, 2025, based on criteria established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w:t>
      </w:r>
      <w:r>
        <w:rPr>
          <w:rFonts w:ascii="Arial" w:cs="Arial" w:eastAsia="Arial" w:hAnsi="Arial"/>
          <w:sz w:val="16"/>
          <w:szCs w:val="16"/>
          <w:color w:val="auto"/>
        </w:rPr>
        <w:t>(2013) issued by the Committee of Sponsoring Organizations of the Treadway Commission (COSO).</w:t>
      </w:r>
    </w:p>
    <w:p>
      <w:pPr>
        <w:spacing w:after="0" w:line="20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In our opinion, the consolidated financial statements referred to above present fairly, in all material respects, the financial position of the Company as of February 1, 2025 and February 3, 2024, and the results of its operations and its cash flows for each of the three years in the period ended February 1, 2025 in conformity with accounting principles generally accepted in the United States of America. Also in our opinion, the Company maintained, in all material respects, effective internal control over financial reporting as of February 1, 2025,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for Opinions</w:t>
      </w:r>
    </w:p>
    <w:p>
      <w:pPr>
        <w:spacing w:after="0" w:line="24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2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Definition and Limitations of Internal Control over Financial Reporting</w:t>
      </w:r>
    </w:p>
    <w:p>
      <w:pPr>
        <w:spacing w:after="0" w:line="24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16"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80</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Critical Audit Matters</w:t>
      </w:r>
    </w:p>
    <w:p>
      <w:pPr>
        <w:spacing w:after="0" w:line="246"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Impairment of Long-Lived Assets – Stores</w:t>
      </w:r>
    </w:p>
    <w:p>
      <w:pPr>
        <w:spacing w:after="0" w:line="246"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As described in Notes 2, 7 and 9 to the consolidated financial statements, the Company’s consolidated property and equipment, net balance was $575.8 million and consolidated operating lease right-of-use assets balance was $803.1 million as of February 1, 2025. During the year ended February 1, 2025, the Company recognized long-lived asset store impairment charges of $11.6 million. The Company’s long-lived assets, primarily operating lease right-of-use assets, leasehold improvements, furniture, fixtures and equipment, are grouped with other assets and liabilities at the store level, which is the lowest level for which identifiable cash flows are largely independent of the cash flows of other assets and liabilities. On at least a quarterly basis, management reviews the Company’s asset groups for indicators of impairment, which include, but are not limited to, material declines in operational performance, a history of losses, an expectation of future losses, adverse market conditions, store closure or relocation decisions, and any other events or changes in circumstances that would indicate the carrying amount of an asset group might not be recoverable. If an asset group displays an indicator of impairment, it is tested for recoverability by comparing the sum of the estimated future undiscounted cash flows attributable to the asset group to the carrying amount of the asset group. This recoverability test requires management to make assumptions and judgments related, but not limited, to management’s expectations for future cash flows from operating the store. The key assumption used in developing these projected cash flows used in the recoverability test is estimated sales growth rate. If the sum of the estimated future undiscounted cash flows attributable to an asset group is less than its carrying amount, and it is determined that the carrying amount of the asset group is not recoverable, management determines if there is an impairment loss by comparing the carrying amount of the asset group to its fair value. Fair value of an asset group is based on the highest and best use of the asset group, often using a discounted cash flow model that utilizes Level 3 fair value inputs. The key assumptions used in the Company’s fair value analysis are estimated sales growth rate and comparable market rents. An impairment loss is recognized based on the excess of the carrying amount of the asset group over its fair value.</w:t>
      </w:r>
    </w:p>
    <w:p>
      <w:pPr>
        <w:spacing w:after="0" w:line="22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principal considerations for our determination that performing procedures relating to the impairment of long-lived assets - stores is a critical audit matter are (i) the significant judgment by management when developing the future undiscounted cash flows attributable to an asset group when testing for recoverability and when estimating the fair value of the asset groups to measure for impairment; and (ii) a high degree of auditor judgment, subjectivity, and effort in performing procedures and evaluating management’s significant assumptions related to estimated sales growth rate when developing the future undiscounted cash flows, and comparable market rents when estimating the fair value.</w:t>
      </w:r>
    </w:p>
    <w:p>
      <w:pPr>
        <w:spacing w:after="0" w:line="19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store impairment assessments, including controls over the recoverability test and fair value estimate of the asset groups. These procedures also included, among others (i) testing management’s process for developing the future undiscounted cash flows attributable to an asset group when testing for recoverability and when estimating the fair value of the asset groups to measure for impairment; (ii) evaluating the appropriateness of the models used by management in estimating the fair value of the asset groups; (iii) testing the completeness and accuracy of underlying data used in the models; and (iv) evaluating the reasonableness of the significant assumptions used by management related to estimated sales growth rate when developing the future undiscounted cash flows and comparable market rents when estimating the fair value. Evaluating management’s assumptions involved evaluating whether the assumptions used by management were reasonable considering the current and past performance of the asset groups as it relates to estimated sales growth rate, the consistency with evidence obtained in other areas of the audit as it relates to estimated sales growth rate, and the consistency with external market data as it relates to estimated sales growth rate and comparable market rents.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Columbus, Ohio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March 31, 2025</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1996.</w:t>
      </w:r>
    </w:p>
    <w:p>
      <w:pPr>
        <w:spacing w:after="0" w:line="200" w:lineRule="exact"/>
        <w:rPr>
          <w:sz w:val="20"/>
          <w:szCs w:val="20"/>
          <w:color w:val="auto"/>
        </w:rPr>
      </w:pPr>
    </w:p>
    <w:p>
      <w:pPr>
        <w:spacing w:after="0" w:line="323"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81</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8" w:lineRule="exact"/>
        <w:rPr>
          <w:sz w:val="20"/>
          <w:szCs w:val="20"/>
          <w:color w:val="auto"/>
        </w:rPr>
      </w:pPr>
    </w:p>
    <w:p>
      <w:pPr>
        <w:jc w:val="both"/>
        <w:spacing w:after="0" w:line="286" w:lineRule="auto"/>
        <w:rPr>
          <w:sz w:val="20"/>
          <w:szCs w:val="20"/>
          <w:color w:val="auto"/>
        </w:rPr>
      </w:pPr>
      <w:r>
        <w:rPr>
          <w:rFonts w:ascii="Arial" w:cs="Arial" w:eastAsia="Arial" w:hAnsi="Arial"/>
          <w:sz w:val="29"/>
          <w:szCs w:val="29"/>
          <w:u w:val="single" w:color="auto"/>
          <w:color w:val="AC7E65"/>
        </w:rPr>
        <w:t>Item 9. Changes in and Disagreements with Accountants on Accounting and Financial Disclosure</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87" w:lineRule="exact"/>
        <w:rPr>
          <w:sz w:val="20"/>
          <w:szCs w:val="20"/>
          <w:color w:val="auto"/>
        </w:rPr>
      </w:pPr>
    </w:p>
    <w:p>
      <w:pPr>
        <w:spacing w:after="0"/>
        <w:tabs>
          <w:tab w:leader="none" w:pos="1380" w:val="left"/>
        </w:tabs>
        <w:rPr>
          <w:sz w:val="20"/>
          <w:szCs w:val="20"/>
          <w:color w:val="auto"/>
        </w:rPr>
      </w:pPr>
      <w:r>
        <w:rPr>
          <w:rFonts w:ascii="Arial" w:cs="Arial" w:eastAsia="Arial" w:hAnsi="Arial"/>
          <w:sz w:val="29"/>
          <w:szCs w:val="29"/>
          <w:u w:val="single" w:color="auto"/>
          <w:color w:val="AC7E65"/>
        </w:rPr>
        <w:t>Item 9A.</w:t>
      </w:r>
      <w:r>
        <w:rPr>
          <w:sz w:val="20"/>
          <w:szCs w:val="20"/>
          <w:color w:val="auto"/>
        </w:rPr>
        <w:tab/>
      </w:r>
      <w:r>
        <w:rPr>
          <w:rFonts w:ascii="Arial" w:cs="Arial" w:eastAsia="Arial" w:hAnsi="Arial"/>
          <w:sz w:val="28"/>
          <w:szCs w:val="28"/>
          <w:u w:val="single" w:color="auto"/>
          <w:color w:val="AC7E65"/>
        </w:rPr>
        <w:t>Controls and Procedures</w:t>
      </w: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b w:val="1"/>
          <w:bCs w:val="1"/>
          <w:color w:val="AC7E65"/>
        </w:rPr>
        <w:t>DISCLOSURE CONTROLS AND PROCEDURES</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A&amp;F maintains disclosure controls and procedures (as defined in Rules 13a-15(e) and 15d-15(e) under the Securities Exchange Act of 1934, as amended (the “Exchange Act”) that are designed to provide reasonable assurance that information required to be disclosed in the reports that A&amp;F files or submits under the Exchange Act is recorded, processed, summarized and reported within the time periods specified in the SEC’s rules and forms, and that such information is accumulated and communicated to A&amp;F’s management, including A&amp;F’s Principal Executive Officer and Principal Financial Officer, as appropriate, to allow timely decisions regarding required disclosure. Because of inherent limitations, disclosure controls and procedures, no matter how well designed and operated, can provide only reasonable, and not absolute, assurance that the objectives of disclosure controls and procedures are met.</w:t>
      </w:r>
    </w:p>
    <w:p>
      <w:pPr>
        <w:spacing w:after="0" w:line="21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A&amp;F’s management, including the Chief Executive Officer of A&amp;F (who serves as Principal Executive Officer of A&amp;F) and the Senior Vice President, Chief Financial Officer of A&amp;F (who serves as Principal Financial Officer of A&amp;F), evaluated the effectiveness of A&amp;F’s disclosure controls and procedures as of February 1, 2025. The Chief Executive Officer of A&amp;F (in such individual’s capacity as the Principal Executive Officer of A&amp;F) and the Senior Vice President, Chief Financial Officer of A&amp;F (in such individual’s capacity as the Principal Financial Officer of A&amp;F) concluded that A&amp;F’s disclosure controls and procedures were effective at a reasonable level of assurance as of February 1, 2025, the end of the period covered by this Annual Report on Form 10-K.</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AC7E65"/>
        </w:rPr>
        <w:t>MANAGEMENT’S ANNUAL REPORT ON INTERNAL CONTROL OVER FINANCIAL REPORTING</w:t>
      </w:r>
    </w:p>
    <w:p>
      <w:pPr>
        <w:spacing w:after="0" w:line="24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management of A&amp;F is responsible for establishing and maintaining adequate internal control over financial reporting. A&amp;F’s internal control over financial reporting (as defined in Rules 13a-15(f) and 15d-15(f) under the Exchange Act) is a process designed to provide reasonable assurance regarding the reliability of financial reporting and the preparation of financial statements for external purposes in accordance with generally accepted accounting principles.</w:t>
      </w:r>
    </w:p>
    <w:p>
      <w:pPr>
        <w:spacing w:after="0" w:line="396"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evaluations of effectiveness to future periods are subject to the risk that controls may become inadequate because of changes in conditions, or that the degree of compliance with the policies or procedures may deteriorate.</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 xml:space="preserve">With the participation of the Chief Executive Officer of A&amp;F and the Senior Vice President and Chief Financial Officer of A&amp;F, management evaluated the effectiveness of A&amp;F’s internal control over financial reporting as of February 1, 2025 using criteria established in the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issued by the Committee of Sponsoring Organizations of the Treadway Commission (“COSO”). Based on the assessment of A&amp;F’s internal control over financial reporting, under the criteria described in the preceding sentence, management has concluded that, as of February 1, 2025, A&amp;F’s internal control over financial reporting was effective.</w:t>
      </w:r>
    </w:p>
    <w:p>
      <w:pPr>
        <w:spacing w:after="0" w:line="21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 xml:space="preserve">The effectiveness of A&amp;F’s internal control over financial reporting as of February 1, 2025 has been audited by PricewaterhouseCoopers LLP, an independent registered public accounting firm, as stated in their report, which is included in </w:t>
      </w:r>
      <w:r>
        <w:rPr>
          <w:rFonts w:ascii="Arial" w:cs="Arial" w:eastAsia="Arial" w:hAnsi="Arial"/>
          <w:sz w:val="16"/>
          <w:szCs w:val="16"/>
          <w:u w:val="single" w:color="auto"/>
          <w:color w:val="0000FF"/>
        </w:rPr>
        <w:t>“ITEM 8. FINANCIAL STATEMENTS AND SUPPLEMENTARY</w:t>
      </w:r>
      <w:r>
        <w:rPr>
          <w:rFonts w:ascii="Arial" w:cs="Arial" w:eastAsia="Arial" w:hAnsi="Arial"/>
          <w:sz w:val="16"/>
          <w:szCs w:val="16"/>
          <w:color w:val="auto"/>
        </w:rPr>
        <w:t xml:space="preserve"> </w:t>
      </w:r>
      <w:r>
        <w:rPr>
          <w:rFonts w:ascii="Arial" w:cs="Arial" w:eastAsia="Arial" w:hAnsi="Arial"/>
          <w:sz w:val="16"/>
          <w:szCs w:val="16"/>
          <w:u w:val="single" w:color="auto"/>
          <w:color w:val="0000FF"/>
        </w:rPr>
        <w:t>DATA”</w:t>
      </w:r>
      <w:r>
        <w:rPr>
          <w:rFonts w:ascii="Arial" w:cs="Arial" w:eastAsia="Arial" w:hAnsi="Arial"/>
          <w:sz w:val="16"/>
          <w:szCs w:val="16"/>
          <w:color w:val="0000FF"/>
        </w:rPr>
        <w:t xml:space="preserve"> </w:t>
      </w:r>
      <w:r>
        <w:rPr>
          <w:rFonts w:ascii="Arial" w:cs="Arial" w:eastAsia="Arial" w:hAnsi="Arial"/>
          <w:sz w:val="16"/>
          <w:szCs w:val="16"/>
          <w:color w:val="000000"/>
        </w:rPr>
        <w:t>of this Annual Report on Form 10-K.</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C7E65"/>
        </w:rPr>
        <w:t>CHANGES IN INTERNAL CONTROL OVER FINANCIAL REPORTING</w:t>
      </w:r>
    </w:p>
    <w:p>
      <w:pPr>
        <w:spacing w:after="0" w:line="24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There were no changes in A&amp;F’s internal control over financial reporting during the quarter ended February 1, 2025 that have materially affected, or are reasonably likely to materially affect, A&amp;F’s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82</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8" w:lineRule="exact"/>
        <w:rPr>
          <w:sz w:val="20"/>
          <w:szCs w:val="20"/>
          <w:color w:val="auto"/>
        </w:rPr>
      </w:pPr>
    </w:p>
    <w:p>
      <w:pPr>
        <w:spacing w:after="0"/>
        <w:tabs>
          <w:tab w:leader="none" w:pos="1380" w:val="left"/>
        </w:tabs>
        <w:rPr>
          <w:sz w:val="20"/>
          <w:szCs w:val="20"/>
          <w:color w:val="auto"/>
        </w:rPr>
      </w:pPr>
      <w:r>
        <w:rPr>
          <w:rFonts w:ascii="Arial" w:cs="Arial" w:eastAsia="Arial" w:hAnsi="Arial"/>
          <w:sz w:val="29"/>
          <w:szCs w:val="29"/>
          <w:u w:val="single" w:color="auto"/>
          <w:color w:val="AC7E65"/>
        </w:rPr>
        <w:t>Item 9B.</w:t>
      </w:r>
      <w:r>
        <w:rPr>
          <w:sz w:val="20"/>
          <w:szCs w:val="20"/>
          <w:color w:val="auto"/>
        </w:rPr>
        <w:tab/>
      </w:r>
      <w:r>
        <w:rPr>
          <w:rFonts w:ascii="Arial" w:cs="Arial" w:eastAsia="Arial" w:hAnsi="Arial"/>
          <w:sz w:val="28"/>
          <w:szCs w:val="28"/>
          <w:u w:val="single" w:color="auto"/>
          <w:color w:val="AC7E65"/>
        </w:rPr>
        <w:t>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Rule 10b5-1 Trading Plans</w:t>
      </w:r>
    </w:p>
    <w:p>
      <w:pPr>
        <w:spacing w:after="0" w:line="24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During the thirteen weeks ended February 1, 2025, no director or officer of the Company adopted a new “Rule 10b5-1 trading arrangement” or “non-Rule 10b5-1 trading arrangement,” and no director or officer of the Company modified or terminated an existing “Rule 10b5-1 trading arrangement ” or “non-Rule 10b5-1 trading arrangement,” as each term is defined in Item 408(a) of Regulation S-K under the Exchange Act.</w:t>
      </w:r>
    </w:p>
    <w:p>
      <w:pPr>
        <w:spacing w:after="0" w:line="173" w:lineRule="exact"/>
        <w:rPr>
          <w:sz w:val="20"/>
          <w:szCs w:val="20"/>
          <w:color w:val="auto"/>
        </w:rPr>
      </w:pPr>
    </w:p>
    <w:p>
      <w:pPr>
        <w:spacing w:after="0"/>
        <w:tabs>
          <w:tab w:leader="none" w:pos="1400" w:val="left"/>
        </w:tabs>
        <w:rPr>
          <w:sz w:val="20"/>
          <w:szCs w:val="20"/>
          <w:color w:val="auto"/>
        </w:rPr>
      </w:pPr>
      <w:r>
        <w:rPr>
          <w:rFonts w:ascii="Arial" w:cs="Arial" w:eastAsia="Arial" w:hAnsi="Arial"/>
          <w:sz w:val="29"/>
          <w:szCs w:val="29"/>
          <w:u w:val="single" w:color="auto"/>
          <w:color w:val="AC7E65"/>
        </w:rPr>
        <w:t>Item 9C.</w:t>
      </w:r>
      <w:r>
        <w:rPr>
          <w:sz w:val="20"/>
          <w:szCs w:val="20"/>
          <w:color w:val="auto"/>
        </w:rPr>
        <w:tab/>
      </w:r>
      <w:r>
        <w:rPr>
          <w:rFonts w:ascii="Arial" w:cs="Arial" w:eastAsia="Arial" w:hAnsi="Arial"/>
          <w:sz w:val="28"/>
          <w:szCs w:val="28"/>
          <w:u w:val="single" w:color="auto"/>
          <w:color w:val="AC7E65"/>
        </w:rPr>
        <w:t>Disclosure Regarding Foreign Jurisdictions that Prevent Inspections</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82"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83</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32"/>
          <w:szCs w:val="32"/>
          <w:b w:val="1"/>
          <w:bCs w:val="1"/>
          <w:color w:val="AC7E65"/>
        </w:rPr>
        <w:t>PART III</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9"/>
          <w:szCs w:val="29"/>
          <w:u w:val="single" w:color="auto"/>
          <w:color w:val="AC7E65"/>
        </w:rPr>
        <w:t>Item 10. Directors, Executive Officers and Corporate Governance</w:t>
      </w:r>
    </w:p>
    <w:p>
      <w:pPr>
        <w:spacing w:after="0" w:line="264" w:lineRule="exact"/>
        <w:rPr>
          <w:sz w:val="20"/>
          <w:szCs w:val="20"/>
          <w:color w:val="auto"/>
        </w:rPr>
      </w:pPr>
    </w:p>
    <w:p>
      <w:pPr>
        <w:jc w:val="both"/>
        <w:spacing w:after="0" w:line="298" w:lineRule="auto"/>
        <w:rPr>
          <w:sz w:val="20"/>
          <w:szCs w:val="20"/>
          <w:color w:val="auto"/>
        </w:rPr>
      </w:pPr>
      <w:r>
        <w:rPr>
          <w:rFonts w:ascii="Arial" w:cs="Arial" w:eastAsia="Arial" w:hAnsi="Arial"/>
          <w:sz w:val="22"/>
          <w:szCs w:val="22"/>
          <w:b w:val="1"/>
          <w:bCs w:val="1"/>
          <w:color w:val="AC7E65"/>
        </w:rPr>
        <w:t>DIRECTORS, EXECUTIVE OFFICERS AND PERSONS NOMINATED OR CHOSEN TO BECOME DIRECTORS OR EXECUTIVE OFFICERS</w:t>
      </w:r>
    </w:p>
    <w:p>
      <w:pPr>
        <w:spacing w:after="0" w:line="14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Information concerning directors will be included under the caption “Proposal 1 — Election of Directors” in A&amp;F’s definitive Proxy Statement for the 2025 Annual Meeting of Stockholders (the “2025 Proxy Statement”) and is incorporated by reference herein. Information concerning executive officers is included under the caption “INFORMATION ABOUT OUR EXECUTIVE OFFICERS” within “</w:t>
      </w:r>
      <w:r>
        <w:rPr>
          <w:rFonts w:ascii="Arial" w:cs="Arial" w:eastAsia="Arial" w:hAnsi="Arial"/>
          <w:sz w:val="16"/>
          <w:szCs w:val="16"/>
          <w:u w:val="single" w:color="auto"/>
          <w:color w:val="0000FF"/>
        </w:rPr>
        <w:t>ITEM 1. BUSINESS</w:t>
      </w:r>
      <w:r>
        <w:rPr>
          <w:rFonts w:ascii="Arial" w:cs="Arial" w:eastAsia="Arial" w:hAnsi="Arial"/>
          <w:sz w:val="16"/>
          <w:szCs w:val="16"/>
          <w:color w:val="auto"/>
        </w:rPr>
        <w:t>” in this Annual Report on Form 10-K and is incorporated by reference herein.</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C7E65"/>
        </w:rPr>
        <w:t>COMPLIANCE WITH SECTION 16(a) OF THE EXCHANGE ACT</w:t>
      </w:r>
    </w:p>
    <w:p>
      <w:pPr>
        <w:spacing w:after="0" w:line="26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Information concerning beneficial ownership reporting compliance under Section 16(a) of the Exchange Act will be included under the caption “Ownership of Our Shares — Delinquent Section 16(a) Reports” in the 2025 Proxy Statement and is incorporated by reference herein.</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C7E65"/>
        </w:rPr>
        <w:t>CODE OF BUSINESS CONDUCT AND ETHICS</w:t>
      </w:r>
    </w:p>
    <w:p>
      <w:pPr>
        <w:spacing w:after="0" w:line="24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Board of Directors has adopted the Abercrombie &amp; Fitch Co. Code of Business Conduct and Ethics, which applies to all associates and directors worldwide and incorporates an additional Code of Ethics applicable to our Chief Executive Officer, our Chief Financial Officer, and other designated financial associates. The Code of Business Conduct and Ethics is available on the “Corporate Governance” page of the Company’s corporate website at corporate.abercrombie.com.</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C7E65"/>
        </w:rPr>
        <w:t>INSIDER TRADING POLICY</w:t>
      </w:r>
    </w:p>
    <w:p>
      <w:pPr>
        <w:spacing w:after="0" w:line="24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has adopted insider trading policies and procedures regarding securities transactions (the “Insider Trading Policy”) that apply to all officers, directors, employees, consultants and contractors of the Company and its subsidiaries, as well as the Company itself. The Company believes that the Insider Trading Policy is reasonably designed to promote compliance with insider trading laws, rules and regulations with respect to the purchase, sale and/or other dispositions of the Company’s securities, as well as the applicable rules and regulations of the New York Stock Exchange. A copy of the Insider Trading Policy is filed as Exhibit 19 to this Annual Report on Form 10-K.</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C7E65"/>
        </w:rPr>
        <w:t>AUDIT AND FINANCE COMMITTEE</w:t>
      </w:r>
    </w:p>
    <w:p>
      <w:pPr>
        <w:spacing w:after="0" w:line="247"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Information concerning the Audit and Finance Committee of the Board of Directors (the “Audit and Finance Committee”) will be included under the captions “Corporate Governance — Committees of the Board and Meeting Attendance — Committees of the Board” and “Audit and Finance Committee Matters” in the 2025 Proxy Statement and is incorporated by reference herein.</w:t>
      </w:r>
    </w:p>
    <w:p>
      <w:pPr>
        <w:spacing w:after="0" w:line="204" w:lineRule="exact"/>
        <w:rPr>
          <w:sz w:val="20"/>
          <w:szCs w:val="20"/>
          <w:color w:val="auto"/>
        </w:rPr>
      </w:pPr>
    </w:p>
    <w:p>
      <w:pPr>
        <w:spacing w:after="0"/>
        <w:rPr>
          <w:sz w:val="20"/>
          <w:szCs w:val="20"/>
          <w:color w:val="auto"/>
        </w:rPr>
      </w:pPr>
      <w:r>
        <w:rPr>
          <w:rFonts w:ascii="Arial" w:cs="Arial" w:eastAsia="Arial" w:hAnsi="Arial"/>
          <w:sz w:val="21"/>
          <w:szCs w:val="21"/>
          <w:b w:val="1"/>
          <w:bCs w:val="1"/>
          <w:color w:val="AC7E65"/>
        </w:rPr>
        <w:t>PROCEDURES BY WHICH STOCKHOLDERS MAY RECOMMEND NOMINEES TO THE BOARD OF DIRECTORS</w:t>
      </w:r>
    </w:p>
    <w:p>
      <w:pPr>
        <w:spacing w:after="0" w:line="25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Information concerning changes in the procedures by which stockholders of A&amp;F may recommend nominees to the Board of Directors will be included under the captions “Corporate Governance — Director Nominations — Stockholder Recommendations and Nominations for Director Candidates,” “Corporate Governance — Director Qualifications and Consideration of Director Candidates,” “Stockholder Proposals and Nominations for 2026 Annual Meeting” and “Additional Information About Our Annual Meeting and Voting — How do I nominate a director using the ‘Proxy Access’ provisions under the Company’s Bylaws?” in the 2025 Proxy Statement and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84</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9"/>
          <w:szCs w:val="29"/>
          <w:u w:val="single" w:color="auto"/>
          <w:color w:val="AC7E65"/>
        </w:rPr>
        <w:t>Item 11. Executive Compensation</w:t>
      </w:r>
    </w:p>
    <w:p>
      <w:pPr>
        <w:spacing w:after="0" w:line="26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Information regarding executive compensation will be included under the captions “Corporate Governance — Board Role in Risk Oversight,” “Compensation of Directors,” “Compensation Discussion and Analysis,” “Report of the Compensation and Human Capital Committee on Executive Compensation,” and “Executive Compensation Tables” in the 2025 Proxy Statement and is incorporated by reference herein.</w:t>
      </w:r>
    </w:p>
    <w:p>
      <w:pPr>
        <w:spacing w:after="0" w:line="200" w:lineRule="exact"/>
        <w:rPr>
          <w:sz w:val="20"/>
          <w:szCs w:val="20"/>
          <w:color w:val="auto"/>
        </w:rPr>
      </w:pPr>
    </w:p>
    <w:p>
      <w:pPr>
        <w:spacing w:after="0" w:line="251" w:lineRule="exact"/>
        <w:rPr>
          <w:sz w:val="20"/>
          <w:szCs w:val="20"/>
          <w:color w:val="auto"/>
        </w:rPr>
      </w:pPr>
    </w:p>
    <w:p>
      <w:pPr>
        <w:jc w:val="both"/>
        <w:spacing w:after="0" w:line="286" w:lineRule="auto"/>
        <w:rPr>
          <w:sz w:val="20"/>
          <w:szCs w:val="20"/>
          <w:color w:val="auto"/>
        </w:rPr>
      </w:pPr>
      <w:r>
        <w:rPr>
          <w:rFonts w:ascii="Arial" w:cs="Arial" w:eastAsia="Arial" w:hAnsi="Arial"/>
          <w:sz w:val="29"/>
          <w:szCs w:val="29"/>
          <w:u w:val="single" w:color="auto"/>
          <w:color w:val="AC7E65"/>
        </w:rPr>
        <w:t>Item 12. Security Ownership of Certain Beneficial Owners and Management and Related Stockholder Matters</w:t>
      </w:r>
    </w:p>
    <w:p>
      <w:pPr>
        <w:spacing w:after="0" w:line="15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Information concerning the security ownership of certain beneficial owners and management will be included under the caption “Ownership of Our Shares” in the 2025 Proxy Statement and is incorporated by reference herein.</w:t>
      </w:r>
    </w:p>
    <w:p>
      <w:pPr>
        <w:spacing w:after="0" w:line="19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Information regarding Common Stock authorized for issuance under A&amp;F’s equity compensation plans will be included under the caption “Equity Compensation Plans” in the 2025 Proxy Statement and is incorporated by reference herein.</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9"/>
          <w:szCs w:val="29"/>
          <w:u w:val="single" w:color="auto"/>
          <w:color w:val="AC7E65"/>
        </w:rPr>
        <w:t>Item 13. Certain Relationships and Related Transactions, and Director Independence</w:t>
      </w:r>
    </w:p>
    <w:p>
      <w:pPr>
        <w:spacing w:after="0" w:line="26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Information concerning relationships and transactions with related persons will be included under the caption “Corporate Governance — Director Independence and Related Person Transactions” in the 2025 Proxy Statement and is incorporated by reference herein.</w:t>
      </w:r>
    </w:p>
    <w:p>
      <w:pPr>
        <w:spacing w:after="0" w:line="16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Information concerning director independence will be included under the captions “Corporate Governance — Board Leadership Structure,” “Corporate Governance — Committees of the Board and Meeting Attendance,” and “Corporate Governance — Director Independence and Related Person Transactions” in the 2025 Proxy Statement and is incorporated by reference herein.</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9"/>
          <w:szCs w:val="29"/>
          <w:u w:val="single" w:color="auto"/>
          <w:color w:val="AC7E65"/>
        </w:rPr>
        <w:t>Item 14. Principal Accountant Fees and Services</w:t>
      </w:r>
    </w:p>
    <w:p>
      <w:pPr>
        <w:spacing w:after="0" w:line="27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Information concerning pre-approval policies and procedures of the Audit and Finance Committee and fees for services rendered by the Company’s principal independent registered public accounting firm will be included under the caption “Audit and Finance Committee Matters — Audit Fees” in the 2025 Proxy Statement and is incorporated by reference herein.</w:t>
      </w:r>
    </w:p>
    <w:p>
      <w:pPr>
        <w:spacing w:after="0" w:line="200" w:lineRule="exact"/>
        <w:rPr>
          <w:sz w:val="20"/>
          <w:szCs w:val="20"/>
          <w:color w:val="auto"/>
        </w:rPr>
      </w:pPr>
    </w:p>
    <w:p>
      <w:pPr>
        <w:spacing w:after="0" w:line="225"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85</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32"/>
          <w:szCs w:val="32"/>
          <w:b w:val="1"/>
          <w:bCs w:val="1"/>
          <w:color w:val="AC7E65"/>
        </w:rPr>
        <w:t>PART IV</w:t>
      </w:r>
    </w:p>
    <w:p>
      <w:pPr>
        <w:spacing w:after="0" w:line="211" w:lineRule="exact"/>
        <w:rPr>
          <w:sz w:val="20"/>
          <w:szCs w:val="20"/>
          <w:color w:val="auto"/>
        </w:rPr>
      </w:pPr>
    </w:p>
    <w:p>
      <w:pPr>
        <w:spacing w:after="0"/>
        <w:rPr>
          <w:sz w:val="20"/>
          <w:szCs w:val="20"/>
          <w:color w:val="auto"/>
        </w:rPr>
      </w:pPr>
      <w:r>
        <w:rPr>
          <w:rFonts w:ascii="Arial" w:cs="Arial" w:eastAsia="Arial" w:hAnsi="Arial"/>
          <w:sz w:val="29"/>
          <w:szCs w:val="29"/>
          <w:u w:val="single" w:color="auto"/>
          <w:color w:val="AC7E65"/>
        </w:rPr>
        <w:t>Item 15. Exhibits and Financial Statement Schedules</w:t>
      </w:r>
    </w:p>
    <w:p>
      <w:pPr>
        <w:spacing w:after="0" w:line="279" w:lineRule="exact"/>
        <w:rPr>
          <w:sz w:val="20"/>
          <w:szCs w:val="20"/>
          <w:color w:val="auto"/>
        </w:rPr>
      </w:pPr>
    </w:p>
    <w:p>
      <w:pPr>
        <w:ind w:left="700" w:hanging="247"/>
        <w:spacing w:after="0"/>
        <w:tabs>
          <w:tab w:leader="none" w:pos="7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following documents are filed as a part of this Annual Report on Form 10-K:</w:t>
      </w:r>
    </w:p>
    <w:p>
      <w:pPr>
        <w:spacing w:after="0" w:line="24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(1) Consolidated Financial Statements:</w:t>
      </w:r>
    </w:p>
    <w:p>
      <w:pPr>
        <w:spacing w:after="0" w:line="248" w:lineRule="exact"/>
        <w:rPr>
          <w:sz w:val="20"/>
          <w:szCs w:val="20"/>
          <w:color w:val="auto"/>
        </w:rPr>
      </w:pPr>
    </w:p>
    <w:p>
      <w:pPr>
        <w:ind w:left="1300"/>
        <w:spacing w:after="0" w:line="251" w:lineRule="auto"/>
        <w:rPr>
          <w:sz w:val="20"/>
          <w:szCs w:val="20"/>
          <w:color w:val="auto"/>
        </w:rPr>
      </w:pPr>
      <w:r>
        <w:rPr>
          <w:rFonts w:ascii="Arial" w:cs="Arial" w:eastAsia="Arial" w:hAnsi="Arial"/>
          <w:sz w:val="16"/>
          <w:szCs w:val="16"/>
          <w:color w:val="auto"/>
        </w:rPr>
        <w:t>Consolidated Statements of Operations and Comprehensive Income (Loss) for the fiscal years ended February 1, 2025, February 3, 2024 and January 28, 2023.</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Consolidated Balance Sheets at February 1, 2025 and February 3, 2024.</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Consolidated Statements of Stockholders’ Equity for the fiscal years ended February 1, 2025, February 3, 2024 and January 28, 2023.</w:t>
      </w:r>
    </w:p>
    <w:p>
      <w:pPr>
        <w:spacing w:after="0" w:line="26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Consolidated Statements of Cash Flows for the fiscal years ended February 1, 2025, February 3, 2024 and January 28, 2023.</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Notes to Consolidated Financial Statements.</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Report of Independent Registered Public Accounting Firm — PricewaterhouseCoopers LLP. (PCAOB ID 238)</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Consolidated Financial Statement Schedules:</w:t>
      </w:r>
    </w:p>
    <w:p>
      <w:pPr>
        <w:spacing w:after="0" w:line="248" w:lineRule="exact"/>
        <w:rPr>
          <w:sz w:val="20"/>
          <w:szCs w:val="20"/>
          <w:color w:val="auto"/>
        </w:rPr>
      </w:pPr>
    </w:p>
    <w:p>
      <w:pPr>
        <w:jc w:val="both"/>
        <w:ind w:left="660"/>
        <w:spacing w:after="0" w:line="286" w:lineRule="auto"/>
        <w:rPr>
          <w:sz w:val="20"/>
          <w:szCs w:val="20"/>
          <w:color w:val="auto"/>
        </w:rPr>
      </w:pPr>
      <w:r>
        <w:rPr>
          <w:rFonts w:ascii="Arial" w:cs="Arial" w:eastAsia="Arial" w:hAnsi="Arial"/>
          <w:sz w:val="16"/>
          <w:szCs w:val="16"/>
          <w:color w:val="auto"/>
        </w:rPr>
        <w:t>All financial statement schedules for which provision is made in the applicable accounting regulations of the SEC are omitted because the required information is either not applicable or not material.</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(3) Exhibits:</w:t>
      </w:r>
    </w:p>
    <w:p>
      <w:pPr>
        <w:spacing w:after="0" w:line="248" w:lineRule="exact"/>
        <w:rPr>
          <w:sz w:val="20"/>
          <w:szCs w:val="20"/>
          <w:color w:val="auto"/>
        </w:rPr>
      </w:pPr>
    </w:p>
    <w:p>
      <w:pPr>
        <w:jc w:val="both"/>
        <w:ind w:left="660"/>
        <w:spacing w:after="0" w:line="275" w:lineRule="auto"/>
        <w:rPr>
          <w:sz w:val="20"/>
          <w:szCs w:val="20"/>
          <w:color w:val="auto"/>
        </w:rPr>
      </w:pPr>
      <w:r>
        <w:rPr>
          <w:rFonts w:ascii="Arial" w:cs="Arial" w:eastAsia="Arial" w:hAnsi="Arial"/>
          <w:sz w:val="16"/>
          <w:szCs w:val="16"/>
          <w:color w:val="auto"/>
        </w:rPr>
        <w:t>The documents listed in the Index to Exhibits that immediately precedes the Signatures page of this Annual Report on Form 10-K are filed or furnished with this Annual Report on Form 10-K as exhibits or incorporated into this Annual Report on Form 10-K by reference as noted. Each management contract or compensatory plan or arrangement is identified as such in the Index to Exhibits.</w:t>
      </w:r>
    </w:p>
    <w:p>
      <w:pPr>
        <w:spacing w:after="0" w:line="191" w:lineRule="exact"/>
        <w:rPr>
          <w:sz w:val="20"/>
          <w:szCs w:val="20"/>
          <w:color w:val="auto"/>
        </w:rPr>
      </w:pPr>
    </w:p>
    <w:p>
      <w:pPr>
        <w:ind w:left="660" w:hanging="247"/>
        <w:spacing w:after="0" w:line="304" w:lineRule="auto"/>
        <w:tabs>
          <w:tab w:leader="none" w:pos="682"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documents listed in the Index to Exhibits that immediately precedes the Signatures page of this Annual Report on Form 10-K are filed or furnished with this Annual Report on Form 10-K as exhibits or incorporated into this Annual Report on Form 10-K by reference.</w:t>
      </w:r>
    </w:p>
    <w:p>
      <w:pPr>
        <w:spacing w:after="0" w:line="168" w:lineRule="exact"/>
        <w:rPr>
          <w:rFonts w:ascii="Arial" w:cs="Arial" w:eastAsia="Arial" w:hAnsi="Arial"/>
          <w:sz w:val="16"/>
          <w:szCs w:val="16"/>
          <w:color w:val="auto"/>
        </w:rPr>
      </w:pPr>
    </w:p>
    <w:p>
      <w:pPr>
        <w:ind w:left="640" w:hanging="227"/>
        <w:spacing w:after="0"/>
        <w:tabs>
          <w:tab w:leader="none" w:pos="640"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Financial Statement Schedules</w:t>
      </w:r>
    </w:p>
    <w:p>
      <w:pPr>
        <w:spacing w:after="0" w:line="3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9"/>
          <w:szCs w:val="29"/>
          <w:u w:val="single" w:color="auto"/>
          <w:color w:val="AC7E65"/>
        </w:rPr>
        <w:t>Item 16. Form 10-K Summary</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82"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86</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9"/>
          <w:szCs w:val="29"/>
          <w:u w:val="single" w:color="auto"/>
          <w:color w:val="AC7E65"/>
        </w:rPr>
        <w:t>Index to Exhibits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00497F"/>
              </w:rPr>
              <w:t>Exhibit</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F5F5F5"/>
            </w:tcBorders>
          </w:tcPr>
          <w:p>
            <w:pPr>
              <w:spacing w:after="0"/>
              <w:rPr>
                <w:sz w:val="16"/>
                <w:szCs w:val="16"/>
                <w:color w:val="auto"/>
              </w:rPr>
            </w:pPr>
          </w:p>
        </w:tc>
        <w:tc>
          <w:tcPr>
            <w:tcW w:w="4080" w:type="dxa"/>
            <w:vAlign w:val="bottom"/>
            <w:tcBorders>
              <w:bottom w:val="single" w:sz="8" w:color="auto"/>
            </w:tcBorders>
            <w:gridSpan w:val="6"/>
          </w:tcPr>
          <w:p>
            <w:pPr>
              <w:spacing w:after="0"/>
              <w:rPr>
                <w:sz w:val="20"/>
                <w:szCs w:val="20"/>
                <w:color w:val="auto"/>
              </w:rPr>
            </w:pPr>
            <w:r>
              <w:rPr>
                <w:rFonts w:ascii="Arial" w:cs="Arial" w:eastAsia="Arial" w:hAnsi="Arial"/>
                <w:sz w:val="14"/>
                <w:szCs w:val="14"/>
                <w:color w:val="00497F"/>
              </w:rPr>
              <w:t>Document</w:t>
            </w:r>
          </w:p>
        </w:tc>
        <w:tc>
          <w:tcPr>
            <w:tcW w:w="8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59"/>
        </w:trPr>
        <w:tc>
          <w:tcPr>
            <w:tcW w:w="600" w:type="dxa"/>
            <w:vAlign w:val="bottom"/>
            <w:shd w:val="clear" w:color="auto" w:fill="F5F5F5"/>
          </w:tcPr>
          <w:p>
            <w:pPr>
              <w:ind w:left="20"/>
              <w:spacing w:after="0" w:line="159" w:lineRule="exact"/>
              <w:rPr>
                <w:sz w:val="20"/>
                <w:szCs w:val="20"/>
                <w:color w:val="auto"/>
              </w:rPr>
            </w:pPr>
            <w:r>
              <w:rPr>
                <w:rFonts w:ascii="Arial" w:cs="Arial" w:eastAsia="Arial" w:hAnsi="Arial"/>
                <w:sz w:val="14"/>
                <w:szCs w:val="14"/>
                <w:color w:val="auto"/>
              </w:rPr>
              <w:t>3.1</w:t>
            </w:r>
          </w:p>
        </w:tc>
        <w:tc>
          <w:tcPr>
            <w:tcW w:w="320" w:type="dxa"/>
            <w:vAlign w:val="bottom"/>
            <w:shd w:val="clear" w:color="auto" w:fill="F5F5F5"/>
          </w:tcPr>
          <w:p>
            <w:pPr>
              <w:spacing w:after="0"/>
              <w:rPr>
                <w:sz w:val="13"/>
                <w:szCs w:val="13"/>
                <w:color w:val="auto"/>
              </w:rPr>
            </w:pPr>
          </w:p>
        </w:tc>
        <w:tc>
          <w:tcPr>
            <w:tcW w:w="120" w:type="dxa"/>
            <w:vAlign w:val="bottom"/>
            <w:tcBorders>
              <w:right w:val="single" w:sz="8" w:color="F5F5F5"/>
            </w:tcBorders>
            <w:shd w:val="clear" w:color="auto" w:fill="F5F5F5"/>
          </w:tcPr>
          <w:p>
            <w:pPr>
              <w:spacing w:after="0"/>
              <w:rPr>
                <w:sz w:val="13"/>
                <w:szCs w:val="13"/>
                <w:color w:val="auto"/>
              </w:rPr>
            </w:pPr>
          </w:p>
        </w:tc>
        <w:tc>
          <w:tcPr>
            <w:tcW w:w="10560" w:type="dxa"/>
            <w:vAlign w:val="bottom"/>
            <w:gridSpan w:val="40"/>
            <w:shd w:val="clear" w:color="auto" w:fill="F5F5F5"/>
          </w:tcPr>
          <w:p>
            <w:pPr>
              <w:spacing w:after="0" w:line="159" w:lineRule="exact"/>
              <w:rPr>
                <w:rFonts w:ascii="Arial" w:cs="Arial" w:eastAsia="Arial" w:hAnsi="Arial"/>
                <w:sz w:val="14"/>
                <w:szCs w:val="14"/>
                <w:color w:val="0000FF"/>
              </w:rPr>
            </w:pPr>
            <w:hyperlink r:id="rId113">
              <w:r>
                <w:rPr>
                  <w:rFonts w:ascii="Arial" w:cs="Arial" w:eastAsia="Arial" w:hAnsi="Arial"/>
                  <w:sz w:val="14"/>
                  <w:szCs w:val="14"/>
                  <w:color w:val="0000FF"/>
                </w:rPr>
                <w:t>Amended and Restated Certificate of Incorporation of Abercrombie &amp; Fitch Co., reflecting amendments through the date of this Annual Report on Form 10-K,</w:t>
              </w:r>
            </w:hyperlink>
          </w:p>
        </w:tc>
      </w:tr>
      <w:tr>
        <w:trPr>
          <w:trHeight w:val="129"/>
        </w:trPr>
        <w:tc>
          <w:tcPr>
            <w:tcW w:w="600" w:type="dxa"/>
            <w:vAlign w:val="bottom"/>
            <w:tcBorders>
              <w:top w:val="single" w:sz="8" w:color="F5F5F5"/>
              <w:bottom w:val="single" w:sz="8" w:color="F5F5F5"/>
            </w:tcBorders>
            <w:shd w:val="clear" w:color="auto" w:fill="F5F5F5"/>
          </w:tcPr>
          <w:p>
            <w:pPr>
              <w:spacing w:after="0"/>
              <w:rPr>
                <w:sz w:val="11"/>
                <w:szCs w:val="11"/>
                <w:color w:val="auto"/>
              </w:rPr>
            </w:pPr>
          </w:p>
        </w:tc>
        <w:tc>
          <w:tcPr>
            <w:tcW w:w="320" w:type="dxa"/>
            <w:vAlign w:val="bottom"/>
            <w:tcBorders>
              <w:top w:val="single" w:sz="8" w:color="F5F5F5"/>
              <w:bottom w:val="single" w:sz="8" w:color="F5F5F5"/>
            </w:tcBorders>
            <w:shd w:val="clear" w:color="auto" w:fill="F5F5F5"/>
          </w:tcPr>
          <w:p>
            <w:pPr>
              <w:spacing w:after="0"/>
              <w:rPr>
                <w:sz w:val="11"/>
                <w:szCs w:val="11"/>
                <w:color w:val="auto"/>
              </w:rPr>
            </w:pPr>
          </w:p>
        </w:tc>
        <w:tc>
          <w:tcPr>
            <w:tcW w:w="120" w:type="dxa"/>
            <w:vAlign w:val="bottom"/>
            <w:tcBorders>
              <w:top w:val="single" w:sz="8" w:color="F5F5F5"/>
              <w:bottom w:val="single" w:sz="8" w:color="F5F5F5"/>
              <w:right w:val="single" w:sz="8" w:color="F5F5F5"/>
            </w:tcBorders>
            <w:shd w:val="clear" w:color="auto" w:fill="F5F5F5"/>
          </w:tcPr>
          <w:p>
            <w:pPr>
              <w:spacing w:after="0"/>
              <w:rPr>
                <w:sz w:val="11"/>
                <w:szCs w:val="11"/>
                <w:color w:val="auto"/>
              </w:rPr>
            </w:pPr>
          </w:p>
        </w:tc>
        <w:tc>
          <w:tcPr>
            <w:tcW w:w="10240" w:type="dxa"/>
            <w:vAlign w:val="bottom"/>
            <w:tcBorders>
              <w:top w:val="single" w:sz="8" w:color="0000FF"/>
              <w:bottom w:val="single" w:sz="8" w:color="0000FF"/>
            </w:tcBorders>
            <w:gridSpan w:val="24"/>
            <w:shd w:val="clear" w:color="auto" w:fill="F5F5F5"/>
          </w:tcPr>
          <w:p>
            <w:pPr>
              <w:spacing w:after="0" w:line="129" w:lineRule="exact"/>
              <w:rPr>
                <w:rFonts w:ascii="Arial" w:cs="Arial" w:eastAsia="Arial" w:hAnsi="Arial"/>
                <w:sz w:val="14"/>
                <w:szCs w:val="14"/>
                <w:color w:val="0000FF"/>
              </w:rPr>
            </w:pPr>
            <w:hyperlink r:id="rId113">
              <w:r>
                <w:rPr>
                  <w:rFonts w:ascii="Arial" w:cs="Arial" w:eastAsia="Arial" w:hAnsi="Arial"/>
                  <w:sz w:val="14"/>
                  <w:szCs w:val="14"/>
                  <w:color w:val="0000FF"/>
                </w:rPr>
                <w:t>incorporated herein by reference to Exhibit 3.2 to A&amp;F’s Quarterly Report on Form 10-Q for the quarterly period ended July 30, 2011 (File No. 001-12107). [This</w:t>
              </w:r>
            </w:hyperlink>
          </w:p>
        </w:tc>
        <w:tc>
          <w:tcPr>
            <w:tcW w:w="20" w:type="dxa"/>
            <w:vAlign w:val="bottom"/>
            <w:tcBorders>
              <w:top w:val="single" w:sz="8" w:color="F5F5F5"/>
              <w:bottom w:val="single" w:sz="8" w:color="0000FF"/>
            </w:tcBorders>
            <w:shd w:val="clear" w:color="auto" w:fill="F5F5F5"/>
          </w:tcPr>
          <w:p>
            <w:pPr>
              <w:spacing w:after="0"/>
              <w:rPr>
                <w:sz w:val="11"/>
                <w:szCs w:val="11"/>
                <w:color w:val="auto"/>
              </w:rPr>
            </w:pPr>
          </w:p>
        </w:tc>
        <w:tc>
          <w:tcPr>
            <w:tcW w:w="20" w:type="dxa"/>
            <w:vAlign w:val="bottom"/>
            <w:tcBorders>
              <w:top w:val="single" w:sz="8" w:color="F5F5F5"/>
              <w:bottom w:val="single" w:sz="8" w:color="F5F5F5"/>
            </w:tcBorders>
            <w:shd w:val="clear" w:color="auto" w:fill="F5F5F5"/>
          </w:tcPr>
          <w:p>
            <w:pPr>
              <w:spacing w:after="0"/>
              <w:rPr>
                <w:sz w:val="11"/>
                <w:szCs w:val="11"/>
                <w:color w:val="auto"/>
              </w:rPr>
            </w:pPr>
          </w:p>
        </w:tc>
        <w:tc>
          <w:tcPr>
            <w:tcW w:w="20" w:type="dxa"/>
            <w:vAlign w:val="bottom"/>
            <w:tcBorders>
              <w:top w:val="single" w:sz="8" w:color="F5F5F5"/>
              <w:bottom w:val="single" w:sz="8" w:color="F5F5F5"/>
            </w:tcBorders>
            <w:shd w:val="clear" w:color="auto" w:fill="F5F5F5"/>
          </w:tcPr>
          <w:p>
            <w:pPr>
              <w:spacing w:after="0"/>
              <w:rPr>
                <w:sz w:val="11"/>
                <w:szCs w:val="11"/>
                <w:color w:val="auto"/>
              </w:rPr>
            </w:pPr>
          </w:p>
        </w:tc>
        <w:tc>
          <w:tcPr>
            <w:tcW w:w="20" w:type="dxa"/>
            <w:vAlign w:val="bottom"/>
            <w:tcBorders>
              <w:top w:val="single" w:sz="8" w:color="F5F5F5"/>
              <w:bottom w:val="single" w:sz="8" w:color="F5F5F5"/>
            </w:tcBorders>
            <w:shd w:val="clear" w:color="auto" w:fill="F5F5F5"/>
          </w:tcPr>
          <w:p>
            <w:pPr>
              <w:spacing w:after="0"/>
              <w:rPr>
                <w:sz w:val="11"/>
                <w:szCs w:val="11"/>
                <w:color w:val="auto"/>
              </w:rPr>
            </w:pPr>
          </w:p>
        </w:tc>
        <w:tc>
          <w:tcPr>
            <w:tcW w:w="20" w:type="dxa"/>
            <w:vAlign w:val="bottom"/>
            <w:tcBorders>
              <w:top w:val="single" w:sz="8" w:color="F5F5F5"/>
              <w:bottom w:val="single" w:sz="8" w:color="F5F5F5"/>
            </w:tcBorders>
            <w:shd w:val="clear" w:color="auto" w:fill="F5F5F5"/>
          </w:tcPr>
          <w:p>
            <w:pPr>
              <w:spacing w:after="0"/>
              <w:rPr>
                <w:sz w:val="11"/>
                <w:szCs w:val="11"/>
                <w:color w:val="auto"/>
              </w:rPr>
            </w:pPr>
          </w:p>
        </w:tc>
        <w:tc>
          <w:tcPr>
            <w:tcW w:w="20" w:type="dxa"/>
            <w:vAlign w:val="bottom"/>
            <w:tcBorders>
              <w:top w:val="single" w:sz="8" w:color="F5F5F5"/>
              <w:bottom w:val="single" w:sz="8" w:color="F5F5F5"/>
            </w:tcBorders>
            <w:shd w:val="clear" w:color="auto" w:fill="F5F5F5"/>
          </w:tcPr>
          <w:p>
            <w:pPr>
              <w:spacing w:after="0"/>
              <w:rPr>
                <w:sz w:val="11"/>
                <w:szCs w:val="11"/>
                <w:color w:val="auto"/>
              </w:rPr>
            </w:pPr>
          </w:p>
        </w:tc>
        <w:tc>
          <w:tcPr>
            <w:tcW w:w="20" w:type="dxa"/>
            <w:vAlign w:val="bottom"/>
            <w:tcBorders>
              <w:top w:val="single" w:sz="8" w:color="F5F5F5"/>
              <w:bottom w:val="single" w:sz="8" w:color="F5F5F5"/>
            </w:tcBorders>
            <w:shd w:val="clear" w:color="auto" w:fill="F5F5F5"/>
          </w:tcPr>
          <w:p>
            <w:pPr>
              <w:spacing w:after="0"/>
              <w:rPr>
                <w:sz w:val="11"/>
                <w:szCs w:val="11"/>
                <w:color w:val="auto"/>
              </w:rPr>
            </w:pPr>
          </w:p>
        </w:tc>
        <w:tc>
          <w:tcPr>
            <w:tcW w:w="20" w:type="dxa"/>
            <w:vAlign w:val="bottom"/>
            <w:tcBorders>
              <w:top w:val="single" w:sz="8" w:color="F5F5F5"/>
              <w:bottom w:val="single" w:sz="8" w:color="F5F5F5"/>
            </w:tcBorders>
            <w:shd w:val="clear" w:color="auto" w:fill="F5F5F5"/>
          </w:tcPr>
          <w:p>
            <w:pPr>
              <w:spacing w:after="0"/>
              <w:rPr>
                <w:sz w:val="11"/>
                <w:szCs w:val="11"/>
                <w:color w:val="auto"/>
              </w:rPr>
            </w:pPr>
          </w:p>
        </w:tc>
        <w:tc>
          <w:tcPr>
            <w:tcW w:w="20" w:type="dxa"/>
            <w:vAlign w:val="bottom"/>
            <w:tcBorders>
              <w:top w:val="single" w:sz="8" w:color="F5F5F5"/>
              <w:bottom w:val="single" w:sz="8" w:color="F5F5F5"/>
            </w:tcBorders>
            <w:shd w:val="clear" w:color="auto" w:fill="F5F5F5"/>
          </w:tcPr>
          <w:p>
            <w:pPr>
              <w:spacing w:after="0"/>
              <w:rPr>
                <w:sz w:val="11"/>
                <w:szCs w:val="11"/>
                <w:color w:val="auto"/>
              </w:rPr>
            </w:pPr>
          </w:p>
        </w:tc>
        <w:tc>
          <w:tcPr>
            <w:tcW w:w="20" w:type="dxa"/>
            <w:vAlign w:val="bottom"/>
            <w:tcBorders>
              <w:top w:val="single" w:sz="8" w:color="F5F5F5"/>
              <w:bottom w:val="single" w:sz="8" w:color="F5F5F5"/>
            </w:tcBorders>
            <w:shd w:val="clear" w:color="auto" w:fill="F5F5F5"/>
          </w:tcPr>
          <w:p>
            <w:pPr>
              <w:spacing w:after="0"/>
              <w:rPr>
                <w:sz w:val="11"/>
                <w:szCs w:val="11"/>
                <w:color w:val="auto"/>
              </w:rPr>
            </w:pPr>
          </w:p>
        </w:tc>
        <w:tc>
          <w:tcPr>
            <w:tcW w:w="20" w:type="dxa"/>
            <w:vAlign w:val="bottom"/>
            <w:tcBorders>
              <w:top w:val="single" w:sz="8" w:color="F5F5F5"/>
              <w:bottom w:val="single" w:sz="8" w:color="F5F5F5"/>
            </w:tcBorders>
            <w:shd w:val="clear" w:color="auto" w:fill="F5F5F5"/>
          </w:tcPr>
          <w:p>
            <w:pPr>
              <w:spacing w:after="0"/>
              <w:rPr>
                <w:sz w:val="11"/>
                <w:szCs w:val="11"/>
                <w:color w:val="auto"/>
              </w:rPr>
            </w:pPr>
          </w:p>
        </w:tc>
        <w:tc>
          <w:tcPr>
            <w:tcW w:w="20" w:type="dxa"/>
            <w:vAlign w:val="bottom"/>
            <w:tcBorders>
              <w:top w:val="single" w:sz="8" w:color="F5F5F5"/>
              <w:bottom w:val="single" w:sz="8" w:color="F5F5F5"/>
            </w:tcBorders>
            <w:shd w:val="clear" w:color="auto" w:fill="F5F5F5"/>
          </w:tcPr>
          <w:p>
            <w:pPr>
              <w:spacing w:after="0"/>
              <w:rPr>
                <w:sz w:val="11"/>
                <w:szCs w:val="11"/>
                <w:color w:val="auto"/>
              </w:rPr>
            </w:pPr>
          </w:p>
        </w:tc>
        <w:tc>
          <w:tcPr>
            <w:tcW w:w="20" w:type="dxa"/>
            <w:vAlign w:val="bottom"/>
            <w:tcBorders>
              <w:top w:val="single" w:sz="8" w:color="F5F5F5"/>
              <w:bottom w:val="single" w:sz="8" w:color="F5F5F5"/>
            </w:tcBorders>
            <w:shd w:val="clear" w:color="auto" w:fill="F5F5F5"/>
          </w:tcPr>
          <w:p>
            <w:pPr>
              <w:spacing w:after="0"/>
              <w:rPr>
                <w:sz w:val="11"/>
                <w:szCs w:val="11"/>
                <w:color w:val="auto"/>
              </w:rPr>
            </w:pPr>
          </w:p>
        </w:tc>
        <w:tc>
          <w:tcPr>
            <w:tcW w:w="20" w:type="dxa"/>
            <w:vAlign w:val="bottom"/>
            <w:tcBorders>
              <w:top w:val="single" w:sz="8" w:color="F5F5F5"/>
              <w:bottom w:val="single" w:sz="8" w:color="F5F5F5"/>
            </w:tcBorders>
            <w:shd w:val="clear" w:color="auto" w:fill="F5F5F5"/>
          </w:tcPr>
          <w:p>
            <w:pPr>
              <w:spacing w:after="0"/>
              <w:rPr>
                <w:sz w:val="11"/>
                <w:szCs w:val="11"/>
                <w:color w:val="auto"/>
              </w:rPr>
            </w:pPr>
          </w:p>
        </w:tc>
        <w:tc>
          <w:tcPr>
            <w:tcW w:w="20" w:type="dxa"/>
            <w:vAlign w:val="bottom"/>
            <w:tcBorders>
              <w:top w:val="single" w:sz="8" w:color="F5F5F5"/>
              <w:bottom w:val="single" w:sz="8" w:color="F5F5F5"/>
            </w:tcBorders>
            <w:shd w:val="clear" w:color="auto" w:fill="F5F5F5"/>
          </w:tcPr>
          <w:p>
            <w:pPr>
              <w:spacing w:after="0"/>
              <w:rPr>
                <w:sz w:val="11"/>
                <w:szCs w:val="11"/>
                <w:color w:val="auto"/>
              </w:rPr>
            </w:pPr>
          </w:p>
        </w:tc>
        <w:tc>
          <w:tcPr>
            <w:tcW w:w="20" w:type="dxa"/>
            <w:vAlign w:val="bottom"/>
            <w:tcBorders>
              <w:top w:val="single" w:sz="8" w:color="F5F5F5"/>
              <w:bottom w:val="single" w:sz="8" w:color="F5F5F5"/>
            </w:tcBorders>
            <w:shd w:val="clear" w:color="auto" w:fill="F5F5F5"/>
          </w:tcPr>
          <w:p>
            <w:pPr>
              <w:spacing w:after="0"/>
              <w:rPr>
                <w:sz w:val="11"/>
                <w:szCs w:val="11"/>
                <w:color w:val="auto"/>
              </w:rPr>
            </w:pPr>
          </w:p>
        </w:tc>
      </w:tr>
      <w:tr>
        <w:trPr>
          <w:trHeight w:val="128"/>
        </w:trPr>
        <w:tc>
          <w:tcPr>
            <w:tcW w:w="600" w:type="dxa"/>
            <w:vAlign w:val="bottom"/>
            <w:shd w:val="clear" w:color="auto" w:fill="F5F5F5"/>
          </w:tcPr>
          <w:p>
            <w:pPr>
              <w:spacing w:after="0"/>
              <w:rPr>
                <w:sz w:val="11"/>
                <w:szCs w:val="11"/>
                <w:color w:val="auto"/>
              </w:rPr>
            </w:pPr>
          </w:p>
        </w:tc>
        <w:tc>
          <w:tcPr>
            <w:tcW w:w="320" w:type="dxa"/>
            <w:vAlign w:val="bottom"/>
            <w:shd w:val="clear" w:color="auto" w:fill="F5F5F5"/>
          </w:tcPr>
          <w:p>
            <w:pPr>
              <w:spacing w:after="0"/>
              <w:rPr>
                <w:sz w:val="11"/>
                <w:szCs w:val="11"/>
                <w:color w:val="auto"/>
              </w:rPr>
            </w:pPr>
          </w:p>
        </w:tc>
        <w:tc>
          <w:tcPr>
            <w:tcW w:w="120" w:type="dxa"/>
            <w:vAlign w:val="bottom"/>
            <w:tcBorders>
              <w:right w:val="single" w:sz="8" w:color="F5F5F5"/>
            </w:tcBorders>
            <w:shd w:val="clear" w:color="auto" w:fill="F5F5F5"/>
          </w:tcPr>
          <w:p>
            <w:pPr>
              <w:spacing w:after="0"/>
              <w:rPr>
                <w:sz w:val="11"/>
                <w:szCs w:val="11"/>
                <w:color w:val="auto"/>
              </w:rPr>
            </w:pPr>
          </w:p>
        </w:tc>
        <w:tc>
          <w:tcPr>
            <w:tcW w:w="10260" w:type="dxa"/>
            <w:vAlign w:val="bottom"/>
            <w:gridSpan w:val="25"/>
            <w:shd w:val="clear" w:color="auto" w:fill="F5F5F5"/>
          </w:tcPr>
          <w:p>
            <w:pPr>
              <w:spacing w:after="0" w:line="129" w:lineRule="exact"/>
              <w:rPr>
                <w:rFonts w:ascii="Arial" w:cs="Arial" w:eastAsia="Arial" w:hAnsi="Arial"/>
                <w:sz w:val="14"/>
                <w:szCs w:val="14"/>
                <w:color w:val="0000FF"/>
              </w:rPr>
            </w:pPr>
            <w:hyperlink r:id="rId113">
              <w:r>
                <w:rPr>
                  <w:rFonts w:ascii="Arial" w:cs="Arial" w:eastAsia="Arial" w:hAnsi="Arial"/>
                  <w:sz w:val="14"/>
                  <w:szCs w:val="14"/>
                  <w:color w:val="0000FF"/>
                </w:rPr>
                <w:t>document represents the Amended and Restated Certificate of Incorporation of Abercrombie &amp; Fitch Co. in compiled form incorporating all amendments. This</w:t>
              </w:r>
            </w:hyperlink>
          </w:p>
        </w:tc>
        <w:tc>
          <w:tcPr>
            <w:tcW w:w="20" w:type="dxa"/>
            <w:vAlign w:val="bottom"/>
            <w:shd w:val="clear" w:color="auto" w:fill="F5F5F5"/>
          </w:tcPr>
          <w:p>
            <w:pPr>
              <w:spacing w:after="0"/>
              <w:rPr>
                <w:sz w:val="11"/>
                <w:szCs w:val="11"/>
                <w:color w:val="auto"/>
              </w:rPr>
            </w:pPr>
          </w:p>
        </w:tc>
        <w:tc>
          <w:tcPr>
            <w:tcW w:w="20" w:type="dxa"/>
            <w:vAlign w:val="bottom"/>
            <w:shd w:val="clear" w:color="auto" w:fill="F5F5F5"/>
          </w:tcPr>
          <w:p>
            <w:pPr>
              <w:spacing w:after="0"/>
              <w:rPr>
                <w:sz w:val="11"/>
                <w:szCs w:val="11"/>
                <w:color w:val="auto"/>
              </w:rPr>
            </w:pPr>
          </w:p>
        </w:tc>
        <w:tc>
          <w:tcPr>
            <w:tcW w:w="20" w:type="dxa"/>
            <w:vAlign w:val="bottom"/>
            <w:shd w:val="clear" w:color="auto" w:fill="F5F5F5"/>
          </w:tcPr>
          <w:p>
            <w:pPr>
              <w:spacing w:after="0"/>
              <w:rPr>
                <w:sz w:val="11"/>
                <w:szCs w:val="11"/>
                <w:color w:val="auto"/>
              </w:rPr>
            </w:pPr>
          </w:p>
        </w:tc>
        <w:tc>
          <w:tcPr>
            <w:tcW w:w="20" w:type="dxa"/>
            <w:vAlign w:val="bottom"/>
            <w:shd w:val="clear" w:color="auto" w:fill="F5F5F5"/>
          </w:tcPr>
          <w:p>
            <w:pPr>
              <w:spacing w:after="0"/>
              <w:rPr>
                <w:sz w:val="11"/>
                <w:szCs w:val="11"/>
                <w:color w:val="auto"/>
              </w:rPr>
            </w:pPr>
          </w:p>
        </w:tc>
        <w:tc>
          <w:tcPr>
            <w:tcW w:w="20" w:type="dxa"/>
            <w:vAlign w:val="bottom"/>
            <w:shd w:val="clear" w:color="auto" w:fill="F5F5F5"/>
          </w:tcPr>
          <w:p>
            <w:pPr>
              <w:spacing w:after="0"/>
              <w:rPr>
                <w:sz w:val="11"/>
                <w:szCs w:val="11"/>
                <w:color w:val="auto"/>
              </w:rPr>
            </w:pPr>
          </w:p>
        </w:tc>
        <w:tc>
          <w:tcPr>
            <w:tcW w:w="20" w:type="dxa"/>
            <w:vAlign w:val="bottom"/>
            <w:shd w:val="clear" w:color="auto" w:fill="F5F5F5"/>
          </w:tcPr>
          <w:p>
            <w:pPr>
              <w:spacing w:after="0"/>
              <w:rPr>
                <w:sz w:val="11"/>
                <w:szCs w:val="11"/>
                <w:color w:val="auto"/>
              </w:rPr>
            </w:pPr>
          </w:p>
        </w:tc>
        <w:tc>
          <w:tcPr>
            <w:tcW w:w="20" w:type="dxa"/>
            <w:vAlign w:val="bottom"/>
            <w:shd w:val="clear" w:color="auto" w:fill="F5F5F5"/>
          </w:tcPr>
          <w:p>
            <w:pPr>
              <w:spacing w:after="0"/>
              <w:rPr>
                <w:sz w:val="11"/>
                <w:szCs w:val="11"/>
                <w:color w:val="auto"/>
              </w:rPr>
            </w:pPr>
          </w:p>
        </w:tc>
        <w:tc>
          <w:tcPr>
            <w:tcW w:w="20" w:type="dxa"/>
            <w:vAlign w:val="bottom"/>
            <w:shd w:val="clear" w:color="auto" w:fill="F5F5F5"/>
          </w:tcPr>
          <w:p>
            <w:pPr>
              <w:spacing w:after="0"/>
              <w:rPr>
                <w:sz w:val="11"/>
                <w:szCs w:val="11"/>
                <w:color w:val="auto"/>
              </w:rPr>
            </w:pPr>
          </w:p>
        </w:tc>
        <w:tc>
          <w:tcPr>
            <w:tcW w:w="20" w:type="dxa"/>
            <w:vAlign w:val="bottom"/>
            <w:shd w:val="clear" w:color="auto" w:fill="F5F5F5"/>
          </w:tcPr>
          <w:p>
            <w:pPr>
              <w:spacing w:after="0"/>
              <w:rPr>
                <w:sz w:val="11"/>
                <w:szCs w:val="11"/>
                <w:color w:val="auto"/>
              </w:rPr>
            </w:pPr>
          </w:p>
        </w:tc>
        <w:tc>
          <w:tcPr>
            <w:tcW w:w="20" w:type="dxa"/>
            <w:vAlign w:val="bottom"/>
            <w:shd w:val="clear" w:color="auto" w:fill="F5F5F5"/>
          </w:tcPr>
          <w:p>
            <w:pPr>
              <w:spacing w:after="0"/>
              <w:rPr>
                <w:sz w:val="11"/>
                <w:szCs w:val="11"/>
                <w:color w:val="auto"/>
              </w:rPr>
            </w:pPr>
          </w:p>
        </w:tc>
        <w:tc>
          <w:tcPr>
            <w:tcW w:w="20" w:type="dxa"/>
            <w:vAlign w:val="bottom"/>
            <w:shd w:val="clear" w:color="auto" w:fill="F5F5F5"/>
          </w:tcPr>
          <w:p>
            <w:pPr>
              <w:spacing w:after="0"/>
              <w:rPr>
                <w:sz w:val="11"/>
                <w:szCs w:val="11"/>
                <w:color w:val="auto"/>
              </w:rPr>
            </w:pPr>
          </w:p>
        </w:tc>
        <w:tc>
          <w:tcPr>
            <w:tcW w:w="20" w:type="dxa"/>
            <w:vAlign w:val="bottom"/>
            <w:shd w:val="clear" w:color="auto" w:fill="F5F5F5"/>
          </w:tcPr>
          <w:p>
            <w:pPr>
              <w:spacing w:after="0"/>
              <w:rPr>
                <w:sz w:val="11"/>
                <w:szCs w:val="11"/>
                <w:color w:val="auto"/>
              </w:rPr>
            </w:pPr>
          </w:p>
        </w:tc>
        <w:tc>
          <w:tcPr>
            <w:tcW w:w="20" w:type="dxa"/>
            <w:vAlign w:val="bottom"/>
            <w:shd w:val="clear" w:color="auto" w:fill="F5F5F5"/>
          </w:tcPr>
          <w:p>
            <w:pPr>
              <w:spacing w:after="0"/>
              <w:rPr>
                <w:sz w:val="11"/>
                <w:szCs w:val="11"/>
                <w:color w:val="auto"/>
              </w:rPr>
            </w:pPr>
          </w:p>
        </w:tc>
        <w:tc>
          <w:tcPr>
            <w:tcW w:w="20" w:type="dxa"/>
            <w:vAlign w:val="bottom"/>
            <w:shd w:val="clear" w:color="auto" w:fill="F5F5F5"/>
          </w:tcPr>
          <w:p>
            <w:pPr>
              <w:spacing w:after="0"/>
              <w:rPr>
                <w:sz w:val="11"/>
                <w:szCs w:val="11"/>
                <w:color w:val="auto"/>
              </w:rPr>
            </w:pPr>
          </w:p>
        </w:tc>
        <w:tc>
          <w:tcPr>
            <w:tcW w:w="20" w:type="dxa"/>
            <w:vAlign w:val="bottom"/>
            <w:shd w:val="clear" w:color="auto" w:fill="F5F5F5"/>
          </w:tcPr>
          <w:p>
            <w:pPr>
              <w:spacing w:after="0"/>
              <w:rPr>
                <w:sz w:val="11"/>
                <w:szCs w:val="11"/>
                <w:color w:val="auto"/>
              </w:rPr>
            </w:pPr>
          </w:p>
        </w:tc>
      </w:tr>
      <w:tr>
        <w:trPr>
          <w:trHeight w:val="136"/>
        </w:trPr>
        <w:tc>
          <w:tcPr>
            <w:tcW w:w="600" w:type="dxa"/>
            <w:vAlign w:val="bottom"/>
            <w:tcBorders>
              <w:top w:val="single" w:sz="8" w:color="F5F5F5"/>
              <w:bottom w:val="single" w:sz="8" w:color="F5F5F5"/>
            </w:tcBorders>
            <w:shd w:val="clear" w:color="auto" w:fill="F5F5F5"/>
          </w:tcPr>
          <w:p>
            <w:pPr>
              <w:spacing w:after="0"/>
              <w:rPr>
                <w:sz w:val="11"/>
                <w:szCs w:val="11"/>
                <w:color w:val="auto"/>
              </w:rPr>
            </w:pPr>
          </w:p>
        </w:tc>
        <w:tc>
          <w:tcPr>
            <w:tcW w:w="320" w:type="dxa"/>
            <w:vAlign w:val="bottom"/>
            <w:tcBorders>
              <w:top w:val="single" w:sz="8" w:color="F5F5F5"/>
              <w:bottom w:val="single" w:sz="8" w:color="F5F5F5"/>
            </w:tcBorders>
            <w:shd w:val="clear" w:color="auto" w:fill="F5F5F5"/>
          </w:tcPr>
          <w:p>
            <w:pPr>
              <w:spacing w:after="0"/>
              <w:rPr>
                <w:sz w:val="11"/>
                <w:szCs w:val="11"/>
                <w:color w:val="auto"/>
              </w:rPr>
            </w:pPr>
          </w:p>
        </w:tc>
        <w:tc>
          <w:tcPr>
            <w:tcW w:w="120" w:type="dxa"/>
            <w:vAlign w:val="bottom"/>
            <w:tcBorders>
              <w:top w:val="single" w:sz="8" w:color="F5F5F5"/>
              <w:bottom w:val="single" w:sz="8" w:color="F5F5F5"/>
              <w:right w:val="single" w:sz="8" w:color="F5F5F5"/>
            </w:tcBorders>
            <w:shd w:val="clear" w:color="auto" w:fill="F5F5F5"/>
          </w:tcPr>
          <w:p>
            <w:pPr>
              <w:spacing w:after="0"/>
              <w:rPr>
                <w:sz w:val="11"/>
                <w:szCs w:val="11"/>
                <w:color w:val="auto"/>
              </w:rPr>
            </w:pPr>
          </w:p>
        </w:tc>
        <w:tc>
          <w:tcPr>
            <w:tcW w:w="4880" w:type="dxa"/>
            <w:vAlign w:val="bottom"/>
            <w:tcBorders>
              <w:top w:val="single" w:sz="8" w:color="0000FF"/>
              <w:bottom w:val="single" w:sz="8" w:color="0000FF"/>
            </w:tcBorders>
            <w:gridSpan w:val="7"/>
            <w:shd w:val="clear" w:color="auto" w:fill="F5F5F5"/>
          </w:tcPr>
          <w:p>
            <w:pPr>
              <w:spacing w:after="0" w:line="115" w:lineRule="exact"/>
              <w:rPr>
                <w:rFonts w:ascii="Arial" w:cs="Arial" w:eastAsia="Arial" w:hAnsi="Arial"/>
                <w:sz w:val="13"/>
                <w:szCs w:val="13"/>
                <w:color w:val="0000FF"/>
              </w:rPr>
            </w:pPr>
            <w:hyperlink r:id="rId113">
              <w:r>
                <w:rPr>
                  <w:rFonts w:ascii="Arial" w:cs="Arial" w:eastAsia="Arial" w:hAnsi="Arial"/>
                  <w:sz w:val="13"/>
                  <w:szCs w:val="13"/>
                  <w:color w:val="0000FF"/>
                </w:rPr>
                <w:t>compiled document has not been filed with the Delaware Secretary of State.]</w:t>
              </w:r>
            </w:hyperlink>
          </w:p>
        </w:tc>
        <w:tc>
          <w:tcPr>
            <w:tcW w:w="3400" w:type="dxa"/>
            <w:vAlign w:val="bottom"/>
            <w:tcBorders>
              <w:top w:val="single" w:sz="8" w:color="0000FF"/>
              <w:bottom w:val="single" w:sz="8" w:color="F5F5F5"/>
            </w:tcBorders>
            <w:gridSpan w:val="7"/>
            <w:shd w:val="clear" w:color="auto" w:fill="F5F5F5"/>
          </w:tcPr>
          <w:p>
            <w:pPr>
              <w:spacing w:after="0"/>
              <w:rPr>
                <w:sz w:val="11"/>
                <w:szCs w:val="11"/>
                <w:color w:val="auto"/>
              </w:rPr>
            </w:pPr>
          </w:p>
        </w:tc>
        <w:tc>
          <w:tcPr>
            <w:tcW w:w="700" w:type="dxa"/>
            <w:vAlign w:val="bottom"/>
            <w:tcBorders>
              <w:top w:val="single" w:sz="8" w:color="0000FF"/>
              <w:bottom w:val="single" w:sz="8" w:color="F5F5F5"/>
            </w:tcBorders>
            <w:shd w:val="clear" w:color="auto" w:fill="F5F5F5"/>
          </w:tcPr>
          <w:p>
            <w:pPr>
              <w:spacing w:after="0"/>
              <w:rPr>
                <w:sz w:val="11"/>
                <w:szCs w:val="11"/>
                <w:color w:val="auto"/>
              </w:rPr>
            </w:pPr>
          </w:p>
        </w:tc>
        <w:tc>
          <w:tcPr>
            <w:tcW w:w="320" w:type="dxa"/>
            <w:vAlign w:val="bottom"/>
            <w:tcBorders>
              <w:top w:val="single" w:sz="8" w:color="0000FF"/>
              <w:bottom w:val="single" w:sz="8" w:color="F5F5F5"/>
            </w:tcBorders>
            <w:shd w:val="clear" w:color="auto" w:fill="F5F5F5"/>
          </w:tcPr>
          <w:p>
            <w:pPr>
              <w:spacing w:after="0"/>
              <w:rPr>
                <w:sz w:val="11"/>
                <w:szCs w:val="11"/>
                <w:color w:val="auto"/>
              </w:rPr>
            </w:pPr>
          </w:p>
        </w:tc>
        <w:tc>
          <w:tcPr>
            <w:tcW w:w="380" w:type="dxa"/>
            <w:vAlign w:val="bottom"/>
            <w:tcBorders>
              <w:top w:val="single" w:sz="8" w:color="0000FF"/>
              <w:bottom w:val="single" w:sz="8" w:color="F5F5F5"/>
            </w:tcBorders>
            <w:shd w:val="clear" w:color="auto" w:fill="F5F5F5"/>
          </w:tcPr>
          <w:p>
            <w:pPr>
              <w:spacing w:after="0"/>
              <w:rPr>
                <w:sz w:val="11"/>
                <w:szCs w:val="11"/>
                <w:color w:val="auto"/>
              </w:rPr>
            </w:pPr>
          </w:p>
        </w:tc>
        <w:tc>
          <w:tcPr>
            <w:tcW w:w="380" w:type="dxa"/>
            <w:vAlign w:val="bottom"/>
            <w:tcBorders>
              <w:top w:val="single" w:sz="8" w:color="0000FF"/>
              <w:bottom w:val="single" w:sz="8" w:color="F5F5F5"/>
            </w:tcBorders>
            <w:shd w:val="clear" w:color="auto" w:fill="F5F5F5"/>
          </w:tcPr>
          <w:p>
            <w:pPr>
              <w:spacing w:after="0"/>
              <w:rPr>
                <w:sz w:val="11"/>
                <w:szCs w:val="11"/>
                <w:color w:val="auto"/>
              </w:rPr>
            </w:pPr>
          </w:p>
        </w:tc>
        <w:tc>
          <w:tcPr>
            <w:tcW w:w="20" w:type="dxa"/>
            <w:vAlign w:val="bottom"/>
            <w:tcBorders>
              <w:top w:val="single" w:sz="8" w:color="0000FF"/>
              <w:bottom w:val="single" w:sz="8" w:color="F5F5F5"/>
            </w:tcBorders>
            <w:shd w:val="clear" w:color="auto" w:fill="F5F5F5"/>
          </w:tcPr>
          <w:p>
            <w:pPr>
              <w:spacing w:after="0"/>
              <w:rPr>
                <w:sz w:val="11"/>
                <w:szCs w:val="11"/>
                <w:color w:val="auto"/>
              </w:rPr>
            </w:pPr>
          </w:p>
        </w:tc>
        <w:tc>
          <w:tcPr>
            <w:tcW w:w="80" w:type="dxa"/>
            <w:vAlign w:val="bottom"/>
            <w:tcBorders>
              <w:top w:val="single" w:sz="8" w:color="0000FF"/>
              <w:bottom w:val="single" w:sz="8" w:color="F5F5F5"/>
            </w:tcBorders>
            <w:shd w:val="clear" w:color="auto" w:fill="F5F5F5"/>
          </w:tcPr>
          <w:p>
            <w:pPr>
              <w:spacing w:after="0"/>
              <w:rPr>
                <w:sz w:val="11"/>
                <w:szCs w:val="11"/>
                <w:color w:val="auto"/>
              </w:rPr>
            </w:pPr>
          </w:p>
        </w:tc>
        <w:tc>
          <w:tcPr>
            <w:tcW w:w="20" w:type="dxa"/>
            <w:vAlign w:val="bottom"/>
            <w:tcBorders>
              <w:top w:val="single" w:sz="8" w:color="0000FF"/>
              <w:bottom w:val="single" w:sz="8" w:color="F5F5F5"/>
            </w:tcBorders>
            <w:shd w:val="clear" w:color="auto" w:fill="F5F5F5"/>
          </w:tcPr>
          <w:p>
            <w:pPr>
              <w:spacing w:after="0"/>
              <w:rPr>
                <w:sz w:val="11"/>
                <w:szCs w:val="11"/>
                <w:color w:val="auto"/>
              </w:rPr>
            </w:pPr>
          </w:p>
        </w:tc>
        <w:tc>
          <w:tcPr>
            <w:tcW w:w="20" w:type="dxa"/>
            <w:vAlign w:val="bottom"/>
            <w:tcBorders>
              <w:top w:val="single" w:sz="8" w:color="0000FF"/>
              <w:bottom w:val="single" w:sz="8" w:color="F5F5F5"/>
            </w:tcBorders>
            <w:shd w:val="clear" w:color="auto" w:fill="F5F5F5"/>
          </w:tcPr>
          <w:p>
            <w:pPr>
              <w:spacing w:after="0"/>
              <w:rPr>
                <w:sz w:val="11"/>
                <w:szCs w:val="11"/>
                <w:color w:val="auto"/>
              </w:rPr>
            </w:pPr>
          </w:p>
        </w:tc>
        <w:tc>
          <w:tcPr>
            <w:tcW w:w="20" w:type="dxa"/>
            <w:vAlign w:val="bottom"/>
            <w:tcBorders>
              <w:top w:val="single" w:sz="8" w:color="0000FF"/>
              <w:bottom w:val="single" w:sz="8" w:color="F5F5F5"/>
            </w:tcBorders>
            <w:shd w:val="clear" w:color="auto" w:fill="F5F5F5"/>
          </w:tcPr>
          <w:p>
            <w:pPr>
              <w:spacing w:after="0"/>
              <w:rPr>
                <w:sz w:val="11"/>
                <w:szCs w:val="11"/>
                <w:color w:val="auto"/>
              </w:rPr>
            </w:pPr>
          </w:p>
        </w:tc>
        <w:tc>
          <w:tcPr>
            <w:tcW w:w="20" w:type="dxa"/>
            <w:vAlign w:val="bottom"/>
            <w:tcBorders>
              <w:top w:val="single" w:sz="8" w:color="F5F5F5"/>
              <w:bottom w:val="single" w:sz="8" w:color="F5F5F5"/>
            </w:tcBorders>
            <w:shd w:val="clear" w:color="auto" w:fill="F5F5F5"/>
          </w:tcPr>
          <w:p>
            <w:pPr>
              <w:spacing w:after="0"/>
              <w:rPr>
                <w:sz w:val="11"/>
                <w:szCs w:val="11"/>
                <w:color w:val="auto"/>
              </w:rPr>
            </w:pPr>
          </w:p>
        </w:tc>
        <w:tc>
          <w:tcPr>
            <w:tcW w:w="20" w:type="dxa"/>
            <w:vAlign w:val="bottom"/>
            <w:tcBorders>
              <w:top w:val="single" w:sz="8" w:color="F5F5F5"/>
              <w:bottom w:val="single" w:sz="8" w:color="F5F5F5"/>
            </w:tcBorders>
            <w:shd w:val="clear" w:color="auto" w:fill="F5F5F5"/>
          </w:tcPr>
          <w:p>
            <w:pPr>
              <w:spacing w:after="0"/>
              <w:rPr>
                <w:sz w:val="11"/>
                <w:szCs w:val="11"/>
                <w:color w:val="auto"/>
              </w:rPr>
            </w:pPr>
          </w:p>
        </w:tc>
        <w:tc>
          <w:tcPr>
            <w:tcW w:w="20" w:type="dxa"/>
            <w:vAlign w:val="bottom"/>
            <w:tcBorders>
              <w:top w:val="single" w:sz="8" w:color="F5F5F5"/>
              <w:bottom w:val="single" w:sz="8" w:color="F5F5F5"/>
            </w:tcBorders>
            <w:shd w:val="clear" w:color="auto" w:fill="F5F5F5"/>
          </w:tcPr>
          <w:p>
            <w:pPr>
              <w:spacing w:after="0"/>
              <w:rPr>
                <w:sz w:val="11"/>
                <w:szCs w:val="11"/>
                <w:color w:val="auto"/>
              </w:rPr>
            </w:pPr>
          </w:p>
        </w:tc>
        <w:tc>
          <w:tcPr>
            <w:tcW w:w="20" w:type="dxa"/>
            <w:vAlign w:val="bottom"/>
            <w:tcBorders>
              <w:top w:val="single" w:sz="8" w:color="F5F5F5"/>
              <w:bottom w:val="single" w:sz="8" w:color="F5F5F5"/>
            </w:tcBorders>
            <w:shd w:val="clear" w:color="auto" w:fill="F5F5F5"/>
          </w:tcPr>
          <w:p>
            <w:pPr>
              <w:spacing w:after="0"/>
              <w:rPr>
                <w:sz w:val="11"/>
                <w:szCs w:val="11"/>
                <w:color w:val="auto"/>
              </w:rPr>
            </w:pPr>
          </w:p>
        </w:tc>
        <w:tc>
          <w:tcPr>
            <w:tcW w:w="20" w:type="dxa"/>
            <w:vAlign w:val="bottom"/>
            <w:tcBorders>
              <w:top w:val="single" w:sz="8" w:color="F5F5F5"/>
              <w:bottom w:val="single" w:sz="8" w:color="F5F5F5"/>
            </w:tcBorders>
            <w:shd w:val="clear" w:color="auto" w:fill="F5F5F5"/>
          </w:tcPr>
          <w:p>
            <w:pPr>
              <w:spacing w:after="0"/>
              <w:rPr>
                <w:sz w:val="11"/>
                <w:szCs w:val="11"/>
                <w:color w:val="auto"/>
              </w:rPr>
            </w:pPr>
          </w:p>
        </w:tc>
        <w:tc>
          <w:tcPr>
            <w:tcW w:w="20" w:type="dxa"/>
            <w:vAlign w:val="bottom"/>
            <w:tcBorders>
              <w:top w:val="single" w:sz="8" w:color="F5F5F5"/>
              <w:bottom w:val="single" w:sz="8" w:color="F5F5F5"/>
            </w:tcBorders>
            <w:shd w:val="clear" w:color="auto" w:fill="F5F5F5"/>
          </w:tcPr>
          <w:p>
            <w:pPr>
              <w:spacing w:after="0"/>
              <w:rPr>
                <w:sz w:val="11"/>
                <w:szCs w:val="11"/>
                <w:color w:val="auto"/>
              </w:rPr>
            </w:pPr>
          </w:p>
        </w:tc>
        <w:tc>
          <w:tcPr>
            <w:tcW w:w="20" w:type="dxa"/>
            <w:vAlign w:val="bottom"/>
            <w:tcBorders>
              <w:top w:val="single" w:sz="8" w:color="F5F5F5"/>
              <w:bottom w:val="single" w:sz="8" w:color="F5F5F5"/>
            </w:tcBorders>
            <w:shd w:val="clear" w:color="auto" w:fill="F5F5F5"/>
          </w:tcPr>
          <w:p>
            <w:pPr>
              <w:spacing w:after="0"/>
              <w:rPr>
                <w:sz w:val="11"/>
                <w:szCs w:val="11"/>
                <w:color w:val="auto"/>
              </w:rPr>
            </w:pPr>
          </w:p>
        </w:tc>
        <w:tc>
          <w:tcPr>
            <w:tcW w:w="20" w:type="dxa"/>
            <w:vAlign w:val="bottom"/>
            <w:tcBorders>
              <w:top w:val="single" w:sz="8" w:color="F5F5F5"/>
              <w:bottom w:val="single" w:sz="8" w:color="F5F5F5"/>
            </w:tcBorders>
            <w:shd w:val="clear" w:color="auto" w:fill="F5F5F5"/>
          </w:tcPr>
          <w:p>
            <w:pPr>
              <w:spacing w:after="0"/>
              <w:rPr>
                <w:sz w:val="11"/>
                <w:szCs w:val="11"/>
                <w:color w:val="auto"/>
              </w:rPr>
            </w:pPr>
          </w:p>
        </w:tc>
        <w:tc>
          <w:tcPr>
            <w:tcW w:w="20" w:type="dxa"/>
            <w:vAlign w:val="bottom"/>
            <w:tcBorders>
              <w:top w:val="single" w:sz="8" w:color="F5F5F5"/>
              <w:bottom w:val="single" w:sz="8" w:color="F5F5F5"/>
            </w:tcBorders>
            <w:shd w:val="clear" w:color="auto" w:fill="F5F5F5"/>
          </w:tcPr>
          <w:p>
            <w:pPr>
              <w:spacing w:after="0"/>
              <w:rPr>
                <w:sz w:val="11"/>
                <w:szCs w:val="11"/>
                <w:color w:val="auto"/>
              </w:rPr>
            </w:pPr>
          </w:p>
        </w:tc>
        <w:tc>
          <w:tcPr>
            <w:tcW w:w="20" w:type="dxa"/>
            <w:vAlign w:val="bottom"/>
            <w:tcBorders>
              <w:top w:val="single" w:sz="8" w:color="F5F5F5"/>
              <w:bottom w:val="single" w:sz="8" w:color="F5F5F5"/>
            </w:tcBorders>
            <w:shd w:val="clear" w:color="auto" w:fill="F5F5F5"/>
          </w:tcPr>
          <w:p>
            <w:pPr>
              <w:spacing w:after="0"/>
              <w:rPr>
                <w:sz w:val="11"/>
                <w:szCs w:val="11"/>
                <w:color w:val="auto"/>
              </w:rPr>
            </w:pPr>
          </w:p>
        </w:tc>
        <w:tc>
          <w:tcPr>
            <w:tcW w:w="20" w:type="dxa"/>
            <w:vAlign w:val="bottom"/>
            <w:tcBorders>
              <w:top w:val="single" w:sz="8" w:color="F5F5F5"/>
              <w:bottom w:val="single" w:sz="8" w:color="F5F5F5"/>
            </w:tcBorders>
            <w:shd w:val="clear" w:color="auto" w:fill="F5F5F5"/>
          </w:tcPr>
          <w:p>
            <w:pPr>
              <w:spacing w:after="0"/>
              <w:rPr>
                <w:sz w:val="11"/>
                <w:szCs w:val="11"/>
                <w:color w:val="auto"/>
              </w:rPr>
            </w:pPr>
          </w:p>
        </w:tc>
        <w:tc>
          <w:tcPr>
            <w:tcW w:w="20" w:type="dxa"/>
            <w:vAlign w:val="bottom"/>
            <w:tcBorders>
              <w:top w:val="single" w:sz="8" w:color="F5F5F5"/>
              <w:bottom w:val="single" w:sz="8" w:color="F5F5F5"/>
            </w:tcBorders>
            <w:shd w:val="clear" w:color="auto" w:fill="F5F5F5"/>
          </w:tcPr>
          <w:p>
            <w:pPr>
              <w:spacing w:after="0"/>
              <w:rPr>
                <w:sz w:val="11"/>
                <w:szCs w:val="11"/>
                <w:color w:val="auto"/>
              </w:rPr>
            </w:pPr>
          </w:p>
        </w:tc>
        <w:tc>
          <w:tcPr>
            <w:tcW w:w="20" w:type="dxa"/>
            <w:vAlign w:val="bottom"/>
            <w:tcBorders>
              <w:top w:val="single" w:sz="8" w:color="F5F5F5"/>
              <w:bottom w:val="single" w:sz="8" w:color="F5F5F5"/>
            </w:tcBorders>
            <w:shd w:val="clear" w:color="auto" w:fill="F5F5F5"/>
          </w:tcPr>
          <w:p>
            <w:pPr>
              <w:spacing w:after="0"/>
              <w:rPr>
                <w:sz w:val="11"/>
                <w:szCs w:val="11"/>
                <w:color w:val="auto"/>
              </w:rPr>
            </w:pPr>
          </w:p>
        </w:tc>
        <w:tc>
          <w:tcPr>
            <w:tcW w:w="20" w:type="dxa"/>
            <w:vAlign w:val="bottom"/>
            <w:tcBorders>
              <w:top w:val="single" w:sz="8" w:color="F5F5F5"/>
              <w:bottom w:val="single" w:sz="8" w:color="F5F5F5"/>
            </w:tcBorders>
            <w:shd w:val="clear" w:color="auto" w:fill="F5F5F5"/>
          </w:tcPr>
          <w:p>
            <w:pPr>
              <w:spacing w:after="0"/>
              <w:rPr>
                <w:sz w:val="11"/>
                <w:szCs w:val="11"/>
                <w:color w:val="auto"/>
              </w:rPr>
            </w:pPr>
          </w:p>
        </w:tc>
        <w:tc>
          <w:tcPr>
            <w:tcW w:w="20" w:type="dxa"/>
            <w:vAlign w:val="bottom"/>
            <w:tcBorders>
              <w:top w:val="single" w:sz="8" w:color="F5F5F5"/>
              <w:bottom w:val="single" w:sz="8" w:color="F5F5F5"/>
            </w:tcBorders>
            <w:shd w:val="clear" w:color="auto" w:fill="F5F5F5"/>
          </w:tcPr>
          <w:p>
            <w:pPr>
              <w:spacing w:after="0"/>
              <w:rPr>
                <w:sz w:val="11"/>
                <w:szCs w:val="11"/>
                <w:color w:val="auto"/>
              </w:rPr>
            </w:pPr>
          </w:p>
        </w:tc>
        <w:tc>
          <w:tcPr>
            <w:tcW w:w="20" w:type="dxa"/>
            <w:vAlign w:val="bottom"/>
            <w:tcBorders>
              <w:top w:val="single" w:sz="8" w:color="F5F5F5"/>
              <w:bottom w:val="single" w:sz="8" w:color="F5F5F5"/>
            </w:tcBorders>
            <w:shd w:val="clear" w:color="auto" w:fill="F5F5F5"/>
          </w:tcPr>
          <w:p>
            <w:pPr>
              <w:spacing w:after="0"/>
              <w:rPr>
                <w:sz w:val="11"/>
                <w:szCs w:val="11"/>
                <w:color w:val="auto"/>
              </w:rPr>
            </w:pPr>
          </w:p>
        </w:tc>
        <w:tc>
          <w:tcPr>
            <w:tcW w:w="20" w:type="dxa"/>
            <w:vAlign w:val="bottom"/>
            <w:tcBorders>
              <w:top w:val="single" w:sz="8" w:color="F5F5F5"/>
              <w:bottom w:val="single" w:sz="8" w:color="F5F5F5"/>
            </w:tcBorders>
            <w:shd w:val="clear" w:color="auto" w:fill="F5F5F5"/>
          </w:tcPr>
          <w:p>
            <w:pPr>
              <w:spacing w:after="0"/>
              <w:rPr>
                <w:sz w:val="11"/>
                <w:szCs w:val="11"/>
                <w:color w:val="auto"/>
              </w:rPr>
            </w:pPr>
          </w:p>
        </w:tc>
      </w:tr>
      <w:tr>
        <w:trPr>
          <w:trHeight w:val="162"/>
        </w:trPr>
        <w:tc>
          <w:tcPr>
            <w:tcW w:w="600" w:type="dxa"/>
            <w:vAlign w:val="bottom"/>
          </w:tcPr>
          <w:p>
            <w:pPr>
              <w:ind w:left="20"/>
              <w:spacing w:after="0"/>
              <w:rPr>
                <w:sz w:val="20"/>
                <w:szCs w:val="20"/>
                <w:color w:val="auto"/>
              </w:rPr>
            </w:pPr>
            <w:r>
              <w:rPr>
                <w:rFonts w:ascii="Arial" w:cs="Arial" w:eastAsia="Arial" w:hAnsi="Arial"/>
                <w:sz w:val="14"/>
                <w:szCs w:val="14"/>
                <w:color w:val="auto"/>
              </w:rPr>
              <w:t>3.2</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560" w:type="dxa"/>
            <w:vAlign w:val="bottom"/>
            <w:gridSpan w:val="40"/>
          </w:tcPr>
          <w:p>
            <w:pPr>
              <w:spacing w:after="0"/>
              <w:rPr>
                <w:rFonts w:ascii="Arial" w:cs="Arial" w:eastAsia="Arial" w:hAnsi="Arial"/>
                <w:sz w:val="14"/>
                <w:szCs w:val="14"/>
                <w:color w:val="0000FF"/>
              </w:rPr>
            </w:pPr>
            <w:hyperlink r:id="rId114">
              <w:r>
                <w:rPr>
                  <w:rFonts w:ascii="Arial" w:cs="Arial" w:eastAsia="Arial" w:hAnsi="Arial"/>
                  <w:sz w:val="14"/>
                  <w:szCs w:val="14"/>
                  <w:color w:val="0000FF"/>
                </w:rPr>
                <w:t>Amended and Restated Bylaws of Abercrombie &amp; Fitch Co. reflecting amendments through the date of this Annual Report on Form 10-K, incorporated herein by</w:t>
              </w:r>
            </w:hyperlink>
          </w:p>
        </w:tc>
      </w:tr>
      <w:tr>
        <w:trPr>
          <w:trHeight w:val="129"/>
        </w:trPr>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180" w:type="dxa"/>
            <w:vAlign w:val="bottom"/>
            <w:tcBorders>
              <w:top w:val="single" w:sz="8" w:color="0000FF"/>
              <w:bottom w:val="single" w:sz="8" w:color="0000FF"/>
            </w:tcBorders>
            <w:gridSpan w:val="21"/>
          </w:tcPr>
          <w:p>
            <w:pPr>
              <w:spacing w:after="0" w:line="129" w:lineRule="exact"/>
              <w:rPr>
                <w:rFonts w:ascii="Arial" w:cs="Arial" w:eastAsia="Arial" w:hAnsi="Arial"/>
                <w:sz w:val="14"/>
                <w:szCs w:val="14"/>
                <w:color w:val="0000FF"/>
              </w:rPr>
            </w:pPr>
            <w:hyperlink r:id="rId114">
              <w:r>
                <w:rPr>
                  <w:rFonts w:ascii="Arial" w:cs="Arial" w:eastAsia="Arial" w:hAnsi="Arial"/>
                  <w:sz w:val="14"/>
                  <w:szCs w:val="14"/>
                  <w:color w:val="0000FF"/>
                </w:rPr>
                <w:t>reference to Exhibit 3.1 to A&amp;F's Current Report on Form 8-K dated and filed November 26, 2024 (File No. 001-12107). [This document represents the</w:t>
              </w:r>
            </w:hyperlink>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40" w:type="dxa"/>
            <w:vAlign w:val="bottom"/>
            <w:tcBorders>
              <w:bottom w:val="single" w:sz="8" w:color="0000FF"/>
            </w:tcBorders>
            <w:gridSpan w:val="2"/>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6"/>
        </w:trPr>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80" w:type="dxa"/>
            <w:vAlign w:val="bottom"/>
            <w:tcBorders>
              <w:bottom w:val="single" w:sz="8" w:color="0000FF"/>
            </w:tcBorders>
            <w:gridSpan w:val="11"/>
          </w:tcPr>
          <w:p>
            <w:pPr>
              <w:spacing w:after="0" w:line="129" w:lineRule="exact"/>
              <w:rPr>
                <w:rFonts w:ascii="Arial" w:cs="Arial" w:eastAsia="Arial" w:hAnsi="Arial"/>
                <w:sz w:val="14"/>
                <w:szCs w:val="14"/>
                <w:color w:val="0000FF"/>
              </w:rPr>
            </w:pPr>
            <w:hyperlink r:id="rId114">
              <w:r>
                <w:rPr>
                  <w:rFonts w:ascii="Arial" w:cs="Arial" w:eastAsia="Arial" w:hAnsi="Arial"/>
                  <w:sz w:val="14"/>
                  <w:szCs w:val="14"/>
                  <w:color w:val="0000FF"/>
                </w:rPr>
                <w:t>Amended and Restated Bylaws of Abercrombie &amp; Fitch Co. in compiled form incorporating all amendments.]</w:t>
              </w:r>
            </w:hyperlink>
          </w:p>
        </w:tc>
        <w:tc>
          <w:tcPr>
            <w:tcW w:w="1400" w:type="dxa"/>
            <w:vAlign w:val="bottom"/>
            <w:gridSpan w:val="3"/>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82"/>
        </w:trPr>
        <w:tc>
          <w:tcPr>
            <w:tcW w:w="600" w:type="dxa"/>
            <w:vAlign w:val="bottom"/>
            <w:tcBorders>
              <w:bottom w:val="single" w:sz="8" w:color="F5F5F5"/>
            </w:tcBorders>
            <w:shd w:val="clear" w:color="auto" w:fill="F5F5F5"/>
          </w:tcPr>
          <w:p>
            <w:pPr>
              <w:ind w:left="20"/>
              <w:spacing w:after="0"/>
              <w:rPr>
                <w:sz w:val="20"/>
                <w:szCs w:val="20"/>
                <w:color w:val="auto"/>
              </w:rPr>
            </w:pPr>
            <w:r>
              <w:rPr>
                <w:rFonts w:ascii="Arial" w:cs="Arial" w:eastAsia="Arial" w:hAnsi="Arial"/>
                <w:sz w:val="14"/>
                <w:szCs w:val="14"/>
                <w:color w:val="auto"/>
              </w:rPr>
              <w:t>4.1</w:t>
            </w:r>
          </w:p>
        </w:tc>
        <w:tc>
          <w:tcPr>
            <w:tcW w:w="320" w:type="dxa"/>
            <w:vAlign w:val="bottom"/>
            <w:tcBorders>
              <w:bottom w:val="single" w:sz="8" w:color="F5F5F5"/>
            </w:tcBorders>
            <w:shd w:val="clear" w:color="auto" w:fill="F5F5F5"/>
          </w:tcPr>
          <w:p>
            <w:pPr>
              <w:spacing w:after="0"/>
              <w:rPr>
                <w:sz w:val="15"/>
                <w:szCs w:val="15"/>
                <w:color w:val="auto"/>
              </w:rPr>
            </w:pPr>
          </w:p>
        </w:tc>
        <w:tc>
          <w:tcPr>
            <w:tcW w:w="120" w:type="dxa"/>
            <w:vAlign w:val="bottom"/>
            <w:tcBorders>
              <w:bottom w:val="single" w:sz="8" w:color="F5F5F5"/>
              <w:right w:val="single" w:sz="8" w:color="F5F5F5"/>
            </w:tcBorders>
            <w:shd w:val="clear" w:color="auto" w:fill="F5F5F5"/>
          </w:tcPr>
          <w:p>
            <w:pPr>
              <w:spacing w:after="0"/>
              <w:rPr>
                <w:sz w:val="15"/>
                <w:szCs w:val="15"/>
                <w:color w:val="auto"/>
              </w:rPr>
            </w:pPr>
          </w:p>
        </w:tc>
        <w:tc>
          <w:tcPr>
            <w:tcW w:w="5960" w:type="dxa"/>
            <w:vAlign w:val="bottom"/>
            <w:tcBorders>
              <w:bottom w:val="single" w:sz="8" w:color="0000FF"/>
              <w:right w:val="single" w:sz="8" w:color="F5F5F5"/>
            </w:tcBorders>
            <w:gridSpan w:val="10"/>
            <w:shd w:val="clear" w:color="auto" w:fill="F5F5F5"/>
          </w:tcPr>
          <w:p>
            <w:pPr>
              <w:spacing w:after="0"/>
              <w:rPr>
                <w:sz w:val="20"/>
                <w:szCs w:val="20"/>
                <w:color w:val="auto"/>
              </w:rPr>
            </w:pPr>
            <w:r>
              <w:rPr>
                <w:rFonts w:ascii="Arial" w:cs="Arial" w:eastAsia="Arial" w:hAnsi="Arial"/>
                <w:sz w:val="14"/>
                <w:szCs w:val="14"/>
                <w:color w:val="0000FF"/>
              </w:rPr>
              <w:t>Agreement to furnish instruments and agreements defining rights of holders of long-term debt.</w:t>
            </w:r>
          </w:p>
        </w:tc>
        <w:tc>
          <w:tcPr>
            <w:tcW w:w="2320" w:type="dxa"/>
            <w:vAlign w:val="bottom"/>
            <w:tcBorders>
              <w:left w:val="single" w:sz="8" w:color="F5F5F5"/>
              <w:bottom w:val="single" w:sz="8" w:color="F5F5F5"/>
            </w:tcBorders>
            <w:gridSpan w:val="4"/>
            <w:shd w:val="clear" w:color="auto" w:fill="F5F5F5"/>
          </w:tcPr>
          <w:p>
            <w:pPr>
              <w:spacing w:after="0"/>
              <w:rPr>
                <w:sz w:val="15"/>
                <w:szCs w:val="15"/>
                <w:color w:val="auto"/>
              </w:rPr>
            </w:pPr>
          </w:p>
        </w:tc>
        <w:tc>
          <w:tcPr>
            <w:tcW w:w="700" w:type="dxa"/>
            <w:vAlign w:val="bottom"/>
            <w:tcBorders>
              <w:bottom w:val="single" w:sz="8" w:color="F5F5F5"/>
            </w:tcBorders>
            <w:shd w:val="clear" w:color="auto" w:fill="F5F5F5"/>
          </w:tcPr>
          <w:p>
            <w:pPr>
              <w:spacing w:after="0"/>
              <w:rPr>
                <w:sz w:val="15"/>
                <w:szCs w:val="15"/>
                <w:color w:val="auto"/>
              </w:rPr>
            </w:pPr>
          </w:p>
        </w:tc>
        <w:tc>
          <w:tcPr>
            <w:tcW w:w="320" w:type="dxa"/>
            <w:vAlign w:val="bottom"/>
            <w:tcBorders>
              <w:bottom w:val="single" w:sz="8" w:color="F5F5F5"/>
            </w:tcBorders>
            <w:shd w:val="clear" w:color="auto" w:fill="F5F5F5"/>
          </w:tcPr>
          <w:p>
            <w:pPr>
              <w:spacing w:after="0"/>
              <w:rPr>
                <w:sz w:val="15"/>
                <w:szCs w:val="15"/>
                <w:color w:val="auto"/>
              </w:rPr>
            </w:pPr>
          </w:p>
        </w:tc>
        <w:tc>
          <w:tcPr>
            <w:tcW w:w="380" w:type="dxa"/>
            <w:vAlign w:val="bottom"/>
            <w:tcBorders>
              <w:bottom w:val="single" w:sz="8" w:color="F5F5F5"/>
            </w:tcBorders>
            <w:shd w:val="clear" w:color="auto" w:fill="F5F5F5"/>
          </w:tcPr>
          <w:p>
            <w:pPr>
              <w:spacing w:after="0"/>
              <w:rPr>
                <w:sz w:val="15"/>
                <w:szCs w:val="15"/>
                <w:color w:val="auto"/>
              </w:rPr>
            </w:pPr>
          </w:p>
        </w:tc>
        <w:tc>
          <w:tcPr>
            <w:tcW w:w="380" w:type="dxa"/>
            <w:vAlign w:val="bottom"/>
            <w:tcBorders>
              <w:bottom w:val="single" w:sz="8" w:color="F5F5F5"/>
            </w:tcBorders>
            <w:shd w:val="clear" w:color="auto" w:fill="F5F5F5"/>
          </w:tcPr>
          <w:p>
            <w:pPr>
              <w:spacing w:after="0"/>
              <w:rPr>
                <w:sz w:val="15"/>
                <w:szCs w:val="15"/>
                <w:color w:val="auto"/>
              </w:rPr>
            </w:pPr>
          </w:p>
        </w:tc>
        <w:tc>
          <w:tcPr>
            <w:tcW w:w="20" w:type="dxa"/>
            <w:vAlign w:val="bottom"/>
            <w:tcBorders>
              <w:bottom w:val="single" w:sz="8" w:color="F5F5F5"/>
            </w:tcBorders>
            <w:shd w:val="clear" w:color="auto" w:fill="F5F5F5"/>
          </w:tcPr>
          <w:p>
            <w:pPr>
              <w:spacing w:after="0"/>
              <w:rPr>
                <w:sz w:val="15"/>
                <w:szCs w:val="15"/>
                <w:color w:val="auto"/>
              </w:rPr>
            </w:pPr>
          </w:p>
        </w:tc>
        <w:tc>
          <w:tcPr>
            <w:tcW w:w="80" w:type="dxa"/>
            <w:vAlign w:val="bottom"/>
            <w:tcBorders>
              <w:bottom w:val="single" w:sz="8" w:color="F5F5F5"/>
            </w:tcBorders>
            <w:shd w:val="clear" w:color="auto" w:fill="F5F5F5"/>
          </w:tcPr>
          <w:p>
            <w:pPr>
              <w:spacing w:after="0"/>
              <w:rPr>
                <w:sz w:val="15"/>
                <w:szCs w:val="15"/>
                <w:color w:val="auto"/>
              </w:rPr>
            </w:pPr>
          </w:p>
        </w:tc>
        <w:tc>
          <w:tcPr>
            <w:tcW w:w="20" w:type="dxa"/>
            <w:vAlign w:val="bottom"/>
            <w:tcBorders>
              <w:bottom w:val="single" w:sz="8" w:color="F5F5F5"/>
            </w:tcBorders>
            <w:shd w:val="clear" w:color="auto" w:fill="F5F5F5"/>
          </w:tcPr>
          <w:p>
            <w:pPr>
              <w:spacing w:after="0"/>
              <w:rPr>
                <w:sz w:val="15"/>
                <w:szCs w:val="15"/>
                <w:color w:val="auto"/>
              </w:rPr>
            </w:pPr>
          </w:p>
        </w:tc>
        <w:tc>
          <w:tcPr>
            <w:tcW w:w="20" w:type="dxa"/>
            <w:vAlign w:val="bottom"/>
            <w:tcBorders>
              <w:bottom w:val="single" w:sz="8" w:color="F5F5F5"/>
            </w:tcBorders>
            <w:shd w:val="clear" w:color="auto" w:fill="F5F5F5"/>
          </w:tcPr>
          <w:p>
            <w:pPr>
              <w:spacing w:after="0"/>
              <w:rPr>
                <w:sz w:val="15"/>
                <w:szCs w:val="15"/>
                <w:color w:val="auto"/>
              </w:rPr>
            </w:pPr>
          </w:p>
        </w:tc>
        <w:tc>
          <w:tcPr>
            <w:tcW w:w="20" w:type="dxa"/>
            <w:vAlign w:val="bottom"/>
            <w:tcBorders>
              <w:bottom w:val="single" w:sz="8" w:color="F5F5F5"/>
            </w:tcBorders>
            <w:shd w:val="clear" w:color="auto" w:fill="F5F5F5"/>
          </w:tcPr>
          <w:p>
            <w:pPr>
              <w:spacing w:after="0"/>
              <w:rPr>
                <w:sz w:val="15"/>
                <w:szCs w:val="15"/>
                <w:color w:val="auto"/>
              </w:rPr>
            </w:pPr>
          </w:p>
        </w:tc>
        <w:tc>
          <w:tcPr>
            <w:tcW w:w="20" w:type="dxa"/>
            <w:vAlign w:val="bottom"/>
            <w:tcBorders>
              <w:bottom w:val="single" w:sz="8" w:color="F5F5F5"/>
            </w:tcBorders>
            <w:shd w:val="clear" w:color="auto" w:fill="F5F5F5"/>
          </w:tcPr>
          <w:p>
            <w:pPr>
              <w:spacing w:after="0"/>
              <w:rPr>
                <w:sz w:val="15"/>
                <w:szCs w:val="15"/>
                <w:color w:val="auto"/>
              </w:rPr>
            </w:pPr>
          </w:p>
        </w:tc>
        <w:tc>
          <w:tcPr>
            <w:tcW w:w="20" w:type="dxa"/>
            <w:vAlign w:val="bottom"/>
            <w:tcBorders>
              <w:bottom w:val="single" w:sz="8" w:color="F5F5F5"/>
            </w:tcBorders>
            <w:shd w:val="clear" w:color="auto" w:fill="F5F5F5"/>
          </w:tcPr>
          <w:p>
            <w:pPr>
              <w:spacing w:after="0"/>
              <w:rPr>
                <w:sz w:val="15"/>
                <w:szCs w:val="15"/>
                <w:color w:val="auto"/>
              </w:rPr>
            </w:pPr>
          </w:p>
        </w:tc>
        <w:tc>
          <w:tcPr>
            <w:tcW w:w="20" w:type="dxa"/>
            <w:vAlign w:val="bottom"/>
            <w:tcBorders>
              <w:bottom w:val="single" w:sz="8" w:color="F5F5F5"/>
            </w:tcBorders>
            <w:shd w:val="clear" w:color="auto" w:fill="F5F5F5"/>
          </w:tcPr>
          <w:p>
            <w:pPr>
              <w:spacing w:after="0"/>
              <w:rPr>
                <w:sz w:val="15"/>
                <w:szCs w:val="15"/>
                <w:color w:val="auto"/>
              </w:rPr>
            </w:pPr>
          </w:p>
        </w:tc>
        <w:tc>
          <w:tcPr>
            <w:tcW w:w="20" w:type="dxa"/>
            <w:vAlign w:val="bottom"/>
            <w:tcBorders>
              <w:bottom w:val="single" w:sz="8" w:color="F5F5F5"/>
            </w:tcBorders>
            <w:shd w:val="clear" w:color="auto" w:fill="F5F5F5"/>
          </w:tcPr>
          <w:p>
            <w:pPr>
              <w:spacing w:after="0"/>
              <w:rPr>
                <w:sz w:val="15"/>
                <w:szCs w:val="15"/>
                <w:color w:val="auto"/>
              </w:rPr>
            </w:pPr>
          </w:p>
        </w:tc>
        <w:tc>
          <w:tcPr>
            <w:tcW w:w="20" w:type="dxa"/>
            <w:vAlign w:val="bottom"/>
            <w:tcBorders>
              <w:bottom w:val="single" w:sz="8" w:color="F5F5F5"/>
            </w:tcBorders>
            <w:shd w:val="clear" w:color="auto" w:fill="F5F5F5"/>
          </w:tcPr>
          <w:p>
            <w:pPr>
              <w:spacing w:after="0"/>
              <w:rPr>
                <w:sz w:val="15"/>
                <w:szCs w:val="15"/>
                <w:color w:val="auto"/>
              </w:rPr>
            </w:pPr>
          </w:p>
        </w:tc>
        <w:tc>
          <w:tcPr>
            <w:tcW w:w="20" w:type="dxa"/>
            <w:vAlign w:val="bottom"/>
            <w:tcBorders>
              <w:bottom w:val="single" w:sz="8" w:color="F5F5F5"/>
            </w:tcBorders>
            <w:shd w:val="clear" w:color="auto" w:fill="F5F5F5"/>
          </w:tcPr>
          <w:p>
            <w:pPr>
              <w:spacing w:after="0"/>
              <w:rPr>
                <w:sz w:val="15"/>
                <w:szCs w:val="15"/>
                <w:color w:val="auto"/>
              </w:rPr>
            </w:pPr>
          </w:p>
        </w:tc>
        <w:tc>
          <w:tcPr>
            <w:tcW w:w="20" w:type="dxa"/>
            <w:vAlign w:val="bottom"/>
            <w:tcBorders>
              <w:bottom w:val="single" w:sz="8" w:color="F5F5F5"/>
            </w:tcBorders>
            <w:shd w:val="clear" w:color="auto" w:fill="F5F5F5"/>
          </w:tcPr>
          <w:p>
            <w:pPr>
              <w:spacing w:after="0"/>
              <w:rPr>
                <w:sz w:val="15"/>
                <w:szCs w:val="15"/>
                <w:color w:val="auto"/>
              </w:rPr>
            </w:pPr>
          </w:p>
        </w:tc>
        <w:tc>
          <w:tcPr>
            <w:tcW w:w="20" w:type="dxa"/>
            <w:vAlign w:val="bottom"/>
            <w:tcBorders>
              <w:bottom w:val="single" w:sz="8" w:color="F5F5F5"/>
            </w:tcBorders>
            <w:shd w:val="clear" w:color="auto" w:fill="F5F5F5"/>
          </w:tcPr>
          <w:p>
            <w:pPr>
              <w:spacing w:after="0"/>
              <w:rPr>
                <w:sz w:val="15"/>
                <w:szCs w:val="15"/>
                <w:color w:val="auto"/>
              </w:rPr>
            </w:pPr>
          </w:p>
        </w:tc>
        <w:tc>
          <w:tcPr>
            <w:tcW w:w="20" w:type="dxa"/>
            <w:vAlign w:val="bottom"/>
            <w:tcBorders>
              <w:bottom w:val="single" w:sz="8" w:color="F5F5F5"/>
            </w:tcBorders>
            <w:shd w:val="clear" w:color="auto" w:fill="F5F5F5"/>
          </w:tcPr>
          <w:p>
            <w:pPr>
              <w:spacing w:after="0"/>
              <w:rPr>
                <w:sz w:val="15"/>
                <w:szCs w:val="15"/>
                <w:color w:val="auto"/>
              </w:rPr>
            </w:pPr>
          </w:p>
        </w:tc>
        <w:tc>
          <w:tcPr>
            <w:tcW w:w="20" w:type="dxa"/>
            <w:vAlign w:val="bottom"/>
            <w:tcBorders>
              <w:bottom w:val="single" w:sz="8" w:color="F5F5F5"/>
            </w:tcBorders>
            <w:shd w:val="clear" w:color="auto" w:fill="F5F5F5"/>
          </w:tcPr>
          <w:p>
            <w:pPr>
              <w:spacing w:after="0"/>
              <w:rPr>
                <w:sz w:val="15"/>
                <w:szCs w:val="15"/>
                <w:color w:val="auto"/>
              </w:rPr>
            </w:pPr>
          </w:p>
        </w:tc>
        <w:tc>
          <w:tcPr>
            <w:tcW w:w="20" w:type="dxa"/>
            <w:vAlign w:val="bottom"/>
            <w:tcBorders>
              <w:bottom w:val="single" w:sz="8" w:color="F5F5F5"/>
            </w:tcBorders>
            <w:shd w:val="clear" w:color="auto" w:fill="F5F5F5"/>
          </w:tcPr>
          <w:p>
            <w:pPr>
              <w:spacing w:after="0"/>
              <w:rPr>
                <w:sz w:val="15"/>
                <w:szCs w:val="15"/>
                <w:color w:val="auto"/>
              </w:rPr>
            </w:pPr>
          </w:p>
        </w:tc>
        <w:tc>
          <w:tcPr>
            <w:tcW w:w="20" w:type="dxa"/>
            <w:vAlign w:val="bottom"/>
            <w:tcBorders>
              <w:bottom w:val="single" w:sz="8" w:color="F5F5F5"/>
            </w:tcBorders>
            <w:shd w:val="clear" w:color="auto" w:fill="F5F5F5"/>
          </w:tcPr>
          <w:p>
            <w:pPr>
              <w:spacing w:after="0"/>
              <w:rPr>
                <w:sz w:val="15"/>
                <w:szCs w:val="15"/>
                <w:color w:val="auto"/>
              </w:rPr>
            </w:pPr>
          </w:p>
        </w:tc>
        <w:tc>
          <w:tcPr>
            <w:tcW w:w="20" w:type="dxa"/>
            <w:vAlign w:val="bottom"/>
            <w:tcBorders>
              <w:bottom w:val="single" w:sz="8" w:color="F5F5F5"/>
            </w:tcBorders>
            <w:shd w:val="clear" w:color="auto" w:fill="F5F5F5"/>
          </w:tcPr>
          <w:p>
            <w:pPr>
              <w:spacing w:after="0"/>
              <w:rPr>
                <w:sz w:val="15"/>
                <w:szCs w:val="15"/>
                <w:color w:val="auto"/>
              </w:rPr>
            </w:pPr>
          </w:p>
        </w:tc>
        <w:tc>
          <w:tcPr>
            <w:tcW w:w="20" w:type="dxa"/>
            <w:vAlign w:val="bottom"/>
            <w:tcBorders>
              <w:bottom w:val="single" w:sz="8" w:color="F5F5F5"/>
            </w:tcBorders>
            <w:shd w:val="clear" w:color="auto" w:fill="F5F5F5"/>
          </w:tcPr>
          <w:p>
            <w:pPr>
              <w:spacing w:after="0"/>
              <w:rPr>
                <w:sz w:val="15"/>
                <w:szCs w:val="15"/>
                <w:color w:val="auto"/>
              </w:rPr>
            </w:pPr>
          </w:p>
        </w:tc>
        <w:tc>
          <w:tcPr>
            <w:tcW w:w="20" w:type="dxa"/>
            <w:vAlign w:val="bottom"/>
            <w:tcBorders>
              <w:bottom w:val="single" w:sz="8" w:color="F5F5F5"/>
            </w:tcBorders>
            <w:shd w:val="clear" w:color="auto" w:fill="F5F5F5"/>
          </w:tcPr>
          <w:p>
            <w:pPr>
              <w:spacing w:after="0"/>
              <w:rPr>
                <w:sz w:val="15"/>
                <w:szCs w:val="15"/>
                <w:color w:val="auto"/>
              </w:rPr>
            </w:pPr>
          </w:p>
        </w:tc>
        <w:tc>
          <w:tcPr>
            <w:tcW w:w="20" w:type="dxa"/>
            <w:vAlign w:val="bottom"/>
            <w:tcBorders>
              <w:bottom w:val="single" w:sz="8" w:color="F5F5F5"/>
            </w:tcBorders>
            <w:shd w:val="clear" w:color="auto" w:fill="F5F5F5"/>
          </w:tcPr>
          <w:p>
            <w:pPr>
              <w:spacing w:after="0"/>
              <w:rPr>
                <w:sz w:val="15"/>
                <w:szCs w:val="15"/>
                <w:color w:val="auto"/>
              </w:rPr>
            </w:pPr>
          </w:p>
        </w:tc>
        <w:tc>
          <w:tcPr>
            <w:tcW w:w="20" w:type="dxa"/>
            <w:vAlign w:val="bottom"/>
            <w:tcBorders>
              <w:bottom w:val="single" w:sz="8" w:color="F5F5F5"/>
            </w:tcBorders>
            <w:shd w:val="clear" w:color="auto" w:fill="F5F5F5"/>
          </w:tcPr>
          <w:p>
            <w:pPr>
              <w:spacing w:after="0"/>
              <w:rPr>
                <w:sz w:val="15"/>
                <w:szCs w:val="15"/>
                <w:color w:val="auto"/>
              </w:rPr>
            </w:pPr>
          </w:p>
        </w:tc>
      </w:tr>
      <w:tr>
        <w:trPr>
          <w:trHeight w:val="162"/>
        </w:trPr>
        <w:tc>
          <w:tcPr>
            <w:tcW w:w="600" w:type="dxa"/>
            <w:vAlign w:val="bottom"/>
          </w:tcPr>
          <w:p>
            <w:pPr>
              <w:ind w:left="20"/>
              <w:spacing w:after="0"/>
              <w:rPr>
                <w:sz w:val="20"/>
                <w:szCs w:val="20"/>
                <w:color w:val="auto"/>
              </w:rPr>
            </w:pPr>
            <w:r>
              <w:rPr>
                <w:rFonts w:ascii="Arial" w:cs="Arial" w:eastAsia="Arial" w:hAnsi="Arial"/>
                <w:sz w:val="14"/>
                <w:szCs w:val="14"/>
                <w:color w:val="auto"/>
              </w:rPr>
              <w:t>4.2</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560" w:type="dxa"/>
            <w:vAlign w:val="bottom"/>
            <w:gridSpan w:val="40"/>
          </w:tcPr>
          <w:p>
            <w:pPr>
              <w:spacing w:after="0"/>
              <w:rPr>
                <w:rFonts w:ascii="Arial" w:cs="Arial" w:eastAsia="Arial" w:hAnsi="Arial"/>
                <w:sz w:val="14"/>
                <w:szCs w:val="14"/>
                <w:color w:val="0000FF"/>
              </w:rPr>
            </w:pPr>
            <w:hyperlink r:id="rId115">
              <w:r>
                <w:rPr>
                  <w:rFonts w:ascii="Arial" w:cs="Arial" w:eastAsia="Arial" w:hAnsi="Arial"/>
                  <w:sz w:val="14"/>
                  <w:szCs w:val="14"/>
                  <w:color w:val="0000FF"/>
                </w:rPr>
                <w:t>Description of Abercrombie &amp; Fitch Co.’s Securities Registered under Section 12 of the Securities Exchange Act of 1934, incorporated herein by referenced to</w:t>
              </w:r>
            </w:hyperlink>
          </w:p>
        </w:tc>
      </w:tr>
      <w:tr>
        <w:trPr>
          <w:trHeight w:val="128"/>
        </w:trPr>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80" w:type="dxa"/>
            <w:vAlign w:val="bottom"/>
            <w:tcBorders>
              <w:top w:val="single" w:sz="8" w:color="0000FF"/>
            </w:tcBorders>
            <w:gridSpan w:val="14"/>
          </w:tcPr>
          <w:p>
            <w:pPr>
              <w:spacing w:after="0" w:line="129" w:lineRule="exact"/>
              <w:rPr>
                <w:rFonts w:ascii="Arial" w:cs="Arial" w:eastAsia="Arial" w:hAnsi="Arial"/>
                <w:sz w:val="14"/>
                <w:szCs w:val="14"/>
                <w:color w:val="0000FF"/>
              </w:rPr>
            </w:pPr>
            <w:hyperlink r:id="rId115">
              <w:r>
                <w:rPr>
                  <w:rFonts w:ascii="Arial" w:cs="Arial" w:eastAsia="Arial" w:hAnsi="Arial"/>
                  <w:sz w:val="14"/>
                  <w:szCs w:val="14"/>
                  <w:color w:val="0000FF"/>
                </w:rPr>
                <w:t>Exhibit 4.2 to A&amp;F’s Annual Report on Form 10-K for the fiscal year ended February 3, 2024 (File No. 001-12107).</w:t>
              </w:r>
            </w:hyperlink>
          </w:p>
        </w:tc>
        <w:tc>
          <w:tcPr>
            <w:tcW w:w="70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7"/>
        </w:trPr>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3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640" w:type="dxa"/>
            <w:vAlign w:val="bottom"/>
            <w:tcBorders>
              <w:right w:val="single" w:sz="8" w:color="0000FF"/>
            </w:tcBorders>
            <w:shd w:val="clear" w:color="auto" w:fill="0000FF"/>
          </w:tcPr>
          <w:p>
            <w:pPr>
              <w:spacing w:after="0"/>
              <w:rPr>
                <w:sz w:val="2"/>
                <w:szCs w:val="2"/>
                <w:color w:val="auto"/>
              </w:rPr>
            </w:pPr>
          </w:p>
        </w:tc>
        <w:tc>
          <w:tcPr>
            <w:tcW w:w="920" w:type="dxa"/>
            <w:vAlign w:val="bottom"/>
            <w:tcBorders>
              <w:left w:val="single" w:sz="8" w:color="0000FF"/>
            </w:tcBorders>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600" w:type="dxa"/>
            <w:vAlign w:val="bottom"/>
            <w:shd w:val="clear" w:color="auto" w:fill="F5F5F5"/>
          </w:tcPr>
          <w:p>
            <w:pPr>
              <w:ind w:left="20"/>
              <w:spacing w:after="0"/>
              <w:rPr>
                <w:sz w:val="20"/>
                <w:szCs w:val="20"/>
                <w:color w:val="auto"/>
              </w:rPr>
            </w:pPr>
            <w:r>
              <w:rPr>
                <w:rFonts w:ascii="Arial" w:cs="Arial" w:eastAsia="Arial" w:hAnsi="Arial"/>
                <w:sz w:val="14"/>
                <w:szCs w:val="14"/>
                <w:color w:val="auto"/>
              </w:rPr>
              <w:t>10.1*</w:t>
            </w:r>
          </w:p>
        </w:tc>
        <w:tc>
          <w:tcPr>
            <w:tcW w:w="320" w:type="dxa"/>
            <w:vAlign w:val="bottom"/>
            <w:shd w:val="clear" w:color="auto" w:fill="F5F5F5"/>
          </w:tcPr>
          <w:p>
            <w:pPr>
              <w:spacing w:after="0"/>
              <w:rPr>
                <w:sz w:val="14"/>
                <w:szCs w:val="14"/>
                <w:color w:val="auto"/>
              </w:rPr>
            </w:pPr>
          </w:p>
        </w:tc>
        <w:tc>
          <w:tcPr>
            <w:tcW w:w="120" w:type="dxa"/>
            <w:vAlign w:val="bottom"/>
            <w:tcBorders>
              <w:right w:val="single" w:sz="8" w:color="F5F5F5"/>
            </w:tcBorders>
            <w:shd w:val="clear" w:color="auto" w:fill="F5F5F5"/>
          </w:tcPr>
          <w:p>
            <w:pPr>
              <w:spacing w:after="0"/>
              <w:rPr>
                <w:sz w:val="14"/>
                <w:szCs w:val="14"/>
                <w:color w:val="auto"/>
              </w:rPr>
            </w:pPr>
          </w:p>
        </w:tc>
        <w:tc>
          <w:tcPr>
            <w:tcW w:w="10560" w:type="dxa"/>
            <w:vAlign w:val="bottom"/>
            <w:gridSpan w:val="40"/>
            <w:shd w:val="clear" w:color="auto" w:fill="F5F5F5"/>
          </w:tcPr>
          <w:p>
            <w:pPr>
              <w:spacing w:after="0"/>
              <w:rPr>
                <w:rFonts w:ascii="Arial" w:cs="Arial" w:eastAsia="Arial" w:hAnsi="Arial"/>
                <w:sz w:val="14"/>
                <w:szCs w:val="14"/>
                <w:color w:val="0000FF"/>
              </w:rPr>
            </w:pPr>
            <w:hyperlink r:id="rId116">
              <w:r>
                <w:rPr>
                  <w:rFonts w:ascii="Arial" w:cs="Arial" w:eastAsia="Arial" w:hAnsi="Arial"/>
                  <w:sz w:val="14"/>
                  <w:szCs w:val="14"/>
                  <w:color w:val="0000FF"/>
                </w:rPr>
                <w:t>1998 Restatement of the Abercrombie &amp; Fitch Co. 1996 Stock Plan for Non-Associate Directors, incorporated herein by reference to Exhibit 10.3 to A&amp;F’s</w:t>
              </w:r>
            </w:hyperlink>
          </w:p>
        </w:tc>
      </w:tr>
      <w:tr>
        <w:trPr>
          <w:trHeight w:val="128"/>
        </w:trPr>
        <w:tc>
          <w:tcPr>
            <w:tcW w:w="600" w:type="dxa"/>
            <w:vAlign w:val="bottom"/>
            <w:tcBorders>
              <w:top w:val="single" w:sz="8" w:color="F5F5F5"/>
            </w:tcBorders>
            <w:shd w:val="clear" w:color="auto" w:fill="F5F5F5"/>
          </w:tcPr>
          <w:p>
            <w:pPr>
              <w:spacing w:after="0"/>
              <w:rPr>
                <w:sz w:val="11"/>
                <w:szCs w:val="11"/>
                <w:color w:val="auto"/>
              </w:rPr>
            </w:pPr>
          </w:p>
        </w:tc>
        <w:tc>
          <w:tcPr>
            <w:tcW w:w="320" w:type="dxa"/>
            <w:vAlign w:val="bottom"/>
            <w:tcBorders>
              <w:top w:val="single" w:sz="8" w:color="F5F5F5"/>
            </w:tcBorders>
            <w:shd w:val="clear" w:color="auto" w:fill="F5F5F5"/>
          </w:tcPr>
          <w:p>
            <w:pPr>
              <w:spacing w:after="0"/>
              <w:rPr>
                <w:sz w:val="11"/>
                <w:szCs w:val="11"/>
                <w:color w:val="auto"/>
              </w:rPr>
            </w:pPr>
          </w:p>
        </w:tc>
        <w:tc>
          <w:tcPr>
            <w:tcW w:w="120" w:type="dxa"/>
            <w:vAlign w:val="bottom"/>
            <w:tcBorders>
              <w:top w:val="single" w:sz="8" w:color="F5F5F5"/>
              <w:right w:val="single" w:sz="8" w:color="F5F5F5"/>
            </w:tcBorders>
            <w:shd w:val="clear" w:color="auto" w:fill="F5F5F5"/>
          </w:tcPr>
          <w:p>
            <w:pPr>
              <w:spacing w:after="0"/>
              <w:rPr>
                <w:sz w:val="11"/>
                <w:szCs w:val="11"/>
                <w:color w:val="auto"/>
              </w:rPr>
            </w:pPr>
          </w:p>
        </w:tc>
        <w:tc>
          <w:tcPr>
            <w:tcW w:w="8280" w:type="dxa"/>
            <w:vAlign w:val="bottom"/>
            <w:tcBorders>
              <w:top w:val="single" w:sz="8" w:color="0000FF"/>
            </w:tcBorders>
            <w:gridSpan w:val="14"/>
            <w:shd w:val="clear" w:color="auto" w:fill="F5F5F5"/>
          </w:tcPr>
          <w:p>
            <w:pPr>
              <w:spacing w:after="0" w:line="129" w:lineRule="exact"/>
              <w:rPr>
                <w:rFonts w:ascii="Arial" w:cs="Arial" w:eastAsia="Arial" w:hAnsi="Arial"/>
                <w:sz w:val="14"/>
                <w:szCs w:val="14"/>
                <w:color w:val="0000FF"/>
              </w:rPr>
            </w:pPr>
            <w:hyperlink r:id="rId116">
              <w:r>
                <w:rPr>
                  <w:rFonts w:ascii="Arial" w:cs="Arial" w:eastAsia="Arial" w:hAnsi="Arial"/>
                  <w:sz w:val="14"/>
                  <w:szCs w:val="14"/>
                  <w:color w:val="0000FF"/>
                </w:rPr>
                <w:t>Annual Report on Form 10-K for the fiscal year ended February 1, 2003 (File No. 001-12107).</w:t>
              </w:r>
            </w:hyperlink>
          </w:p>
        </w:tc>
        <w:tc>
          <w:tcPr>
            <w:tcW w:w="700" w:type="dxa"/>
            <w:vAlign w:val="bottom"/>
            <w:tcBorders>
              <w:top w:val="single" w:sz="8" w:color="0000FF"/>
            </w:tcBorders>
            <w:shd w:val="clear" w:color="auto" w:fill="F5F5F5"/>
          </w:tcPr>
          <w:p>
            <w:pPr>
              <w:spacing w:after="0"/>
              <w:rPr>
                <w:sz w:val="11"/>
                <w:szCs w:val="11"/>
                <w:color w:val="auto"/>
              </w:rPr>
            </w:pPr>
          </w:p>
        </w:tc>
        <w:tc>
          <w:tcPr>
            <w:tcW w:w="320" w:type="dxa"/>
            <w:vAlign w:val="bottom"/>
            <w:tcBorders>
              <w:top w:val="single" w:sz="8" w:color="0000FF"/>
            </w:tcBorders>
            <w:shd w:val="clear" w:color="auto" w:fill="F5F5F5"/>
          </w:tcPr>
          <w:p>
            <w:pPr>
              <w:spacing w:after="0"/>
              <w:rPr>
                <w:sz w:val="11"/>
                <w:szCs w:val="11"/>
                <w:color w:val="auto"/>
              </w:rPr>
            </w:pPr>
          </w:p>
        </w:tc>
        <w:tc>
          <w:tcPr>
            <w:tcW w:w="380" w:type="dxa"/>
            <w:vAlign w:val="bottom"/>
            <w:tcBorders>
              <w:top w:val="single" w:sz="8" w:color="0000FF"/>
            </w:tcBorders>
            <w:shd w:val="clear" w:color="auto" w:fill="F5F5F5"/>
          </w:tcPr>
          <w:p>
            <w:pPr>
              <w:spacing w:after="0"/>
              <w:rPr>
                <w:sz w:val="11"/>
                <w:szCs w:val="11"/>
                <w:color w:val="auto"/>
              </w:rPr>
            </w:pPr>
          </w:p>
        </w:tc>
        <w:tc>
          <w:tcPr>
            <w:tcW w:w="380" w:type="dxa"/>
            <w:vAlign w:val="bottom"/>
            <w:tcBorders>
              <w:top w:val="single" w:sz="8" w:color="0000FF"/>
            </w:tcBorders>
            <w:shd w:val="clear" w:color="auto" w:fill="F5F5F5"/>
          </w:tcPr>
          <w:p>
            <w:pPr>
              <w:spacing w:after="0"/>
              <w:rPr>
                <w:sz w:val="11"/>
                <w:szCs w:val="11"/>
                <w:color w:val="auto"/>
              </w:rPr>
            </w:pPr>
          </w:p>
        </w:tc>
        <w:tc>
          <w:tcPr>
            <w:tcW w:w="20" w:type="dxa"/>
            <w:vAlign w:val="bottom"/>
            <w:tcBorders>
              <w:top w:val="single" w:sz="8" w:color="0000FF"/>
            </w:tcBorders>
            <w:shd w:val="clear" w:color="auto" w:fill="F5F5F5"/>
          </w:tcPr>
          <w:p>
            <w:pPr>
              <w:spacing w:after="0"/>
              <w:rPr>
                <w:sz w:val="11"/>
                <w:szCs w:val="11"/>
                <w:color w:val="auto"/>
              </w:rPr>
            </w:pPr>
          </w:p>
        </w:tc>
        <w:tc>
          <w:tcPr>
            <w:tcW w:w="80" w:type="dxa"/>
            <w:vAlign w:val="bottom"/>
            <w:tcBorders>
              <w:top w:val="single" w:sz="8" w:color="0000FF"/>
            </w:tcBorders>
            <w:shd w:val="clear" w:color="auto" w:fill="F5F5F5"/>
          </w:tcPr>
          <w:p>
            <w:pPr>
              <w:spacing w:after="0"/>
              <w:rPr>
                <w:sz w:val="11"/>
                <w:szCs w:val="11"/>
                <w:color w:val="auto"/>
              </w:rPr>
            </w:pPr>
          </w:p>
        </w:tc>
        <w:tc>
          <w:tcPr>
            <w:tcW w:w="20" w:type="dxa"/>
            <w:vAlign w:val="bottom"/>
            <w:tcBorders>
              <w:top w:val="single" w:sz="8" w:color="0000FF"/>
            </w:tcBorders>
            <w:shd w:val="clear" w:color="auto" w:fill="F5F5F5"/>
          </w:tcPr>
          <w:p>
            <w:pPr>
              <w:spacing w:after="0"/>
              <w:rPr>
                <w:sz w:val="11"/>
                <w:szCs w:val="11"/>
                <w:color w:val="auto"/>
              </w:rPr>
            </w:pPr>
          </w:p>
        </w:tc>
        <w:tc>
          <w:tcPr>
            <w:tcW w:w="20" w:type="dxa"/>
            <w:vAlign w:val="bottom"/>
            <w:tcBorders>
              <w:top w:val="single" w:sz="8" w:color="0000FF"/>
            </w:tcBorders>
            <w:shd w:val="clear" w:color="auto" w:fill="F5F5F5"/>
          </w:tcPr>
          <w:p>
            <w:pPr>
              <w:spacing w:after="0"/>
              <w:rPr>
                <w:sz w:val="11"/>
                <w:szCs w:val="11"/>
                <w:color w:val="auto"/>
              </w:rPr>
            </w:pPr>
          </w:p>
        </w:tc>
        <w:tc>
          <w:tcPr>
            <w:tcW w:w="20" w:type="dxa"/>
            <w:vAlign w:val="bottom"/>
            <w:tcBorders>
              <w:top w:val="single" w:sz="8" w:color="0000FF"/>
            </w:tcBorders>
            <w:shd w:val="clear" w:color="auto" w:fill="F5F5F5"/>
          </w:tcPr>
          <w:p>
            <w:pPr>
              <w:spacing w:after="0"/>
              <w:rPr>
                <w:sz w:val="11"/>
                <w:szCs w:val="11"/>
                <w:color w:val="auto"/>
              </w:rPr>
            </w:pPr>
          </w:p>
        </w:tc>
        <w:tc>
          <w:tcPr>
            <w:tcW w:w="20" w:type="dxa"/>
            <w:vAlign w:val="bottom"/>
            <w:tcBorders>
              <w:top w:val="single" w:sz="8" w:color="0000FF"/>
            </w:tcBorders>
            <w:shd w:val="clear" w:color="auto" w:fill="F5F5F5"/>
          </w:tcPr>
          <w:p>
            <w:pPr>
              <w:spacing w:after="0"/>
              <w:rPr>
                <w:sz w:val="11"/>
                <w:szCs w:val="11"/>
                <w:color w:val="auto"/>
              </w:rPr>
            </w:pPr>
          </w:p>
        </w:tc>
        <w:tc>
          <w:tcPr>
            <w:tcW w:w="20" w:type="dxa"/>
            <w:vAlign w:val="bottom"/>
            <w:tcBorders>
              <w:top w:val="single" w:sz="8" w:color="0000FF"/>
            </w:tcBorders>
            <w:shd w:val="clear" w:color="auto" w:fill="F5F5F5"/>
          </w:tcPr>
          <w:p>
            <w:pPr>
              <w:spacing w:after="0"/>
              <w:rPr>
                <w:sz w:val="11"/>
                <w:szCs w:val="11"/>
                <w:color w:val="auto"/>
              </w:rPr>
            </w:pPr>
          </w:p>
        </w:tc>
        <w:tc>
          <w:tcPr>
            <w:tcW w:w="20" w:type="dxa"/>
            <w:vAlign w:val="bottom"/>
            <w:tcBorders>
              <w:top w:val="single" w:sz="8" w:color="0000FF"/>
            </w:tcBorders>
            <w:shd w:val="clear" w:color="auto" w:fill="F5F5F5"/>
          </w:tcPr>
          <w:p>
            <w:pPr>
              <w:spacing w:after="0"/>
              <w:rPr>
                <w:sz w:val="11"/>
                <w:szCs w:val="11"/>
                <w:color w:val="auto"/>
              </w:rPr>
            </w:pPr>
          </w:p>
        </w:tc>
        <w:tc>
          <w:tcPr>
            <w:tcW w:w="20" w:type="dxa"/>
            <w:vAlign w:val="bottom"/>
            <w:tcBorders>
              <w:top w:val="single" w:sz="8" w:color="0000FF"/>
            </w:tcBorders>
            <w:shd w:val="clear" w:color="auto" w:fill="F5F5F5"/>
          </w:tcPr>
          <w:p>
            <w:pPr>
              <w:spacing w:after="0"/>
              <w:rPr>
                <w:sz w:val="11"/>
                <w:szCs w:val="11"/>
                <w:color w:val="auto"/>
              </w:rPr>
            </w:pPr>
          </w:p>
        </w:tc>
        <w:tc>
          <w:tcPr>
            <w:tcW w:w="20" w:type="dxa"/>
            <w:vAlign w:val="bottom"/>
            <w:tcBorders>
              <w:top w:val="single" w:sz="8" w:color="0000FF"/>
            </w:tcBorders>
            <w:shd w:val="clear" w:color="auto" w:fill="F5F5F5"/>
          </w:tcPr>
          <w:p>
            <w:pPr>
              <w:spacing w:after="0"/>
              <w:rPr>
                <w:sz w:val="11"/>
                <w:szCs w:val="11"/>
                <w:color w:val="auto"/>
              </w:rPr>
            </w:pPr>
          </w:p>
        </w:tc>
        <w:tc>
          <w:tcPr>
            <w:tcW w:w="20" w:type="dxa"/>
            <w:vAlign w:val="bottom"/>
            <w:tcBorders>
              <w:top w:val="single" w:sz="8" w:color="0000FF"/>
            </w:tcBorders>
            <w:shd w:val="clear" w:color="auto" w:fill="F5F5F5"/>
          </w:tcPr>
          <w:p>
            <w:pPr>
              <w:spacing w:after="0"/>
              <w:rPr>
                <w:sz w:val="11"/>
                <w:szCs w:val="11"/>
                <w:color w:val="auto"/>
              </w:rPr>
            </w:pPr>
          </w:p>
        </w:tc>
        <w:tc>
          <w:tcPr>
            <w:tcW w:w="20" w:type="dxa"/>
            <w:vAlign w:val="bottom"/>
            <w:tcBorders>
              <w:top w:val="single" w:sz="8" w:color="0000FF"/>
            </w:tcBorders>
            <w:shd w:val="clear" w:color="auto" w:fill="F5F5F5"/>
          </w:tcPr>
          <w:p>
            <w:pPr>
              <w:spacing w:after="0"/>
              <w:rPr>
                <w:sz w:val="11"/>
                <w:szCs w:val="11"/>
                <w:color w:val="auto"/>
              </w:rPr>
            </w:pPr>
          </w:p>
        </w:tc>
        <w:tc>
          <w:tcPr>
            <w:tcW w:w="20" w:type="dxa"/>
            <w:vAlign w:val="bottom"/>
            <w:tcBorders>
              <w:top w:val="single" w:sz="8" w:color="0000FF"/>
            </w:tcBorders>
            <w:shd w:val="clear" w:color="auto" w:fill="F5F5F5"/>
          </w:tcPr>
          <w:p>
            <w:pPr>
              <w:spacing w:after="0"/>
              <w:rPr>
                <w:sz w:val="11"/>
                <w:szCs w:val="11"/>
                <w:color w:val="auto"/>
              </w:rPr>
            </w:pPr>
          </w:p>
        </w:tc>
        <w:tc>
          <w:tcPr>
            <w:tcW w:w="20" w:type="dxa"/>
            <w:vAlign w:val="bottom"/>
            <w:tcBorders>
              <w:top w:val="single" w:sz="8" w:color="0000FF"/>
            </w:tcBorders>
            <w:shd w:val="clear" w:color="auto" w:fill="F5F5F5"/>
          </w:tcPr>
          <w:p>
            <w:pPr>
              <w:spacing w:after="0"/>
              <w:rPr>
                <w:sz w:val="11"/>
                <w:szCs w:val="11"/>
                <w:color w:val="auto"/>
              </w:rPr>
            </w:pPr>
          </w:p>
        </w:tc>
        <w:tc>
          <w:tcPr>
            <w:tcW w:w="20" w:type="dxa"/>
            <w:vAlign w:val="bottom"/>
            <w:tcBorders>
              <w:top w:val="single" w:sz="8" w:color="0000FF"/>
            </w:tcBorders>
            <w:shd w:val="clear" w:color="auto" w:fill="F5F5F5"/>
          </w:tcPr>
          <w:p>
            <w:pPr>
              <w:spacing w:after="0"/>
              <w:rPr>
                <w:sz w:val="11"/>
                <w:szCs w:val="11"/>
                <w:color w:val="auto"/>
              </w:rPr>
            </w:pPr>
          </w:p>
        </w:tc>
        <w:tc>
          <w:tcPr>
            <w:tcW w:w="20" w:type="dxa"/>
            <w:vAlign w:val="bottom"/>
            <w:tcBorders>
              <w:top w:val="single" w:sz="8" w:color="0000FF"/>
            </w:tcBorders>
            <w:shd w:val="clear" w:color="auto" w:fill="F5F5F5"/>
          </w:tcPr>
          <w:p>
            <w:pPr>
              <w:spacing w:after="0"/>
              <w:rPr>
                <w:sz w:val="11"/>
                <w:szCs w:val="11"/>
                <w:color w:val="auto"/>
              </w:rPr>
            </w:pPr>
          </w:p>
        </w:tc>
        <w:tc>
          <w:tcPr>
            <w:tcW w:w="20" w:type="dxa"/>
            <w:vAlign w:val="bottom"/>
            <w:tcBorders>
              <w:top w:val="single" w:sz="8" w:color="F5F5F5"/>
            </w:tcBorders>
            <w:shd w:val="clear" w:color="auto" w:fill="F5F5F5"/>
          </w:tcPr>
          <w:p>
            <w:pPr>
              <w:spacing w:after="0"/>
              <w:rPr>
                <w:sz w:val="11"/>
                <w:szCs w:val="11"/>
                <w:color w:val="auto"/>
              </w:rPr>
            </w:pPr>
          </w:p>
        </w:tc>
        <w:tc>
          <w:tcPr>
            <w:tcW w:w="20" w:type="dxa"/>
            <w:vAlign w:val="bottom"/>
            <w:tcBorders>
              <w:top w:val="single" w:sz="8" w:color="F5F5F5"/>
            </w:tcBorders>
            <w:shd w:val="clear" w:color="auto" w:fill="F5F5F5"/>
          </w:tcPr>
          <w:p>
            <w:pPr>
              <w:spacing w:after="0"/>
              <w:rPr>
                <w:sz w:val="11"/>
                <w:szCs w:val="11"/>
                <w:color w:val="auto"/>
              </w:rPr>
            </w:pPr>
          </w:p>
        </w:tc>
        <w:tc>
          <w:tcPr>
            <w:tcW w:w="20" w:type="dxa"/>
            <w:vAlign w:val="bottom"/>
            <w:tcBorders>
              <w:top w:val="single" w:sz="8" w:color="F5F5F5"/>
            </w:tcBorders>
            <w:shd w:val="clear" w:color="auto" w:fill="F5F5F5"/>
          </w:tcPr>
          <w:p>
            <w:pPr>
              <w:spacing w:after="0"/>
              <w:rPr>
                <w:sz w:val="11"/>
                <w:szCs w:val="11"/>
                <w:color w:val="auto"/>
              </w:rPr>
            </w:pPr>
          </w:p>
        </w:tc>
        <w:tc>
          <w:tcPr>
            <w:tcW w:w="20" w:type="dxa"/>
            <w:vAlign w:val="bottom"/>
            <w:tcBorders>
              <w:top w:val="single" w:sz="8" w:color="F5F5F5"/>
            </w:tcBorders>
            <w:shd w:val="clear" w:color="auto" w:fill="F5F5F5"/>
          </w:tcPr>
          <w:p>
            <w:pPr>
              <w:spacing w:after="0"/>
              <w:rPr>
                <w:sz w:val="11"/>
                <w:szCs w:val="11"/>
                <w:color w:val="auto"/>
              </w:rPr>
            </w:pPr>
          </w:p>
        </w:tc>
        <w:tc>
          <w:tcPr>
            <w:tcW w:w="20" w:type="dxa"/>
            <w:vAlign w:val="bottom"/>
            <w:tcBorders>
              <w:top w:val="single" w:sz="8" w:color="F5F5F5"/>
            </w:tcBorders>
            <w:shd w:val="clear" w:color="auto" w:fill="F5F5F5"/>
          </w:tcPr>
          <w:p>
            <w:pPr>
              <w:spacing w:after="0"/>
              <w:rPr>
                <w:sz w:val="11"/>
                <w:szCs w:val="11"/>
                <w:color w:val="auto"/>
              </w:rPr>
            </w:pPr>
          </w:p>
        </w:tc>
        <w:tc>
          <w:tcPr>
            <w:tcW w:w="20" w:type="dxa"/>
            <w:vAlign w:val="bottom"/>
            <w:tcBorders>
              <w:top w:val="single" w:sz="8" w:color="F5F5F5"/>
            </w:tcBorders>
            <w:shd w:val="clear" w:color="auto" w:fill="F5F5F5"/>
          </w:tcPr>
          <w:p>
            <w:pPr>
              <w:spacing w:after="0"/>
              <w:rPr>
                <w:sz w:val="11"/>
                <w:szCs w:val="11"/>
                <w:color w:val="auto"/>
              </w:rPr>
            </w:pPr>
          </w:p>
        </w:tc>
      </w:tr>
      <w:tr>
        <w:trPr>
          <w:trHeight w:val="27"/>
        </w:trPr>
        <w:tc>
          <w:tcPr>
            <w:tcW w:w="600" w:type="dxa"/>
            <w:vAlign w:val="bottom"/>
            <w:shd w:val="clear" w:color="auto" w:fill="F5F5F5"/>
          </w:tcPr>
          <w:p>
            <w:pPr>
              <w:spacing w:after="0"/>
              <w:rPr>
                <w:sz w:val="2"/>
                <w:szCs w:val="2"/>
                <w:color w:val="auto"/>
              </w:rPr>
            </w:pPr>
          </w:p>
        </w:tc>
        <w:tc>
          <w:tcPr>
            <w:tcW w:w="320" w:type="dxa"/>
            <w:vAlign w:val="bottom"/>
            <w:shd w:val="clear" w:color="auto" w:fill="F5F5F5"/>
          </w:tcPr>
          <w:p>
            <w:pPr>
              <w:spacing w:after="0"/>
              <w:rPr>
                <w:sz w:val="2"/>
                <w:szCs w:val="2"/>
                <w:color w:val="auto"/>
              </w:rPr>
            </w:pPr>
          </w:p>
        </w:tc>
        <w:tc>
          <w:tcPr>
            <w:tcW w:w="120" w:type="dxa"/>
            <w:vAlign w:val="bottom"/>
            <w:tcBorders>
              <w:right w:val="single" w:sz="8" w:color="F5F5F5"/>
            </w:tcBorders>
            <w:shd w:val="clear" w:color="auto" w:fill="F5F5F5"/>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3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640" w:type="dxa"/>
            <w:vAlign w:val="bottom"/>
            <w:tcBorders>
              <w:right w:val="single" w:sz="8" w:color="F5F5F5"/>
            </w:tcBorders>
            <w:shd w:val="clear" w:color="auto" w:fill="0000FF"/>
          </w:tcPr>
          <w:p>
            <w:pPr>
              <w:spacing w:after="0"/>
              <w:rPr>
                <w:sz w:val="2"/>
                <w:szCs w:val="2"/>
                <w:color w:val="auto"/>
              </w:rPr>
            </w:pPr>
          </w:p>
        </w:tc>
        <w:tc>
          <w:tcPr>
            <w:tcW w:w="920" w:type="dxa"/>
            <w:vAlign w:val="bottom"/>
            <w:tcBorders>
              <w:left w:val="single" w:sz="8" w:color="F5F5F5"/>
            </w:tcBorders>
            <w:shd w:val="clear" w:color="auto" w:fill="F5F5F5"/>
          </w:tcPr>
          <w:p>
            <w:pPr>
              <w:spacing w:after="0"/>
              <w:rPr>
                <w:sz w:val="2"/>
                <w:szCs w:val="2"/>
                <w:color w:val="auto"/>
              </w:rPr>
            </w:pPr>
          </w:p>
        </w:tc>
        <w:tc>
          <w:tcPr>
            <w:tcW w:w="360" w:type="dxa"/>
            <w:vAlign w:val="bottom"/>
            <w:shd w:val="clear" w:color="auto" w:fill="F5F5F5"/>
          </w:tcPr>
          <w:p>
            <w:pPr>
              <w:spacing w:after="0"/>
              <w:rPr>
                <w:sz w:val="2"/>
                <w:szCs w:val="2"/>
                <w:color w:val="auto"/>
              </w:rPr>
            </w:pPr>
          </w:p>
        </w:tc>
        <w:tc>
          <w:tcPr>
            <w:tcW w:w="900" w:type="dxa"/>
            <w:vAlign w:val="bottom"/>
            <w:shd w:val="clear" w:color="auto" w:fill="F5F5F5"/>
          </w:tcPr>
          <w:p>
            <w:pPr>
              <w:spacing w:after="0"/>
              <w:rPr>
                <w:sz w:val="2"/>
                <w:szCs w:val="2"/>
                <w:color w:val="auto"/>
              </w:rPr>
            </w:pPr>
          </w:p>
        </w:tc>
        <w:tc>
          <w:tcPr>
            <w:tcW w:w="140" w:type="dxa"/>
            <w:vAlign w:val="bottom"/>
            <w:shd w:val="clear" w:color="auto" w:fill="F5F5F5"/>
          </w:tcPr>
          <w:p>
            <w:pPr>
              <w:spacing w:after="0"/>
              <w:rPr>
                <w:sz w:val="2"/>
                <w:szCs w:val="2"/>
                <w:color w:val="auto"/>
              </w:rPr>
            </w:pPr>
          </w:p>
        </w:tc>
        <w:tc>
          <w:tcPr>
            <w:tcW w:w="700" w:type="dxa"/>
            <w:vAlign w:val="bottom"/>
            <w:shd w:val="clear" w:color="auto" w:fill="F5F5F5"/>
          </w:tcPr>
          <w:p>
            <w:pPr>
              <w:spacing w:after="0"/>
              <w:rPr>
                <w:sz w:val="2"/>
                <w:szCs w:val="2"/>
                <w:color w:val="auto"/>
              </w:rPr>
            </w:pPr>
          </w:p>
        </w:tc>
        <w:tc>
          <w:tcPr>
            <w:tcW w:w="320" w:type="dxa"/>
            <w:vAlign w:val="bottom"/>
            <w:shd w:val="clear" w:color="auto" w:fill="F5F5F5"/>
          </w:tcPr>
          <w:p>
            <w:pPr>
              <w:spacing w:after="0"/>
              <w:rPr>
                <w:sz w:val="2"/>
                <w:szCs w:val="2"/>
                <w:color w:val="auto"/>
              </w:rPr>
            </w:pPr>
          </w:p>
        </w:tc>
        <w:tc>
          <w:tcPr>
            <w:tcW w:w="380" w:type="dxa"/>
            <w:vAlign w:val="bottom"/>
            <w:shd w:val="clear" w:color="auto" w:fill="F5F5F5"/>
          </w:tcPr>
          <w:p>
            <w:pPr>
              <w:spacing w:after="0"/>
              <w:rPr>
                <w:sz w:val="2"/>
                <w:szCs w:val="2"/>
                <w:color w:val="auto"/>
              </w:rPr>
            </w:pPr>
          </w:p>
        </w:tc>
        <w:tc>
          <w:tcPr>
            <w:tcW w:w="38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8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r>
      <w:tr>
        <w:trPr>
          <w:trHeight w:val="162"/>
        </w:trPr>
        <w:tc>
          <w:tcPr>
            <w:tcW w:w="600" w:type="dxa"/>
            <w:vAlign w:val="bottom"/>
          </w:tcPr>
          <w:p>
            <w:pPr>
              <w:ind w:left="20"/>
              <w:spacing w:after="0"/>
              <w:rPr>
                <w:sz w:val="20"/>
                <w:szCs w:val="20"/>
                <w:color w:val="auto"/>
              </w:rPr>
            </w:pPr>
            <w:r>
              <w:rPr>
                <w:rFonts w:ascii="Arial" w:cs="Arial" w:eastAsia="Arial" w:hAnsi="Arial"/>
                <w:sz w:val="14"/>
                <w:szCs w:val="14"/>
                <w:color w:val="auto"/>
              </w:rPr>
              <w:t>10.2*</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560" w:type="dxa"/>
            <w:vAlign w:val="bottom"/>
            <w:gridSpan w:val="40"/>
          </w:tcPr>
          <w:p>
            <w:pPr>
              <w:spacing w:after="0"/>
              <w:rPr>
                <w:rFonts w:ascii="Arial" w:cs="Arial" w:eastAsia="Arial" w:hAnsi="Arial"/>
                <w:sz w:val="14"/>
                <w:szCs w:val="14"/>
                <w:color w:val="0000FF"/>
              </w:rPr>
            </w:pPr>
            <w:hyperlink r:id="rId117">
              <w:r>
                <w:rPr>
                  <w:rFonts w:ascii="Arial" w:cs="Arial" w:eastAsia="Arial" w:hAnsi="Arial"/>
                  <w:sz w:val="14"/>
                  <w:szCs w:val="14"/>
                  <w:color w:val="0000FF"/>
                </w:rPr>
                <w:t>Amended and Restated Employment Agreement, entered into as of August 15, 2005, by and between A&amp;F and Michael S. Jeffries, including (as Exhibit A</w:t>
              </w:r>
            </w:hyperlink>
          </w:p>
        </w:tc>
      </w:tr>
      <w:tr>
        <w:trPr>
          <w:trHeight w:val="128"/>
        </w:trPr>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520" w:type="dxa"/>
            <w:vAlign w:val="bottom"/>
            <w:tcBorders>
              <w:top w:val="single" w:sz="8" w:color="0000FF"/>
            </w:tcBorders>
            <w:gridSpan w:val="38"/>
          </w:tcPr>
          <w:p>
            <w:pPr>
              <w:spacing w:after="0" w:line="129" w:lineRule="exact"/>
              <w:rPr>
                <w:rFonts w:ascii="Arial" w:cs="Arial" w:eastAsia="Arial" w:hAnsi="Arial"/>
                <w:sz w:val="14"/>
                <w:szCs w:val="14"/>
                <w:color w:val="0000FF"/>
              </w:rPr>
            </w:pPr>
            <w:hyperlink r:id="rId117">
              <w:r>
                <w:rPr>
                  <w:rFonts w:ascii="Arial" w:cs="Arial" w:eastAsia="Arial" w:hAnsi="Arial"/>
                  <w:sz w:val="14"/>
                  <w:szCs w:val="14"/>
                  <w:color w:val="0000FF"/>
                </w:rPr>
                <w:t>thereto) the Abercrombie &amp; Fitch Co. Supplemental Executive Retirement Plan (Michael S. Jeffries), effective February 2, 2003, incorporated herein by</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9"/>
        </w:trPr>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20" w:type="dxa"/>
            <w:vAlign w:val="bottom"/>
            <w:tcBorders>
              <w:top w:val="single" w:sz="8" w:color="0000FF"/>
            </w:tcBorders>
            <w:gridSpan w:val="23"/>
          </w:tcPr>
          <w:p>
            <w:pPr>
              <w:spacing w:after="0" w:line="129" w:lineRule="exact"/>
              <w:rPr>
                <w:rFonts w:ascii="Arial" w:cs="Arial" w:eastAsia="Arial" w:hAnsi="Arial"/>
                <w:sz w:val="14"/>
                <w:szCs w:val="14"/>
                <w:color w:val="0000FF"/>
              </w:rPr>
            </w:pPr>
            <w:hyperlink r:id="rId117">
              <w:r>
                <w:rPr>
                  <w:rFonts w:ascii="Arial" w:cs="Arial" w:eastAsia="Arial" w:hAnsi="Arial"/>
                  <w:sz w:val="14"/>
                  <w:szCs w:val="14"/>
                  <w:color w:val="0000FF"/>
                </w:rPr>
                <w:t>reference to Exhibit 10.1 to A&amp;F’s Current Report on Form 8-K dated and filed August 26, 2005 (File No. 001-12107). [NOTE: Only the Abercrombie &amp; Fitch Co.</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115"/>
        </w:trPr>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80" w:type="dxa"/>
            <w:vAlign w:val="bottom"/>
            <w:tcBorders>
              <w:top w:val="single" w:sz="8" w:color="0000FF"/>
            </w:tcBorders>
            <w:gridSpan w:val="14"/>
          </w:tcPr>
          <w:p>
            <w:pPr>
              <w:spacing w:after="0" w:line="115" w:lineRule="exact"/>
              <w:rPr>
                <w:rFonts w:ascii="Arial" w:cs="Arial" w:eastAsia="Arial" w:hAnsi="Arial"/>
                <w:sz w:val="13"/>
                <w:szCs w:val="13"/>
                <w:color w:val="0000FF"/>
              </w:rPr>
            </w:pPr>
            <w:hyperlink r:id="rId117">
              <w:r>
                <w:rPr>
                  <w:rFonts w:ascii="Arial" w:cs="Arial" w:eastAsia="Arial" w:hAnsi="Arial"/>
                  <w:sz w:val="13"/>
                  <w:szCs w:val="13"/>
                  <w:color w:val="0000FF"/>
                </w:rPr>
                <w:t>Supplemental Executive Retirement Plan (Michael S. Jeffries) is still in effect.]</w:t>
              </w:r>
            </w:hyperlink>
          </w:p>
        </w:tc>
        <w:tc>
          <w:tcPr>
            <w:tcW w:w="70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380" w:type="dxa"/>
            <w:vAlign w:val="bottom"/>
            <w:tcBorders>
              <w:top w:val="single" w:sz="8" w:color="0000FF"/>
            </w:tcBorders>
          </w:tcPr>
          <w:p>
            <w:pPr>
              <w:spacing w:after="0"/>
              <w:rPr>
                <w:sz w:val="10"/>
                <w:szCs w:val="10"/>
                <w:color w:val="auto"/>
              </w:rPr>
            </w:pPr>
          </w:p>
        </w:tc>
        <w:tc>
          <w:tcPr>
            <w:tcW w:w="3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1"/>
        </w:trPr>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600" w:type="dxa"/>
            <w:vAlign w:val="bottom"/>
            <w:shd w:val="clear" w:color="auto" w:fill="F5F5F5"/>
          </w:tcPr>
          <w:p>
            <w:pPr>
              <w:ind w:left="20"/>
              <w:spacing w:after="0"/>
              <w:rPr>
                <w:sz w:val="20"/>
                <w:szCs w:val="20"/>
                <w:color w:val="auto"/>
              </w:rPr>
            </w:pPr>
            <w:r>
              <w:rPr>
                <w:rFonts w:ascii="Arial" w:cs="Arial" w:eastAsia="Arial" w:hAnsi="Arial"/>
                <w:sz w:val="14"/>
                <w:szCs w:val="14"/>
                <w:color w:val="auto"/>
              </w:rPr>
              <w:t>10.3*</w:t>
            </w:r>
          </w:p>
        </w:tc>
        <w:tc>
          <w:tcPr>
            <w:tcW w:w="320" w:type="dxa"/>
            <w:vAlign w:val="bottom"/>
            <w:shd w:val="clear" w:color="auto" w:fill="F5F5F5"/>
          </w:tcPr>
          <w:p>
            <w:pPr>
              <w:spacing w:after="0"/>
              <w:rPr>
                <w:sz w:val="14"/>
                <w:szCs w:val="14"/>
                <w:color w:val="auto"/>
              </w:rPr>
            </w:pPr>
          </w:p>
        </w:tc>
        <w:tc>
          <w:tcPr>
            <w:tcW w:w="120" w:type="dxa"/>
            <w:vAlign w:val="bottom"/>
            <w:tcBorders>
              <w:right w:val="single" w:sz="8" w:color="F5F5F5"/>
            </w:tcBorders>
            <w:shd w:val="clear" w:color="auto" w:fill="F5F5F5"/>
          </w:tcPr>
          <w:p>
            <w:pPr>
              <w:spacing w:after="0"/>
              <w:rPr>
                <w:sz w:val="14"/>
                <w:szCs w:val="14"/>
                <w:color w:val="auto"/>
              </w:rPr>
            </w:pPr>
          </w:p>
        </w:tc>
        <w:tc>
          <w:tcPr>
            <w:tcW w:w="10560" w:type="dxa"/>
            <w:vAlign w:val="bottom"/>
            <w:gridSpan w:val="40"/>
            <w:shd w:val="clear" w:color="auto" w:fill="F5F5F5"/>
          </w:tcPr>
          <w:p>
            <w:pPr>
              <w:spacing w:after="0"/>
              <w:rPr>
                <w:rFonts w:ascii="Arial" w:cs="Arial" w:eastAsia="Arial" w:hAnsi="Arial"/>
                <w:sz w:val="14"/>
                <w:szCs w:val="14"/>
                <w:color w:val="0000FF"/>
              </w:rPr>
            </w:pPr>
            <w:hyperlink r:id="rId118">
              <w:r>
                <w:rPr>
                  <w:rFonts w:ascii="Arial" w:cs="Arial" w:eastAsia="Arial" w:hAnsi="Arial"/>
                  <w:sz w:val="14"/>
                  <w:szCs w:val="14"/>
                  <w:color w:val="0000FF"/>
                </w:rPr>
                <w:t>Abercrombie &amp; Fitch Co. Directors’ Deferred Compensation Plan (Plan I) (prior to January 1, 2005, known as the Abercrombie &amp; Fitch Co. Directors’ Deferred</w:t>
              </w:r>
            </w:hyperlink>
          </w:p>
        </w:tc>
      </w:tr>
      <w:tr>
        <w:trPr>
          <w:trHeight w:val="128"/>
        </w:trPr>
        <w:tc>
          <w:tcPr>
            <w:tcW w:w="600" w:type="dxa"/>
            <w:vAlign w:val="bottom"/>
            <w:tcBorders>
              <w:top w:val="single" w:sz="8" w:color="F5F5F5"/>
            </w:tcBorders>
            <w:shd w:val="clear" w:color="auto" w:fill="F5F5F5"/>
          </w:tcPr>
          <w:p>
            <w:pPr>
              <w:spacing w:after="0"/>
              <w:rPr>
                <w:sz w:val="11"/>
                <w:szCs w:val="11"/>
                <w:color w:val="auto"/>
              </w:rPr>
            </w:pPr>
          </w:p>
        </w:tc>
        <w:tc>
          <w:tcPr>
            <w:tcW w:w="320" w:type="dxa"/>
            <w:vAlign w:val="bottom"/>
            <w:tcBorders>
              <w:top w:val="single" w:sz="8" w:color="F5F5F5"/>
            </w:tcBorders>
            <w:shd w:val="clear" w:color="auto" w:fill="F5F5F5"/>
          </w:tcPr>
          <w:p>
            <w:pPr>
              <w:spacing w:after="0"/>
              <w:rPr>
                <w:sz w:val="11"/>
                <w:szCs w:val="11"/>
                <w:color w:val="auto"/>
              </w:rPr>
            </w:pPr>
          </w:p>
        </w:tc>
        <w:tc>
          <w:tcPr>
            <w:tcW w:w="120" w:type="dxa"/>
            <w:vAlign w:val="bottom"/>
            <w:tcBorders>
              <w:top w:val="single" w:sz="8" w:color="F5F5F5"/>
              <w:right w:val="single" w:sz="8" w:color="F5F5F5"/>
            </w:tcBorders>
            <w:shd w:val="clear" w:color="auto" w:fill="F5F5F5"/>
          </w:tcPr>
          <w:p>
            <w:pPr>
              <w:spacing w:after="0"/>
              <w:rPr>
                <w:sz w:val="11"/>
                <w:szCs w:val="11"/>
                <w:color w:val="auto"/>
              </w:rPr>
            </w:pPr>
          </w:p>
        </w:tc>
        <w:tc>
          <w:tcPr>
            <w:tcW w:w="10380" w:type="dxa"/>
            <w:vAlign w:val="bottom"/>
            <w:tcBorders>
              <w:top w:val="single" w:sz="8" w:color="0000FF"/>
            </w:tcBorders>
            <w:gridSpan w:val="31"/>
            <w:shd w:val="clear" w:color="auto" w:fill="F5F5F5"/>
          </w:tcPr>
          <w:p>
            <w:pPr>
              <w:spacing w:after="0" w:line="129" w:lineRule="exact"/>
              <w:rPr>
                <w:rFonts w:ascii="Arial" w:cs="Arial" w:eastAsia="Arial" w:hAnsi="Arial"/>
                <w:sz w:val="14"/>
                <w:szCs w:val="14"/>
                <w:color w:val="0000FF"/>
              </w:rPr>
            </w:pPr>
            <w:hyperlink r:id="rId118">
              <w:r>
                <w:rPr>
                  <w:rFonts w:ascii="Arial" w:cs="Arial" w:eastAsia="Arial" w:hAnsi="Arial"/>
                  <w:sz w:val="14"/>
                  <w:szCs w:val="14"/>
                  <w:color w:val="0000FF"/>
                </w:rPr>
                <w:t>Compensation Plan), as amended and restated May 22, 2003, incorporated herein by reference to Exhibit 10.7 to A&amp;F’s Quarterly Report on Form 10-Q for the</w:t>
              </w:r>
            </w:hyperlink>
          </w:p>
        </w:tc>
        <w:tc>
          <w:tcPr>
            <w:tcW w:w="20" w:type="dxa"/>
            <w:vAlign w:val="bottom"/>
            <w:tcBorders>
              <w:top w:val="single" w:sz="8" w:color="F5F5F5"/>
            </w:tcBorders>
            <w:shd w:val="clear" w:color="auto" w:fill="F5F5F5"/>
          </w:tcPr>
          <w:p>
            <w:pPr>
              <w:spacing w:after="0"/>
              <w:rPr>
                <w:sz w:val="11"/>
                <w:szCs w:val="11"/>
                <w:color w:val="auto"/>
              </w:rPr>
            </w:pPr>
          </w:p>
        </w:tc>
        <w:tc>
          <w:tcPr>
            <w:tcW w:w="20" w:type="dxa"/>
            <w:vAlign w:val="bottom"/>
            <w:tcBorders>
              <w:top w:val="single" w:sz="8" w:color="F5F5F5"/>
            </w:tcBorders>
            <w:shd w:val="clear" w:color="auto" w:fill="F5F5F5"/>
          </w:tcPr>
          <w:p>
            <w:pPr>
              <w:spacing w:after="0"/>
              <w:rPr>
                <w:sz w:val="11"/>
                <w:szCs w:val="11"/>
                <w:color w:val="auto"/>
              </w:rPr>
            </w:pPr>
          </w:p>
        </w:tc>
        <w:tc>
          <w:tcPr>
            <w:tcW w:w="20" w:type="dxa"/>
            <w:vAlign w:val="bottom"/>
            <w:tcBorders>
              <w:top w:val="single" w:sz="8" w:color="F5F5F5"/>
            </w:tcBorders>
            <w:shd w:val="clear" w:color="auto" w:fill="F5F5F5"/>
          </w:tcPr>
          <w:p>
            <w:pPr>
              <w:spacing w:after="0"/>
              <w:rPr>
                <w:sz w:val="11"/>
                <w:szCs w:val="11"/>
                <w:color w:val="auto"/>
              </w:rPr>
            </w:pPr>
          </w:p>
        </w:tc>
        <w:tc>
          <w:tcPr>
            <w:tcW w:w="20" w:type="dxa"/>
            <w:vAlign w:val="bottom"/>
            <w:tcBorders>
              <w:top w:val="single" w:sz="8" w:color="F5F5F5"/>
            </w:tcBorders>
            <w:shd w:val="clear" w:color="auto" w:fill="F5F5F5"/>
          </w:tcPr>
          <w:p>
            <w:pPr>
              <w:spacing w:after="0"/>
              <w:rPr>
                <w:sz w:val="11"/>
                <w:szCs w:val="11"/>
                <w:color w:val="auto"/>
              </w:rPr>
            </w:pPr>
          </w:p>
        </w:tc>
        <w:tc>
          <w:tcPr>
            <w:tcW w:w="20" w:type="dxa"/>
            <w:vAlign w:val="bottom"/>
            <w:tcBorders>
              <w:top w:val="single" w:sz="8" w:color="F5F5F5"/>
            </w:tcBorders>
            <w:shd w:val="clear" w:color="auto" w:fill="F5F5F5"/>
          </w:tcPr>
          <w:p>
            <w:pPr>
              <w:spacing w:after="0"/>
              <w:rPr>
                <w:sz w:val="11"/>
                <w:szCs w:val="11"/>
                <w:color w:val="auto"/>
              </w:rPr>
            </w:pPr>
          </w:p>
        </w:tc>
        <w:tc>
          <w:tcPr>
            <w:tcW w:w="20" w:type="dxa"/>
            <w:vAlign w:val="bottom"/>
            <w:tcBorders>
              <w:top w:val="single" w:sz="8" w:color="F5F5F5"/>
            </w:tcBorders>
            <w:shd w:val="clear" w:color="auto" w:fill="F5F5F5"/>
          </w:tcPr>
          <w:p>
            <w:pPr>
              <w:spacing w:after="0"/>
              <w:rPr>
                <w:sz w:val="11"/>
                <w:szCs w:val="11"/>
                <w:color w:val="auto"/>
              </w:rPr>
            </w:pPr>
          </w:p>
        </w:tc>
        <w:tc>
          <w:tcPr>
            <w:tcW w:w="40" w:type="dxa"/>
            <w:vAlign w:val="bottom"/>
            <w:tcBorders>
              <w:top w:val="single" w:sz="8" w:color="F5F5F5"/>
            </w:tcBorders>
            <w:gridSpan w:val="2"/>
            <w:shd w:val="clear" w:color="auto" w:fill="F5F5F5"/>
          </w:tcPr>
          <w:p>
            <w:pPr>
              <w:spacing w:after="0"/>
              <w:rPr>
                <w:sz w:val="11"/>
                <w:szCs w:val="11"/>
                <w:color w:val="auto"/>
              </w:rPr>
            </w:pPr>
          </w:p>
        </w:tc>
        <w:tc>
          <w:tcPr>
            <w:tcW w:w="20" w:type="dxa"/>
            <w:vAlign w:val="bottom"/>
            <w:tcBorders>
              <w:top w:val="single" w:sz="8" w:color="F5F5F5"/>
            </w:tcBorders>
            <w:shd w:val="clear" w:color="auto" w:fill="F5F5F5"/>
          </w:tcPr>
          <w:p>
            <w:pPr>
              <w:spacing w:after="0"/>
              <w:rPr>
                <w:sz w:val="11"/>
                <w:szCs w:val="11"/>
                <w:color w:val="auto"/>
              </w:rPr>
            </w:pPr>
          </w:p>
        </w:tc>
      </w:tr>
      <w:tr>
        <w:trPr>
          <w:trHeight w:val="128"/>
        </w:trPr>
        <w:tc>
          <w:tcPr>
            <w:tcW w:w="600" w:type="dxa"/>
            <w:vAlign w:val="bottom"/>
            <w:tcBorders>
              <w:top w:val="single" w:sz="8" w:color="F5F5F5"/>
            </w:tcBorders>
            <w:shd w:val="clear" w:color="auto" w:fill="F5F5F5"/>
          </w:tcPr>
          <w:p>
            <w:pPr>
              <w:spacing w:after="0"/>
              <w:rPr>
                <w:sz w:val="11"/>
                <w:szCs w:val="11"/>
                <w:color w:val="auto"/>
              </w:rPr>
            </w:pPr>
          </w:p>
        </w:tc>
        <w:tc>
          <w:tcPr>
            <w:tcW w:w="320" w:type="dxa"/>
            <w:vAlign w:val="bottom"/>
            <w:tcBorders>
              <w:top w:val="single" w:sz="8" w:color="F5F5F5"/>
            </w:tcBorders>
            <w:shd w:val="clear" w:color="auto" w:fill="F5F5F5"/>
          </w:tcPr>
          <w:p>
            <w:pPr>
              <w:spacing w:after="0"/>
              <w:rPr>
                <w:sz w:val="11"/>
                <w:szCs w:val="11"/>
                <w:color w:val="auto"/>
              </w:rPr>
            </w:pPr>
          </w:p>
        </w:tc>
        <w:tc>
          <w:tcPr>
            <w:tcW w:w="120" w:type="dxa"/>
            <w:vAlign w:val="bottom"/>
            <w:tcBorders>
              <w:top w:val="single" w:sz="8" w:color="F5F5F5"/>
              <w:right w:val="single" w:sz="8" w:color="F5F5F5"/>
            </w:tcBorders>
            <w:shd w:val="clear" w:color="auto" w:fill="F5F5F5"/>
          </w:tcPr>
          <w:p>
            <w:pPr>
              <w:spacing w:after="0"/>
              <w:rPr>
                <w:sz w:val="11"/>
                <w:szCs w:val="11"/>
                <w:color w:val="auto"/>
              </w:rPr>
            </w:pPr>
          </w:p>
        </w:tc>
        <w:tc>
          <w:tcPr>
            <w:tcW w:w="4080" w:type="dxa"/>
            <w:vAlign w:val="bottom"/>
            <w:tcBorders>
              <w:top w:val="single" w:sz="8" w:color="0000FF"/>
            </w:tcBorders>
            <w:gridSpan w:val="6"/>
            <w:shd w:val="clear" w:color="auto" w:fill="F5F5F5"/>
          </w:tcPr>
          <w:p>
            <w:pPr>
              <w:spacing w:after="0" w:line="129" w:lineRule="exact"/>
              <w:rPr>
                <w:rFonts w:ascii="Arial" w:cs="Arial" w:eastAsia="Arial" w:hAnsi="Arial"/>
                <w:sz w:val="14"/>
                <w:szCs w:val="14"/>
                <w:color w:val="0000FF"/>
              </w:rPr>
            </w:pPr>
            <w:hyperlink r:id="rId118">
              <w:r>
                <w:rPr>
                  <w:rFonts w:ascii="Arial" w:cs="Arial" w:eastAsia="Arial" w:hAnsi="Arial"/>
                  <w:sz w:val="14"/>
                  <w:szCs w:val="14"/>
                  <w:color w:val="0000FF"/>
                </w:rPr>
                <w:t>quarterly period ended May 3, 2003 (File No. 001-12107).</w:t>
              </w:r>
            </w:hyperlink>
          </w:p>
        </w:tc>
        <w:tc>
          <w:tcPr>
            <w:tcW w:w="800" w:type="dxa"/>
            <w:vAlign w:val="bottom"/>
            <w:tcBorders>
              <w:top w:val="single" w:sz="8" w:color="0000FF"/>
            </w:tcBorders>
            <w:shd w:val="clear" w:color="auto" w:fill="F5F5F5"/>
          </w:tcPr>
          <w:p>
            <w:pPr>
              <w:spacing w:after="0"/>
              <w:rPr>
                <w:sz w:val="11"/>
                <w:szCs w:val="11"/>
                <w:color w:val="auto"/>
              </w:rPr>
            </w:pPr>
          </w:p>
        </w:tc>
        <w:tc>
          <w:tcPr>
            <w:tcW w:w="60" w:type="dxa"/>
            <w:vAlign w:val="bottom"/>
            <w:tcBorders>
              <w:top w:val="single" w:sz="8" w:color="0000FF"/>
            </w:tcBorders>
            <w:shd w:val="clear" w:color="auto" w:fill="F5F5F5"/>
          </w:tcPr>
          <w:p>
            <w:pPr>
              <w:spacing w:after="0"/>
              <w:rPr>
                <w:sz w:val="11"/>
                <w:szCs w:val="11"/>
                <w:color w:val="auto"/>
              </w:rPr>
            </w:pPr>
          </w:p>
        </w:tc>
        <w:tc>
          <w:tcPr>
            <w:tcW w:w="380" w:type="dxa"/>
            <w:vAlign w:val="bottom"/>
            <w:tcBorders>
              <w:top w:val="single" w:sz="8" w:color="0000FF"/>
            </w:tcBorders>
            <w:shd w:val="clear" w:color="auto" w:fill="F5F5F5"/>
          </w:tcPr>
          <w:p>
            <w:pPr>
              <w:spacing w:after="0"/>
              <w:rPr>
                <w:sz w:val="11"/>
                <w:szCs w:val="11"/>
                <w:color w:val="auto"/>
              </w:rPr>
            </w:pPr>
          </w:p>
        </w:tc>
        <w:tc>
          <w:tcPr>
            <w:tcW w:w="640" w:type="dxa"/>
            <w:vAlign w:val="bottom"/>
            <w:tcBorders>
              <w:top w:val="single" w:sz="8" w:color="0000FF"/>
              <w:right w:val="single" w:sz="8" w:color="F5F5F5"/>
            </w:tcBorders>
            <w:shd w:val="clear" w:color="auto" w:fill="F5F5F5"/>
          </w:tcPr>
          <w:p>
            <w:pPr>
              <w:spacing w:after="0"/>
              <w:rPr>
                <w:sz w:val="11"/>
                <w:szCs w:val="11"/>
                <w:color w:val="auto"/>
              </w:rPr>
            </w:pPr>
          </w:p>
        </w:tc>
        <w:tc>
          <w:tcPr>
            <w:tcW w:w="920" w:type="dxa"/>
            <w:vAlign w:val="bottom"/>
            <w:tcBorders>
              <w:top w:val="single" w:sz="8" w:color="0000FF"/>
              <w:left w:val="single" w:sz="8" w:color="F5F5F5"/>
            </w:tcBorders>
            <w:shd w:val="clear" w:color="auto" w:fill="F5F5F5"/>
          </w:tcPr>
          <w:p>
            <w:pPr>
              <w:spacing w:after="0"/>
              <w:rPr>
                <w:sz w:val="11"/>
                <w:szCs w:val="11"/>
                <w:color w:val="auto"/>
              </w:rPr>
            </w:pPr>
          </w:p>
        </w:tc>
        <w:tc>
          <w:tcPr>
            <w:tcW w:w="360" w:type="dxa"/>
            <w:vAlign w:val="bottom"/>
            <w:tcBorders>
              <w:top w:val="single" w:sz="8" w:color="0000FF"/>
            </w:tcBorders>
            <w:shd w:val="clear" w:color="auto" w:fill="F5F5F5"/>
          </w:tcPr>
          <w:p>
            <w:pPr>
              <w:spacing w:after="0"/>
              <w:rPr>
                <w:sz w:val="11"/>
                <w:szCs w:val="11"/>
                <w:color w:val="auto"/>
              </w:rPr>
            </w:pPr>
          </w:p>
        </w:tc>
        <w:tc>
          <w:tcPr>
            <w:tcW w:w="900" w:type="dxa"/>
            <w:vAlign w:val="bottom"/>
            <w:tcBorders>
              <w:top w:val="single" w:sz="8" w:color="0000FF"/>
            </w:tcBorders>
            <w:shd w:val="clear" w:color="auto" w:fill="F5F5F5"/>
          </w:tcPr>
          <w:p>
            <w:pPr>
              <w:spacing w:after="0"/>
              <w:rPr>
                <w:sz w:val="11"/>
                <w:szCs w:val="11"/>
                <w:color w:val="auto"/>
              </w:rPr>
            </w:pPr>
          </w:p>
        </w:tc>
        <w:tc>
          <w:tcPr>
            <w:tcW w:w="140" w:type="dxa"/>
            <w:vAlign w:val="bottom"/>
            <w:tcBorders>
              <w:top w:val="single" w:sz="8" w:color="0000FF"/>
            </w:tcBorders>
            <w:shd w:val="clear" w:color="auto" w:fill="F5F5F5"/>
          </w:tcPr>
          <w:p>
            <w:pPr>
              <w:spacing w:after="0"/>
              <w:rPr>
                <w:sz w:val="11"/>
                <w:szCs w:val="11"/>
                <w:color w:val="auto"/>
              </w:rPr>
            </w:pPr>
          </w:p>
        </w:tc>
        <w:tc>
          <w:tcPr>
            <w:tcW w:w="700" w:type="dxa"/>
            <w:vAlign w:val="bottom"/>
            <w:tcBorders>
              <w:top w:val="single" w:sz="8" w:color="0000FF"/>
            </w:tcBorders>
            <w:shd w:val="clear" w:color="auto" w:fill="F5F5F5"/>
          </w:tcPr>
          <w:p>
            <w:pPr>
              <w:spacing w:after="0"/>
              <w:rPr>
                <w:sz w:val="11"/>
                <w:szCs w:val="11"/>
                <w:color w:val="auto"/>
              </w:rPr>
            </w:pPr>
          </w:p>
        </w:tc>
        <w:tc>
          <w:tcPr>
            <w:tcW w:w="320" w:type="dxa"/>
            <w:vAlign w:val="bottom"/>
            <w:tcBorders>
              <w:top w:val="single" w:sz="8" w:color="0000FF"/>
            </w:tcBorders>
            <w:shd w:val="clear" w:color="auto" w:fill="F5F5F5"/>
          </w:tcPr>
          <w:p>
            <w:pPr>
              <w:spacing w:after="0"/>
              <w:rPr>
                <w:sz w:val="11"/>
                <w:szCs w:val="11"/>
                <w:color w:val="auto"/>
              </w:rPr>
            </w:pPr>
          </w:p>
        </w:tc>
        <w:tc>
          <w:tcPr>
            <w:tcW w:w="380" w:type="dxa"/>
            <w:vAlign w:val="bottom"/>
            <w:tcBorders>
              <w:top w:val="single" w:sz="8" w:color="0000FF"/>
            </w:tcBorders>
            <w:shd w:val="clear" w:color="auto" w:fill="F5F5F5"/>
          </w:tcPr>
          <w:p>
            <w:pPr>
              <w:spacing w:after="0"/>
              <w:rPr>
                <w:sz w:val="11"/>
                <w:szCs w:val="11"/>
                <w:color w:val="auto"/>
              </w:rPr>
            </w:pPr>
          </w:p>
        </w:tc>
        <w:tc>
          <w:tcPr>
            <w:tcW w:w="380" w:type="dxa"/>
            <w:vAlign w:val="bottom"/>
            <w:tcBorders>
              <w:top w:val="single" w:sz="8" w:color="0000FF"/>
            </w:tcBorders>
            <w:shd w:val="clear" w:color="auto" w:fill="F5F5F5"/>
          </w:tcPr>
          <w:p>
            <w:pPr>
              <w:spacing w:after="0"/>
              <w:rPr>
                <w:sz w:val="11"/>
                <w:szCs w:val="11"/>
                <w:color w:val="auto"/>
              </w:rPr>
            </w:pPr>
          </w:p>
        </w:tc>
        <w:tc>
          <w:tcPr>
            <w:tcW w:w="20" w:type="dxa"/>
            <w:vAlign w:val="bottom"/>
            <w:tcBorders>
              <w:top w:val="single" w:sz="8" w:color="0000FF"/>
            </w:tcBorders>
            <w:shd w:val="clear" w:color="auto" w:fill="F5F5F5"/>
          </w:tcPr>
          <w:p>
            <w:pPr>
              <w:spacing w:after="0"/>
              <w:rPr>
                <w:sz w:val="11"/>
                <w:szCs w:val="11"/>
                <w:color w:val="auto"/>
              </w:rPr>
            </w:pPr>
          </w:p>
        </w:tc>
        <w:tc>
          <w:tcPr>
            <w:tcW w:w="80" w:type="dxa"/>
            <w:vAlign w:val="bottom"/>
            <w:tcBorders>
              <w:top w:val="single" w:sz="8" w:color="0000FF"/>
            </w:tcBorders>
            <w:shd w:val="clear" w:color="auto" w:fill="F5F5F5"/>
          </w:tcPr>
          <w:p>
            <w:pPr>
              <w:spacing w:after="0"/>
              <w:rPr>
                <w:sz w:val="11"/>
                <w:szCs w:val="11"/>
                <w:color w:val="auto"/>
              </w:rPr>
            </w:pPr>
          </w:p>
        </w:tc>
        <w:tc>
          <w:tcPr>
            <w:tcW w:w="20" w:type="dxa"/>
            <w:vAlign w:val="bottom"/>
            <w:tcBorders>
              <w:top w:val="single" w:sz="8" w:color="0000FF"/>
            </w:tcBorders>
            <w:shd w:val="clear" w:color="auto" w:fill="F5F5F5"/>
          </w:tcPr>
          <w:p>
            <w:pPr>
              <w:spacing w:after="0"/>
              <w:rPr>
                <w:sz w:val="11"/>
                <w:szCs w:val="11"/>
                <w:color w:val="auto"/>
              </w:rPr>
            </w:pPr>
          </w:p>
        </w:tc>
        <w:tc>
          <w:tcPr>
            <w:tcW w:w="20" w:type="dxa"/>
            <w:vAlign w:val="bottom"/>
            <w:tcBorders>
              <w:top w:val="single" w:sz="8" w:color="0000FF"/>
            </w:tcBorders>
            <w:shd w:val="clear" w:color="auto" w:fill="F5F5F5"/>
          </w:tcPr>
          <w:p>
            <w:pPr>
              <w:spacing w:after="0"/>
              <w:rPr>
                <w:sz w:val="11"/>
                <w:szCs w:val="11"/>
                <w:color w:val="auto"/>
              </w:rPr>
            </w:pPr>
          </w:p>
        </w:tc>
        <w:tc>
          <w:tcPr>
            <w:tcW w:w="20" w:type="dxa"/>
            <w:vAlign w:val="bottom"/>
            <w:tcBorders>
              <w:top w:val="single" w:sz="8" w:color="F5F5F5"/>
            </w:tcBorders>
            <w:shd w:val="clear" w:color="auto" w:fill="F5F5F5"/>
          </w:tcPr>
          <w:p>
            <w:pPr>
              <w:spacing w:after="0"/>
              <w:rPr>
                <w:sz w:val="11"/>
                <w:szCs w:val="11"/>
                <w:color w:val="auto"/>
              </w:rPr>
            </w:pPr>
          </w:p>
        </w:tc>
        <w:tc>
          <w:tcPr>
            <w:tcW w:w="20" w:type="dxa"/>
            <w:vAlign w:val="bottom"/>
            <w:tcBorders>
              <w:top w:val="single" w:sz="8" w:color="F5F5F5"/>
            </w:tcBorders>
            <w:shd w:val="clear" w:color="auto" w:fill="F5F5F5"/>
          </w:tcPr>
          <w:p>
            <w:pPr>
              <w:spacing w:after="0"/>
              <w:rPr>
                <w:sz w:val="11"/>
                <w:szCs w:val="11"/>
                <w:color w:val="auto"/>
              </w:rPr>
            </w:pPr>
          </w:p>
        </w:tc>
        <w:tc>
          <w:tcPr>
            <w:tcW w:w="20" w:type="dxa"/>
            <w:vAlign w:val="bottom"/>
            <w:tcBorders>
              <w:top w:val="single" w:sz="8" w:color="F5F5F5"/>
            </w:tcBorders>
            <w:shd w:val="clear" w:color="auto" w:fill="F5F5F5"/>
          </w:tcPr>
          <w:p>
            <w:pPr>
              <w:spacing w:after="0"/>
              <w:rPr>
                <w:sz w:val="11"/>
                <w:szCs w:val="11"/>
                <w:color w:val="auto"/>
              </w:rPr>
            </w:pPr>
          </w:p>
        </w:tc>
        <w:tc>
          <w:tcPr>
            <w:tcW w:w="20" w:type="dxa"/>
            <w:vAlign w:val="bottom"/>
            <w:tcBorders>
              <w:top w:val="single" w:sz="8" w:color="F5F5F5"/>
            </w:tcBorders>
            <w:shd w:val="clear" w:color="auto" w:fill="F5F5F5"/>
          </w:tcPr>
          <w:p>
            <w:pPr>
              <w:spacing w:after="0"/>
              <w:rPr>
                <w:sz w:val="11"/>
                <w:szCs w:val="11"/>
                <w:color w:val="auto"/>
              </w:rPr>
            </w:pPr>
          </w:p>
        </w:tc>
        <w:tc>
          <w:tcPr>
            <w:tcW w:w="20" w:type="dxa"/>
            <w:vAlign w:val="bottom"/>
            <w:tcBorders>
              <w:top w:val="single" w:sz="8" w:color="F5F5F5"/>
            </w:tcBorders>
            <w:shd w:val="clear" w:color="auto" w:fill="F5F5F5"/>
          </w:tcPr>
          <w:p>
            <w:pPr>
              <w:spacing w:after="0"/>
              <w:rPr>
                <w:sz w:val="11"/>
                <w:szCs w:val="11"/>
                <w:color w:val="auto"/>
              </w:rPr>
            </w:pPr>
          </w:p>
        </w:tc>
        <w:tc>
          <w:tcPr>
            <w:tcW w:w="20" w:type="dxa"/>
            <w:vAlign w:val="bottom"/>
            <w:tcBorders>
              <w:top w:val="single" w:sz="8" w:color="F5F5F5"/>
            </w:tcBorders>
            <w:shd w:val="clear" w:color="auto" w:fill="F5F5F5"/>
          </w:tcPr>
          <w:p>
            <w:pPr>
              <w:spacing w:after="0"/>
              <w:rPr>
                <w:sz w:val="11"/>
                <w:szCs w:val="11"/>
                <w:color w:val="auto"/>
              </w:rPr>
            </w:pPr>
          </w:p>
        </w:tc>
        <w:tc>
          <w:tcPr>
            <w:tcW w:w="20" w:type="dxa"/>
            <w:vAlign w:val="bottom"/>
            <w:tcBorders>
              <w:top w:val="single" w:sz="8" w:color="F5F5F5"/>
            </w:tcBorders>
            <w:shd w:val="clear" w:color="auto" w:fill="F5F5F5"/>
          </w:tcPr>
          <w:p>
            <w:pPr>
              <w:spacing w:after="0"/>
              <w:rPr>
                <w:sz w:val="11"/>
                <w:szCs w:val="11"/>
                <w:color w:val="auto"/>
              </w:rPr>
            </w:pPr>
          </w:p>
        </w:tc>
        <w:tc>
          <w:tcPr>
            <w:tcW w:w="20" w:type="dxa"/>
            <w:vAlign w:val="bottom"/>
            <w:tcBorders>
              <w:top w:val="single" w:sz="8" w:color="F5F5F5"/>
            </w:tcBorders>
            <w:shd w:val="clear" w:color="auto" w:fill="F5F5F5"/>
          </w:tcPr>
          <w:p>
            <w:pPr>
              <w:spacing w:after="0"/>
              <w:rPr>
                <w:sz w:val="11"/>
                <w:szCs w:val="11"/>
                <w:color w:val="auto"/>
              </w:rPr>
            </w:pPr>
          </w:p>
        </w:tc>
        <w:tc>
          <w:tcPr>
            <w:tcW w:w="20" w:type="dxa"/>
            <w:vAlign w:val="bottom"/>
            <w:tcBorders>
              <w:top w:val="single" w:sz="8" w:color="F5F5F5"/>
            </w:tcBorders>
            <w:shd w:val="clear" w:color="auto" w:fill="F5F5F5"/>
          </w:tcPr>
          <w:p>
            <w:pPr>
              <w:spacing w:after="0"/>
              <w:rPr>
                <w:sz w:val="11"/>
                <w:szCs w:val="11"/>
                <w:color w:val="auto"/>
              </w:rPr>
            </w:pPr>
          </w:p>
        </w:tc>
        <w:tc>
          <w:tcPr>
            <w:tcW w:w="20" w:type="dxa"/>
            <w:vAlign w:val="bottom"/>
            <w:tcBorders>
              <w:top w:val="single" w:sz="8" w:color="F5F5F5"/>
            </w:tcBorders>
            <w:shd w:val="clear" w:color="auto" w:fill="F5F5F5"/>
          </w:tcPr>
          <w:p>
            <w:pPr>
              <w:spacing w:after="0"/>
              <w:rPr>
                <w:sz w:val="11"/>
                <w:szCs w:val="11"/>
                <w:color w:val="auto"/>
              </w:rPr>
            </w:pPr>
          </w:p>
        </w:tc>
        <w:tc>
          <w:tcPr>
            <w:tcW w:w="20" w:type="dxa"/>
            <w:vAlign w:val="bottom"/>
            <w:tcBorders>
              <w:top w:val="single" w:sz="8" w:color="F5F5F5"/>
            </w:tcBorders>
            <w:shd w:val="clear" w:color="auto" w:fill="F5F5F5"/>
          </w:tcPr>
          <w:p>
            <w:pPr>
              <w:spacing w:after="0"/>
              <w:rPr>
                <w:sz w:val="11"/>
                <w:szCs w:val="11"/>
                <w:color w:val="auto"/>
              </w:rPr>
            </w:pPr>
          </w:p>
        </w:tc>
        <w:tc>
          <w:tcPr>
            <w:tcW w:w="20" w:type="dxa"/>
            <w:vAlign w:val="bottom"/>
            <w:tcBorders>
              <w:top w:val="single" w:sz="8" w:color="F5F5F5"/>
            </w:tcBorders>
            <w:shd w:val="clear" w:color="auto" w:fill="F5F5F5"/>
          </w:tcPr>
          <w:p>
            <w:pPr>
              <w:spacing w:after="0"/>
              <w:rPr>
                <w:sz w:val="11"/>
                <w:szCs w:val="11"/>
                <w:color w:val="auto"/>
              </w:rPr>
            </w:pPr>
          </w:p>
        </w:tc>
        <w:tc>
          <w:tcPr>
            <w:tcW w:w="20" w:type="dxa"/>
            <w:vAlign w:val="bottom"/>
            <w:tcBorders>
              <w:top w:val="single" w:sz="8" w:color="F5F5F5"/>
            </w:tcBorders>
            <w:shd w:val="clear" w:color="auto" w:fill="F5F5F5"/>
          </w:tcPr>
          <w:p>
            <w:pPr>
              <w:spacing w:after="0"/>
              <w:rPr>
                <w:sz w:val="11"/>
                <w:szCs w:val="11"/>
                <w:color w:val="auto"/>
              </w:rPr>
            </w:pPr>
          </w:p>
        </w:tc>
        <w:tc>
          <w:tcPr>
            <w:tcW w:w="20" w:type="dxa"/>
            <w:vAlign w:val="bottom"/>
            <w:tcBorders>
              <w:top w:val="single" w:sz="8" w:color="F5F5F5"/>
            </w:tcBorders>
            <w:shd w:val="clear" w:color="auto" w:fill="F5F5F5"/>
          </w:tcPr>
          <w:p>
            <w:pPr>
              <w:spacing w:after="0"/>
              <w:rPr>
                <w:sz w:val="11"/>
                <w:szCs w:val="11"/>
                <w:color w:val="auto"/>
              </w:rPr>
            </w:pPr>
          </w:p>
        </w:tc>
        <w:tc>
          <w:tcPr>
            <w:tcW w:w="20" w:type="dxa"/>
            <w:vAlign w:val="bottom"/>
            <w:tcBorders>
              <w:top w:val="single" w:sz="8" w:color="F5F5F5"/>
            </w:tcBorders>
            <w:shd w:val="clear" w:color="auto" w:fill="F5F5F5"/>
          </w:tcPr>
          <w:p>
            <w:pPr>
              <w:spacing w:after="0"/>
              <w:rPr>
                <w:sz w:val="11"/>
                <w:szCs w:val="11"/>
                <w:color w:val="auto"/>
              </w:rPr>
            </w:pPr>
          </w:p>
        </w:tc>
        <w:tc>
          <w:tcPr>
            <w:tcW w:w="20" w:type="dxa"/>
            <w:vAlign w:val="bottom"/>
            <w:tcBorders>
              <w:top w:val="single" w:sz="8" w:color="F5F5F5"/>
            </w:tcBorders>
            <w:shd w:val="clear" w:color="auto" w:fill="F5F5F5"/>
          </w:tcPr>
          <w:p>
            <w:pPr>
              <w:spacing w:after="0"/>
              <w:rPr>
                <w:sz w:val="11"/>
                <w:szCs w:val="11"/>
                <w:color w:val="auto"/>
              </w:rPr>
            </w:pPr>
          </w:p>
        </w:tc>
        <w:tc>
          <w:tcPr>
            <w:tcW w:w="20" w:type="dxa"/>
            <w:vAlign w:val="bottom"/>
            <w:tcBorders>
              <w:top w:val="single" w:sz="8" w:color="F5F5F5"/>
            </w:tcBorders>
            <w:shd w:val="clear" w:color="auto" w:fill="F5F5F5"/>
          </w:tcPr>
          <w:p>
            <w:pPr>
              <w:spacing w:after="0"/>
              <w:rPr>
                <w:sz w:val="11"/>
                <w:szCs w:val="11"/>
                <w:color w:val="auto"/>
              </w:rPr>
            </w:pPr>
          </w:p>
        </w:tc>
        <w:tc>
          <w:tcPr>
            <w:tcW w:w="20" w:type="dxa"/>
            <w:vAlign w:val="bottom"/>
            <w:tcBorders>
              <w:top w:val="single" w:sz="8" w:color="F5F5F5"/>
            </w:tcBorders>
            <w:shd w:val="clear" w:color="auto" w:fill="F5F5F5"/>
          </w:tcPr>
          <w:p>
            <w:pPr>
              <w:spacing w:after="0"/>
              <w:rPr>
                <w:sz w:val="11"/>
                <w:szCs w:val="11"/>
                <w:color w:val="auto"/>
              </w:rPr>
            </w:pPr>
          </w:p>
        </w:tc>
      </w:tr>
      <w:tr>
        <w:trPr>
          <w:trHeight w:val="27"/>
        </w:trPr>
        <w:tc>
          <w:tcPr>
            <w:tcW w:w="600" w:type="dxa"/>
            <w:vAlign w:val="bottom"/>
            <w:shd w:val="clear" w:color="auto" w:fill="F5F5F5"/>
          </w:tcPr>
          <w:p>
            <w:pPr>
              <w:spacing w:after="0"/>
              <w:rPr>
                <w:sz w:val="2"/>
                <w:szCs w:val="2"/>
                <w:color w:val="auto"/>
              </w:rPr>
            </w:pPr>
          </w:p>
        </w:tc>
        <w:tc>
          <w:tcPr>
            <w:tcW w:w="320" w:type="dxa"/>
            <w:vAlign w:val="bottom"/>
            <w:shd w:val="clear" w:color="auto" w:fill="F5F5F5"/>
          </w:tcPr>
          <w:p>
            <w:pPr>
              <w:spacing w:after="0"/>
              <w:rPr>
                <w:sz w:val="2"/>
                <w:szCs w:val="2"/>
                <w:color w:val="auto"/>
              </w:rPr>
            </w:pPr>
          </w:p>
        </w:tc>
        <w:tc>
          <w:tcPr>
            <w:tcW w:w="120" w:type="dxa"/>
            <w:vAlign w:val="bottom"/>
            <w:tcBorders>
              <w:right w:val="single" w:sz="8" w:color="F5F5F5"/>
            </w:tcBorders>
            <w:shd w:val="clear" w:color="auto" w:fill="F5F5F5"/>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300" w:type="dxa"/>
            <w:vAlign w:val="bottom"/>
            <w:shd w:val="clear" w:color="auto" w:fill="0000FF"/>
          </w:tcPr>
          <w:p>
            <w:pPr>
              <w:spacing w:after="0"/>
              <w:rPr>
                <w:sz w:val="2"/>
                <w:szCs w:val="2"/>
                <w:color w:val="auto"/>
              </w:rPr>
            </w:pPr>
          </w:p>
        </w:tc>
        <w:tc>
          <w:tcPr>
            <w:tcW w:w="420" w:type="dxa"/>
            <w:vAlign w:val="bottom"/>
            <w:shd w:val="clear" w:color="auto" w:fill="F5F5F5"/>
          </w:tcPr>
          <w:p>
            <w:pPr>
              <w:spacing w:after="0"/>
              <w:rPr>
                <w:sz w:val="2"/>
                <w:szCs w:val="2"/>
                <w:color w:val="auto"/>
              </w:rPr>
            </w:pPr>
          </w:p>
        </w:tc>
        <w:tc>
          <w:tcPr>
            <w:tcW w:w="800" w:type="dxa"/>
            <w:vAlign w:val="bottom"/>
            <w:shd w:val="clear" w:color="auto" w:fill="F5F5F5"/>
          </w:tcPr>
          <w:p>
            <w:pPr>
              <w:spacing w:after="0"/>
              <w:rPr>
                <w:sz w:val="2"/>
                <w:szCs w:val="2"/>
                <w:color w:val="auto"/>
              </w:rPr>
            </w:pPr>
          </w:p>
        </w:tc>
        <w:tc>
          <w:tcPr>
            <w:tcW w:w="60" w:type="dxa"/>
            <w:vAlign w:val="bottom"/>
            <w:shd w:val="clear" w:color="auto" w:fill="F5F5F5"/>
          </w:tcPr>
          <w:p>
            <w:pPr>
              <w:spacing w:after="0"/>
              <w:rPr>
                <w:sz w:val="2"/>
                <w:szCs w:val="2"/>
                <w:color w:val="auto"/>
              </w:rPr>
            </w:pPr>
          </w:p>
        </w:tc>
        <w:tc>
          <w:tcPr>
            <w:tcW w:w="380" w:type="dxa"/>
            <w:vAlign w:val="bottom"/>
            <w:shd w:val="clear" w:color="auto" w:fill="F5F5F5"/>
          </w:tcPr>
          <w:p>
            <w:pPr>
              <w:spacing w:after="0"/>
              <w:rPr>
                <w:sz w:val="2"/>
                <w:szCs w:val="2"/>
                <w:color w:val="auto"/>
              </w:rPr>
            </w:pPr>
          </w:p>
        </w:tc>
        <w:tc>
          <w:tcPr>
            <w:tcW w:w="640" w:type="dxa"/>
            <w:vAlign w:val="bottom"/>
            <w:tcBorders>
              <w:right w:val="single" w:sz="8" w:color="F5F5F5"/>
            </w:tcBorders>
            <w:shd w:val="clear" w:color="auto" w:fill="F5F5F5"/>
          </w:tcPr>
          <w:p>
            <w:pPr>
              <w:spacing w:after="0"/>
              <w:rPr>
                <w:sz w:val="2"/>
                <w:szCs w:val="2"/>
                <w:color w:val="auto"/>
              </w:rPr>
            </w:pPr>
          </w:p>
        </w:tc>
        <w:tc>
          <w:tcPr>
            <w:tcW w:w="920" w:type="dxa"/>
            <w:vAlign w:val="bottom"/>
            <w:tcBorders>
              <w:left w:val="single" w:sz="8" w:color="F5F5F5"/>
            </w:tcBorders>
            <w:shd w:val="clear" w:color="auto" w:fill="F5F5F5"/>
          </w:tcPr>
          <w:p>
            <w:pPr>
              <w:spacing w:after="0"/>
              <w:rPr>
                <w:sz w:val="2"/>
                <w:szCs w:val="2"/>
                <w:color w:val="auto"/>
              </w:rPr>
            </w:pPr>
          </w:p>
        </w:tc>
        <w:tc>
          <w:tcPr>
            <w:tcW w:w="360" w:type="dxa"/>
            <w:vAlign w:val="bottom"/>
            <w:shd w:val="clear" w:color="auto" w:fill="F5F5F5"/>
          </w:tcPr>
          <w:p>
            <w:pPr>
              <w:spacing w:after="0"/>
              <w:rPr>
                <w:sz w:val="2"/>
                <w:szCs w:val="2"/>
                <w:color w:val="auto"/>
              </w:rPr>
            </w:pPr>
          </w:p>
        </w:tc>
        <w:tc>
          <w:tcPr>
            <w:tcW w:w="900" w:type="dxa"/>
            <w:vAlign w:val="bottom"/>
            <w:shd w:val="clear" w:color="auto" w:fill="F5F5F5"/>
          </w:tcPr>
          <w:p>
            <w:pPr>
              <w:spacing w:after="0"/>
              <w:rPr>
                <w:sz w:val="2"/>
                <w:szCs w:val="2"/>
                <w:color w:val="auto"/>
              </w:rPr>
            </w:pPr>
          </w:p>
        </w:tc>
        <w:tc>
          <w:tcPr>
            <w:tcW w:w="140" w:type="dxa"/>
            <w:vAlign w:val="bottom"/>
            <w:shd w:val="clear" w:color="auto" w:fill="F5F5F5"/>
          </w:tcPr>
          <w:p>
            <w:pPr>
              <w:spacing w:after="0"/>
              <w:rPr>
                <w:sz w:val="2"/>
                <w:szCs w:val="2"/>
                <w:color w:val="auto"/>
              </w:rPr>
            </w:pPr>
          </w:p>
        </w:tc>
        <w:tc>
          <w:tcPr>
            <w:tcW w:w="700" w:type="dxa"/>
            <w:vAlign w:val="bottom"/>
            <w:shd w:val="clear" w:color="auto" w:fill="F5F5F5"/>
          </w:tcPr>
          <w:p>
            <w:pPr>
              <w:spacing w:after="0"/>
              <w:rPr>
                <w:sz w:val="2"/>
                <w:szCs w:val="2"/>
                <w:color w:val="auto"/>
              </w:rPr>
            </w:pPr>
          </w:p>
        </w:tc>
        <w:tc>
          <w:tcPr>
            <w:tcW w:w="320" w:type="dxa"/>
            <w:vAlign w:val="bottom"/>
            <w:shd w:val="clear" w:color="auto" w:fill="F5F5F5"/>
          </w:tcPr>
          <w:p>
            <w:pPr>
              <w:spacing w:after="0"/>
              <w:rPr>
                <w:sz w:val="2"/>
                <w:szCs w:val="2"/>
                <w:color w:val="auto"/>
              </w:rPr>
            </w:pPr>
          </w:p>
        </w:tc>
        <w:tc>
          <w:tcPr>
            <w:tcW w:w="380" w:type="dxa"/>
            <w:vAlign w:val="bottom"/>
            <w:shd w:val="clear" w:color="auto" w:fill="F5F5F5"/>
          </w:tcPr>
          <w:p>
            <w:pPr>
              <w:spacing w:after="0"/>
              <w:rPr>
                <w:sz w:val="2"/>
                <w:szCs w:val="2"/>
                <w:color w:val="auto"/>
              </w:rPr>
            </w:pPr>
          </w:p>
        </w:tc>
        <w:tc>
          <w:tcPr>
            <w:tcW w:w="38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8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r>
      <w:tr>
        <w:trPr>
          <w:trHeight w:val="162"/>
        </w:trPr>
        <w:tc>
          <w:tcPr>
            <w:tcW w:w="600" w:type="dxa"/>
            <w:vAlign w:val="bottom"/>
          </w:tcPr>
          <w:p>
            <w:pPr>
              <w:ind w:left="20"/>
              <w:spacing w:after="0"/>
              <w:rPr>
                <w:sz w:val="20"/>
                <w:szCs w:val="20"/>
                <w:color w:val="auto"/>
              </w:rPr>
            </w:pPr>
            <w:r>
              <w:rPr>
                <w:rFonts w:ascii="Arial" w:cs="Arial" w:eastAsia="Arial" w:hAnsi="Arial"/>
                <w:sz w:val="14"/>
                <w:szCs w:val="14"/>
                <w:color w:val="auto"/>
              </w:rPr>
              <w:t>10.4*</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560" w:type="dxa"/>
            <w:vAlign w:val="bottom"/>
            <w:gridSpan w:val="40"/>
          </w:tcPr>
          <w:p>
            <w:pPr>
              <w:spacing w:after="0"/>
              <w:rPr>
                <w:rFonts w:ascii="Arial" w:cs="Arial" w:eastAsia="Arial" w:hAnsi="Arial"/>
                <w:sz w:val="14"/>
                <w:szCs w:val="14"/>
                <w:color w:val="0000FF"/>
              </w:rPr>
            </w:pPr>
            <w:hyperlink r:id="rId119">
              <w:r>
                <w:rPr>
                  <w:rFonts w:ascii="Arial" w:cs="Arial" w:eastAsia="Arial" w:hAnsi="Arial"/>
                  <w:sz w:val="14"/>
                  <w:szCs w:val="14"/>
                  <w:color w:val="0000FF"/>
                </w:rPr>
                <w:t>Abercrombie &amp; Fitch Co. Directors’ Deferred Compensation Plan (Plan II), effective January 1, 2005, incorporated herein by reference to Exhibit 10.50 to A&amp;F’s</w:t>
              </w:r>
            </w:hyperlink>
          </w:p>
        </w:tc>
      </w:tr>
      <w:tr>
        <w:trPr>
          <w:trHeight w:val="128"/>
        </w:trPr>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80" w:type="dxa"/>
            <w:vAlign w:val="bottom"/>
            <w:tcBorders>
              <w:top w:val="single" w:sz="8" w:color="0000FF"/>
            </w:tcBorders>
            <w:gridSpan w:val="14"/>
          </w:tcPr>
          <w:p>
            <w:pPr>
              <w:spacing w:after="0" w:line="129" w:lineRule="exact"/>
              <w:rPr>
                <w:rFonts w:ascii="Arial" w:cs="Arial" w:eastAsia="Arial" w:hAnsi="Arial"/>
                <w:sz w:val="14"/>
                <w:szCs w:val="14"/>
                <w:color w:val="0000FF"/>
              </w:rPr>
            </w:pPr>
            <w:hyperlink r:id="rId119">
              <w:r>
                <w:rPr>
                  <w:rFonts w:ascii="Arial" w:cs="Arial" w:eastAsia="Arial" w:hAnsi="Arial"/>
                  <w:sz w:val="14"/>
                  <w:szCs w:val="14"/>
                  <w:color w:val="0000FF"/>
                </w:rPr>
                <w:t>Annual Report on Form 10-K for the fiscal year ended January 31, 2009 (File No. 001-12107).</w:t>
              </w:r>
            </w:hyperlink>
          </w:p>
        </w:tc>
        <w:tc>
          <w:tcPr>
            <w:tcW w:w="70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7"/>
        </w:trPr>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3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640" w:type="dxa"/>
            <w:vAlign w:val="bottom"/>
            <w:tcBorders>
              <w:right w:val="single" w:sz="8" w:color="0000FF"/>
            </w:tcBorders>
            <w:shd w:val="clear" w:color="auto" w:fill="0000FF"/>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600" w:type="dxa"/>
            <w:vAlign w:val="bottom"/>
            <w:shd w:val="clear" w:color="auto" w:fill="F5F5F5"/>
          </w:tcPr>
          <w:p>
            <w:pPr>
              <w:ind w:left="20"/>
              <w:spacing w:after="0"/>
              <w:rPr>
                <w:sz w:val="20"/>
                <w:szCs w:val="20"/>
                <w:color w:val="auto"/>
              </w:rPr>
            </w:pPr>
            <w:r>
              <w:rPr>
                <w:rFonts w:ascii="Arial" w:cs="Arial" w:eastAsia="Arial" w:hAnsi="Arial"/>
                <w:sz w:val="14"/>
                <w:szCs w:val="14"/>
                <w:color w:val="auto"/>
              </w:rPr>
              <w:t>10.5*</w:t>
            </w:r>
          </w:p>
        </w:tc>
        <w:tc>
          <w:tcPr>
            <w:tcW w:w="320" w:type="dxa"/>
            <w:vAlign w:val="bottom"/>
            <w:shd w:val="clear" w:color="auto" w:fill="F5F5F5"/>
          </w:tcPr>
          <w:p>
            <w:pPr>
              <w:spacing w:after="0"/>
              <w:rPr>
                <w:sz w:val="14"/>
                <w:szCs w:val="14"/>
                <w:color w:val="auto"/>
              </w:rPr>
            </w:pPr>
          </w:p>
        </w:tc>
        <w:tc>
          <w:tcPr>
            <w:tcW w:w="120" w:type="dxa"/>
            <w:vAlign w:val="bottom"/>
            <w:tcBorders>
              <w:right w:val="single" w:sz="8" w:color="F5F5F5"/>
            </w:tcBorders>
            <w:shd w:val="clear" w:color="auto" w:fill="F5F5F5"/>
          </w:tcPr>
          <w:p>
            <w:pPr>
              <w:spacing w:after="0"/>
              <w:rPr>
                <w:sz w:val="14"/>
                <w:szCs w:val="14"/>
                <w:color w:val="auto"/>
              </w:rPr>
            </w:pPr>
          </w:p>
        </w:tc>
        <w:tc>
          <w:tcPr>
            <w:tcW w:w="10560" w:type="dxa"/>
            <w:vAlign w:val="bottom"/>
            <w:gridSpan w:val="40"/>
            <w:shd w:val="clear" w:color="auto" w:fill="F5F5F5"/>
          </w:tcPr>
          <w:p>
            <w:pPr>
              <w:spacing w:after="0"/>
              <w:rPr>
                <w:rFonts w:ascii="Arial" w:cs="Arial" w:eastAsia="Arial" w:hAnsi="Arial"/>
                <w:sz w:val="14"/>
                <w:szCs w:val="14"/>
                <w:color w:val="0000FF"/>
              </w:rPr>
            </w:pPr>
            <w:hyperlink r:id="rId120">
              <w:r>
                <w:rPr>
                  <w:rFonts w:ascii="Arial" w:cs="Arial" w:eastAsia="Arial" w:hAnsi="Arial"/>
                  <w:sz w:val="14"/>
                  <w:szCs w:val="14"/>
                  <w:color w:val="0000FF"/>
                </w:rPr>
                <w:t>Abercrombie &amp; Fitch Co. Nonqualified Savings and Supplemental Retirement Plan I (prior to January 1, 2009, known as the Abercrombie &amp; Fitch Nonqualified</w:t>
              </w:r>
            </w:hyperlink>
          </w:p>
        </w:tc>
      </w:tr>
      <w:tr>
        <w:trPr>
          <w:trHeight w:val="129"/>
        </w:trPr>
        <w:tc>
          <w:tcPr>
            <w:tcW w:w="600" w:type="dxa"/>
            <w:vAlign w:val="bottom"/>
            <w:tcBorders>
              <w:top w:val="single" w:sz="8" w:color="F5F5F5"/>
              <w:bottom w:val="single" w:sz="8" w:color="F5F5F5"/>
            </w:tcBorders>
            <w:shd w:val="clear" w:color="auto" w:fill="F5F5F5"/>
          </w:tcPr>
          <w:p>
            <w:pPr>
              <w:spacing w:after="0"/>
              <w:rPr>
                <w:sz w:val="11"/>
                <w:szCs w:val="11"/>
                <w:color w:val="auto"/>
              </w:rPr>
            </w:pPr>
          </w:p>
        </w:tc>
        <w:tc>
          <w:tcPr>
            <w:tcW w:w="320" w:type="dxa"/>
            <w:vAlign w:val="bottom"/>
            <w:tcBorders>
              <w:top w:val="single" w:sz="8" w:color="F5F5F5"/>
              <w:bottom w:val="single" w:sz="8" w:color="F5F5F5"/>
            </w:tcBorders>
            <w:shd w:val="clear" w:color="auto" w:fill="F5F5F5"/>
          </w:tcPr>
          <w:p>
            <w:pPr>
              <w:spacing w:after="0"/>
              <w:rPr>
                <w:sz w:val="11"/>
                <w:szCs w:val="11"/>
                <w:color w:val="auto"/>
              </w:rPr>
            </w:pPr>
          </w:p>
        </w:tc>
        <w:tc>
          <w:tcPr>
            <w:tcW w:w="120" w:type="dxa"/>
            <w:vAlign w:val="bottom"/>
            <w:tcBorders>
              <w:top w:val="single" w:sz="8" w:color="F5F5F5"/>
              <w:bottom w:val="single" w:sz="8" w:color="F5F5F5"/>
              <w:right w:val="single" w:sz="8" w:color="F5F5F5"/>
            </w:tcBorders>
            <w:shd w:val="clear" w:color="auto" w:fill="F5F5F5"/>
          </w:tcPr>
          <w:p>
            <w:pPr>
              <w:spacing w:after="0"/>
              <w:rPr>
                <w:sz w:val="11"/>
                <w:szCs w:val="11"/>
                <w:color w:val="auto"/>
              </w:rPr>
            </w:pPr>
          </w:p>
        </w:tc>
        <w:tc>
          <w:tcPr>
            <w:tcW w:w="10320" w:type="dxa"/>
            <w:vAlign w:val="bottom"/>
            <w:tcBorders>
              <w:top w:val="single" w:sz="8" w:color="0000FF"/>
              <w:bottom w:val="single" w:sz="8" w:color="0000FF"/>
            </w:tcBorders>
            <w:gridSpan w:val="28"/>
            <w:shd w:val="clear" w:color="auto" w:fill="F5F5F5"/>
          </w:tcPr>
          <w:p>
            <w:pPr>
              <w:spacing w:after="0" w:line="129" w:lineRule="exact"/>
              <w:rPr>
                <w:rFonts w:ascii="Arial" w:cs="Arial" w:eastAsia="Arial" w:hAnsi="Arial"/>
                <w:sz w:val="14"/>
                <w:szCs w:val="14"/>
                <w:color w:val="0000FF"/>
              </w:rPr>
            </w:pPr>
            <w:hyperlink r:id="rId120">
              <w:r>
                <w:rPr>
                  <w:rFonts w:ascii="Arial" w:cs="Arial" w:eastAsia="Arial" w:hAnsi="Arial"/>
                  <w:sz w:val="14"/>
                  <w:szCs w:val="14"/>
                  <w:color w:val="0000FF"/>
                </w:rPr>
                <w:t>Savings and Supplemental Retirement Plan), as amended and restated effective January 1, 2001, incorporated herein by reference to Exhibit 10.9 to A&amp;F’s</w:t>
              </w:r>
            </w:hyperlink>
          </w:p>
        </w:tc>
        <w:tc>
          <w:tcPr>
            <w:tcW w:w="20" w:type="dxa"/>
            <w:vAlign w:val="bottom"/>
            <w:tcBorders>
              <w:top w:val="single" w:sz="8" w:color="F5F5F5"/>
              <w:bottom w:val="single" w:sz="8" w:color="F5F5F5"/>
            </w:tcBorders>
            <w:shd w:val="clear" w:color="auto" w:fill="F5F5F5"/>
          </w:tcPr>
          <w:p>
            <w:pPr>
              <w:spacing w:after="0"/>
              <w:rPr>
                <w:sz w:val="11"/>
                <w:szCs w:val="11"/>
                <w:color w:val="auto"/>
              </w:rPr>
            </w:pPr>
          </w:p>
        </w:tc>
        <w:tc>
          <w:tcPr>
            <w:tcW w:w="20" w:type="dxa"/>
            <w:vAlign w:val="bottom"/>
            <w:tcBorders>
              <w:top w:val="single" w:sz="8" w:color="F5F5F5"/>
              <w:bottom w:val="single" w:sz="8" w:color="F5F5F5"/>
            </w:tcBorders>
            <w:shd w:val="clear" w:color="auto" w:fill="F5F5F5"/>
          </w:tcPr>
          <w:p>
            <w:pPr>
              <w:spacing w:after="0"/>
              <w:rPr>
                <w:sz w:val="11"/>
                <w:szCs w:val="11"/>
                <w:color w:val="auto"/>
              </w:rPr>
            </w:pPr>
          </w:p>
        </w:tc>
        <w:tc>
          <w:tcPr>
            <w:tcW w:w="40" w:type="dxa"/>
            <w:vAlign w:val="bottom"/>
            <w:tcBorders>
              <w:top w:val="single" w:sz="8" w:color="F5F5F5"/>
              <w:bottom w:val="single" w:sz="8" w:color="F5F5F5"/>
            </w:tcBorders>
            <w:gridSpan w:val="2"/>
            <w:shd w:val="clear" w:color="auto" w:fill="F5F5F5"/>
          </w:tcPr>
          <w:p>
            <w:pPr>
              <w:spacing w:after="0"/>
              <w:rPr>
                <w:sz w:val="11"/>
                <w:szCs w:val="11"/>
                <w:color w:val="auto"/>
              </w:rPr>
            </w:pPr>
          </w:p>
        </w:tc>
        <w:tc>
          <w:tcPr>
            <w:tcW w:w="20" w:type="dxa"/>
            <w:vAlign w:val="bottom"/>
            <w:tcBorders>
              <w:top w:val="single" w:sz="8" w:color="F5F5F5"/>
              <w:bottom w:val="single" w:sz="8" w:color="F5F5F5"/>
            </w:tcBorders>
            <w:shd w:val="clear" w:color="auto" w:fill="F5F5F5"/>
          </w:tcPr>
          <w:p>
            <w:pPr>
              <w:spacing w:after="0"/>
              <w:rPr>
                <w:sz w:val="11"/>
                <w:szCs w:val="11"/>
                <w:color w:val="auto"/>
              </w:rPr>
            </w:pPr>
          </w:p>
        </w:tc>
        <w:tc>
          <w:tcPr>
            <w:tcW w:w="20" w:type="dxa"/>
            <w:vAlign w:val="bottom"/>
            <w:tcBorders>
              <w:top w:val="single" w:sz="8" w:color="F5F5F5"/>
              <w:bottom w:val="single" w:sz="8" w:color="F5F5F5"/>
            </w:tcBorders>
            <w:shd w:val="clear" w:color="auto" w:fill="F5F5F5"/>
          </w:tcPr>
          <w:p>
            <w:pPr>
              <w:spacing w:after="0"/>
              <w:rPr>
                <w:sz w:val="11"/>
                <w:szCs w:val="11"/>
                <w:color w:val="auto"/>
              </w:rPr>
            </w:pPr>
          </w:p>
        </w:tc>
        <w:tc>
          <w:tcPr>
            <w:tcW w:w="20" w:type="dxa"/>
            <w:vAlign w:val="bottom"/>
            <w:tcBorders>
              <w:top w:val="single" w:sz="8" w:color="F5F5F5"/>
              <w:bottom w:val="single" w:sz="8" w:color="F5F5F5"/>
            </w:tcBorders>
            <w:shd w:val="clear" w:color="auto" w:fill="F5F5F5"/>
          </w:tcPr>
          <w:p>
            <w:pPr>
              <w:spacing w:after="0"/>
              <w:rPr>
                <w:sz w:val="11"/>
                <w:szCs w:val="11"/>
                <w:color w:val="auto"/>
              </w:rPr>
            </w:pPr>
          </w:p>
        </w:tc>
        <w:tc>
          <w:tcPr>
            <w:tcW w:w="20" w:type="dxa"/>
            <w:vAlign w:val="bottom"/>
            <w:tcBorders>
              <w:top w:val="single" w:sz="8" w:color="F5F5F5"/>
              <w:bottom w:val="single" w:sz="8" w:color="F5F5F5"/>
            </w:tcBorders>
            <w:shd w:val="clear" w:color="auto" w:fill="F5F5F5"/>
          </w:tcPr>
          <w:p>
            <w:pPr>
              <w:spacing w:after="0"/>
              <w:rPr>
                <w:sz w:val="11"/>
                <w:szCs w:val="11"/>
                <w:color w:val="auto"/>
              </w:rPr>
            </w:pPr>
          </w:p>
        </w:tc>
        <w:tc>
          <w:tcPr>
            <w:tcW w:w="20" w:type="dxa"/>
            <w:vAlign w:val="bottom"/>
            <w:tcBorders>
              <w:top w:val="single" w:sz="8" w:color="F5F5F5"/>
              <w:bottom w:val="single" w:sz="8" w:color="F5F5F5"/>
            </w:tcBorders>
            <w:shd w:val="clear" w:color="auto" w:fill="F5F5F5"/>
          </w:tcPr>
          <w:p>
            <w:pPr>
              <w:spacing w:after="0"/>
              <w:rPr>
                <w:sz w:val="11"/>
                <w:szCs w:val="11"/>
                <w:color w:val="auto"/>
              </w:rPr>
            </w:pPr>
          </w:p>
        </w:tc>
        <w:tc>
          <w:tcPr>
            <w:tcW w:w="40" w:type="dxa"/>
            <w:vAlign w:val="bottom"/>
            <w:tcBorders>
              <w:top w:val="single" w:sz="8" w:color="F5F5F5"/>
              <w:bottom w:val="single" w:sz="8" w:color="F5F5F5"/>
            </w:tcBorders>
            <w:gridSpan w:val="2"/>
            <w:shd w:val="clear" w:color="auto" w:fill="F5F5F5"/>
          </w:tcPr>
          <w:p>
            <w:pPr>
              <w:spacing w:after="0"/>
              <w:rPr>
                <w:sz w:val="11"/>
                <w:szCs w:val="11"/>
                <w:color w:val="auto"/>
              </w:rPr>
            </w:pPr>
          </w:p>
        </w:tc>
        <w:tc>
          <w:tcPr>
            <w:tcW w:w="20" w:type="dxa"/>
            <w:vAlign w:val="bottom"/>
            <w:tcBorders>
              <w:top w:val="single" w:sz="8" w:color="F5F5F5"/>
              <w:bottom w:val="single" w:sz="8" w:color="F5F5F5"/>
            </w:tcBorders>
            <w:shd w:val="clear" w:color="auto" w:fill="F5F5F5"/>
          </w:tcPr>
          <w:p>
            <w:pPr>
              <w:spacing w:after="0"/>
              <w:rPr>
                <w:sz w:val="11"/>
                <w:szCs w:val="11"/>
                <w:color w:val="auto"/>
              </w:rPr>
            </w:pPr>
          </w:p>
        </w:tc>
      </w:tr>
      <w:tr>
        <w:trPr>
          <w:trHeight w:val="129"/>
        </w:trPr>
        <w:tc>
          <w:tcPr>
            <w:tcW w:w="600" w:type="dxa"/>
            <w:vAlign w:val="bottom"/>
            <w:shd w:val="clear" w:color="auto" w:fill="F5F5F5"/>
          </w:tcPr>
          <w:p>
            <w:pPr>
              <w:spacing w:after="0"/>
              <w:rPr>
                <w:sz w:val="11"/>
                <w:szCs w:val="11"/>
                <w:color w:val="auto"/>
              </w:rPr>
            </w:pPr>
          </w:p>
        </w:tc>
        <w:tc>
          <w:tcPr>
            <w:tcW w:w="320" w:type="dxa"/>
            <w:vAlign w:val="bottom"/>
            <w:shd w:val="clear" w:color="auto" w:fill="F5F5F5"/>
          </w:tcPr>
          <w:p>
            <w:pPr>
              <w:spacing w:after="0"/>
              <w:rPr>
                <w:sz w:val="11"/>
                <w:szCs w:val="11"/>
                <w:color w:val="auto"/>
              </w:rPr>
            </w:pPr>
          </w:p>
        </w:tc>
        <w:tc>
          <w:tcPr>
            <w:tcW w:w="120" w:type="dxa"/>
            <w:vAlign w:val="bottom"/>
            <w:tcBorders>
              <w:right w:val="single" w:sz="8" w:color="F5F5F5"/>
            </w:tcBorders>
            <w:shd w:val="clear" w:color="auto" w:fill="F5F5F5"/>
          </w:tcPr>
          <w:p>
            <w:pPr>
              <w:spacing w:after="0"/>
              <w:rPr>
                <w:sz w:val="11"/>
                <w:szCs w:val="11"/>
                <w:color w:val="auto"/>
              </w:rPr>
            </w:pPr>
          </w:p>
        </w:tc>
        <w:tc>
          <w:tcPr>
            <w:tcW w:w="8280" w:type="dxa"/>
            <w:vAlign w:val="bottom"/>
            <w:gridSpan w:val="14"/>
            <w:shd w:val="clear" w:color="auto" w:fill="F5F5F5"/>
          </w:tcPr>
          <w:p>
            <w:pPr>
              <w:spacing w:after="0" w:line="129" w:lineRule="exact"/>
              <w:rPr>
                <w:rFonts w:ascii="Arial" w:cs="Arial" w:eastAsia="Arial" w:hAnsi="Arial"/>
                <w:sz w:val="14"/>
                <w:szCs w:val="14"/>
                <w:color w:val="0000FF"/>
              </w:rPr>
            </w:pPr>
            <w:hyperlink r:id="rId120">
              <w:r>
                <w:rPr>
                  <w:rFonts w:ascii="Arial" w:cs="Arial" w:eastAsia="Arial" w:hAnsi="Arial"/>
                  <w:sz w:val="14"/>
                  <w:szCs w:val="14"/>
                  <w:color w:val="0000FF"/>
                </w:rPr>
                <w:t>Annual Report on Form 10-K for the fiscal year ended February 1, 2003 (File No. 001-12107).</w:t>
              </w:r>
            </w:hyperlink>
          </w:p>
        </w:tc>
        <w:tc>
          <w:tcPr>
            <w:tcW w:w="700" w:type="dxa"/>
            <w:vAlign w:val="bottom"/>
            <w:shd w:val="clear" w:color="auto" w:fill="F5F5F5"/>
          </w:tcPr>
          <w:p>
            <w:pPr>
              <w:spacing w:after="0"/>
              <w:rPr>
                <w:sz w:val="11"/>
                <w:szCs w:val="11"/>
                <w:color w:val="auto"/>
              </w:rPr>
            </w:pPr>
          </w:p>
        </w:tc>
        <w:tc>
          <w:tcPr>
            <w:tcW w:w="320" w:type="dxa"/>
            <w:vAlign w:val="bottom"/>
            <w:shd w:val="clear" w:color="auto" w:fill="F5F5F5"/>
          </w:tcPr>
          <w:p>
            <w:pPr>
              <w:spacing w:after="0"/>
              <w:rPr>
                <w:sz w:val="11"/>
                <w:szCs w:val="11"/>
                <w:color w:val="auto"/>
              </w:rPr>
            </w:pPr>
          </w:p>
        </w:tc>
        <w:tc>
          <w:tcPr>
            <w:tcW w:w="380" w:type="dxa"/>
            <w:vAlign w:val="bottom"/>
            <w:shd w:val="clear" w:color="auto" w:fill="F5F5F5"/>
          </w:tcPr>
          <w:p>
            <w:pPr>
              <w:spacing w:after="0"/>
              <w:rPr>
                <w:sz w:val="11"/>
                <w:szCs w:val="11"/>
                <w:color w:val="auto"/>
              </w:rPr>
            </w:pPr>
          </w:p>
        </w:tc>
        <w:tc>
          <w:tcPr>
            <w:tcW w:w="380" w:type="dxa"/>
            <w:vAlign w:val="bottom"/>
            <w:shd w:val="clear" w:color="auto" w:fill="F5F5F5"/>
          </w:tcPr>
          <w:p>
            <w:pPr>
              <w:spacing w:after="0"/>
              <w:rPr>
                <w:sz w:val="11"/>
                <w:szCs w:val="11"/>
                <w:color w:val="auto"/>
              </w:rPr>
            </w:pPr>
          </w:p>
        </w:tc>
        <w:tc>
          <w:tcPr>
            <w:tcW w:w="20" w:type="dxa"/>
            <w:vAlign w:val="bottom"/>
            <w:shd w:val="clear" w:color="auto" w:fill="F5F5F5"/>
          </w:tcPr>
          <w:p>
            <w:pPr>
              <w:spacing w:after="0"/>
              <w:rPr>
                <w:sz w:val="11"/>
                <w:szCs w:val="11"/>
                <w:color w:val="auto"/>
              </w:rPr>
            </w:pPr>
          </w:p>
        </w:tc>
        <w:tc>
          <w:tcPr>
            <w:tcW w:w="80" w:type="dxa"/>
            <w:vAlign w:val="bottom"/>
            <w:shd w:val="clear" w:color="auto" w:fill="F5F5F5"/>
          </w:tcPr>
          <w:p>
            <w:pPr>
              <w:spacing w:after="0"/>
              <w:rPr>
                <w:sz w:val="11"/>
                <w:szCs w:val="11"/>
                <w:color w:val="auto"/>
              </w:rPr>
            </w:pPr>
          </w:p>
        </w:tc>
        <w:tc>
          <w:tcPr>
            <w:tcW w:w="20" w:type="dxa"/>
            <w:vAlign w:val="bottom"/>
            <w:shd w:val="clear" w:color="auto" w:fill="F5F5F5"/>
          </w:tcPr>
          <w:p>
            <w:pPr>
              <w:spacing w:after="0"/>
              <w:rPr>
                <w:sz w:val="11"/>
                <w:szCs w:val="11"/>
                <w:color w:val="auto"/>
              </w:rPr>
            </w:pPr>
          </w:p>
        </w:tc>
        <w:tc>
          <w:tcPr>
            <w:tcW w:w="20" w:type="dxa"/>
            <w:vAlign w:val="bottom"/>
            <w:shd w:val="clear" w:color="auto" w:fill="F5F5F5"/>
          </w:tcPr>
          <w:p>
            <w:pPr>
              <w:spacing w:after="0"/>
              <w:rPr>
                <w:sz w:val="11"/>
                <w:szCs w:val="11"/>
                <w:color w:val="auto"/>
              </w:rPr>
            </w:pPr>
          </w:p>
        </w:tc>
        <w:tc>
          <w:tcPr>
            <w:tcW w:w="20" w:type="dxa"/>
            <w:vAlign w:val="bottom"/>
            <w:shd w:val="clear" w:color="auto" w:fill="F5F5F5"/>
          </w:tcPr>
          <w:p>
            <w:pPr>
              <w:spacing w:after="0"/>
              <w:rPr>
                <w:sz w:val="11"/>
                <w:szCs w:val="11"/>
                <w:color w:val="auto"/>
              </w:rPr>
            </w:pPr>
          </w:p>
        </w:tc>
        <w:tc>
          <w:tcPr>
            <w:tcW w:w="20" w:type="dxa"/>
            <w:vAlign w:val="bottom"/>
            <w:shd w:val="clear" w:color="auto" w:fill="F5F5F5"/>
          </w:tcPr>
          <w:p>
            <w:pPr>
              <w:spacing w:after="0"/>
              <w:rPr>
                <w:sz w:val="11"/>
                <w:szCs w:val="11"/>
                <w:color w:val="auto"/>
              </w:rPr>
            </w:pPr>
          </w:p>
        </w:tc>
        <w:tc>
          <w:tcPr>
            <w:tcW w:w="20" w:type="dxa"/>
            <w:vAlign w:val="bottom"/>
            <w:shd w:val="clear" w:color="auto" w:fill="F5F5F5"/>
          </w:tcPr>
          <w:p>
            <w:pPr>
              <w:spacing w:after="0"/>
              <w:rPr>
                <w:sz w:val="11"/>
                <w:szCs w:val="11"/>
                <w:color w:val="auto"/>
              </w:rPr>
            </w:pPr>
          </w:p>
        </w:tc>
        <w:tc>
          <w:tcPr>
            <w:tcW w:w="20" w:type="dxa"/>
            <w:vAlign w:val="bottom"/>
            <w:shd w:val="clear" w:color="auto" w:fill="F5F5F5"/>
          </w:tcPr>
          <w:p>
            <w:pPr>
              <w:spacing w:after="0"/>
              <w:rPr>
                <w:sz w:val="11"/>
                <w:szCs w:val="11"/>
                <w:color w:val="auto"/>
              </w:rPr>
            </w:pPr>
          </w:p>
        </w:tc>
        <w:tc>
          <w:tcPr>
            <w:tcW w:w="20" w:type="dxa"/>
            <w:vAlign w:val="bottom"/>
            <w:shd w:val="clear" w:color="auto" w:fill="F5F5F5"/>
          </w:tcPr>
          <w:p>
            <w:pPr>
              <w:spacing w:after="0"/>
              <w:rPr>
                <w:sz w:val="11"/>
                <w:szCs w:val="11"/>
                <w:color w:val="auto"/>
              </w:rPr>
            </w:pPr>
          </w:p>
        </w:tc>
        <w:tc>
          <w:tcPr>
            <w:tcW w:w="20" w:type="dxa"/>
            <w:vAlign w:val="bottom"/>
            <w:shd w:val="clear" w:color="auto" w:fill="F5F5F5"/>
          </w:tcPr>
          <w:p>
            <w:pPr>
              <w:spacing w:after="0"/>
              <w:rPr>
                <w:sz w:val="11"/>
                <w:szCs w:val="11"/>
                <w:color w:val="auto"/>
              </w:rPr>
            </w:pPr>
          </w:p>
        </w:tc>
        <w:tc>
          <w:tcPr>
            <w:tcW w:w="20" w:type="dxa"/>
            <w:vAlign w:val="bottom"/>
            <w:shd w:val="clear" w:color="auto" w:fill="F5F5F5"/>
          </w:tcPr>
          <w:p>
            <w:pPr>
              <w:spacing w:after="0"/>
              <w:rPr>
                <w:sz w:val="11"/>
                <w:szCs w:val="11"/>
                <w:color w:val="auto"/>
              </w:rPr>
            </w:pPr>
          </w:p>
        </w:tc>
        <w:tc>
          <w:tcPr>
            <w:tcW w:w="20" w:type="dxa"/>
            <w:vAlign w:val="bottom"/>
            <w:shd w:val="clear" w:color="auto" w:fill="F5F5F5"/>
          </w:tcPr>
          <w:p>
            <w:pPr>
              <w:spacing w:after="0"/>
              <w:rPr>
                <w:sz w:val="11"/>
                <w:szCs w:val="11"/>
                <w:color w:val="auto"/>
              </w:rPr>
            </w:pPr>
          </w:p>
        </w:tc>
        <w:tc>
          <w:tcPr>
            <w:tcW w:w="20" w:type="dxa"/>
            <w:vAlign w:val="bottom"/>
            <w:shd w:val="clear" w:color="auto" w:fill="F5F5F5"/>
          </w:tcPr>
          <w:p>
            <w:pPr>
              <w:spacing w:after="0"/>
              <w:rPr>
                <w:sz w:val="11"/>
                <w:szCs w:val="11"/>
                <w:color w:val="auto"/>
              </w:rPr>
            </w:pPr>
          </w:p>
        </w:tc>
        <w:tc>
          <w:tcPr>
            <w:tcW w:w="20" w:type="dxa"/>
            <w:vAlign w:val="bottom"/>
            <w:shd w:val="clear" w:color="auto" w:fill="F5F5F5"/>
          </w:tcPr>
          <w:p>
            <w:pPr>
              <w:spacing w:after="0"/>
              <w:rPr>
                <w:sz w:val="11"/>
                <w:szCs w:val="11"/>
                <w:color w:val="auto"/>
              </w:rPr>
            </w:pPr>
          </w:p>
        </w:tc>
        <w:tc>
          <w:tcPr>
            <w:tcW w:w="20" w:type="dxa"/>
            <w:vAlign w:val="bottom"/>
            <w:shd w:val="clear" w:color="auto" w:fill="F5F5F5"/>
          </w:tcPr>
          <w:p>
            <w:pPr>
              <w:spacing w:after="0"/>
              <w:rPr>
                <w:sz w:val="11"/>
                <w:szCs w:val="11"/>
                <w:color w:val="auto"/>
              </w:rPr>
            </w:pPr>
          </w:p>
        </w:tc>
        <w:tc>
          <w:tcPr>
            <w:tcW w:w="20" w:type="dxa"/>
            <w:vAlign w:val="bottom"/>
            <w:shd w:val="clear" w:color="auto" w:fill="F5F5F5"/>
          </w:tcPr>
          <w:p>
            <w:pPr>
              <w:spacing w:after="0"/>
              <w:rPr>
                <w:sz w:val="11"/>
                <w:szCs w:val="11"/>
                <w:color w:val="auto"/>
              </w:rPr>
            </w:pPr>
          </w:p>
        </w:tc>
        <w:tc>
          <w:tcPr>
            <w:tcW w:w="20" w:type="dxa"/>
            <w:vAlign w:val="bottom"/>
            <w:shd w:val="clear" w:color="auto" w:fill="F5F5F5"/>
          </w:tcPr>
          <w:p>
            <w:pPr>
              <w:spacing w:after="0"/>
              <w:rPr>
                <w:sz w:val="11"/>
                <w:szCs w:val="11"/>
                <w:color w:val="auto"/>
              </w:rPr>
            </w:pPr>
          </w:p>
        </w:tc>
        <w:tc>
          <w:tcPr>
            <w:tcW w:w="20" w:type="dxa"/>
            <w:vAlign w:val="bottom"/>
            <w:shd w:val="clear" w:color="auto" w:fill="F5F5F5"/>
          </w:tcPr>
          <w:p>
            <w:pPr>
              <w:spacing w:after="0"/>
              <w:rPr>
                <w:sz w:val="11"/>
                <w:szCs w:val="11"/>
                <w:color w:val="auto"/>
              </w:rPr>
            </w:pPr>
          </w:p>
        </w:tc>
        <w:tc>
          <w:tcPr>
            <w:tcW w:w="20" w:type="dxa"/>
            <w:vAlign w:val="bottom"/>
            <w:shd w:val="clear" w:color="auto" w:fill="F5F5F5"/>
          </w:tcPr>
          <w:p>
            <w:pPr>
              <w:spacing w:after="0"/>
              <w:rPr>
                <w:sz w:val="11"/>
                <w:szCs w:val="11"/>
                <w:color w:val="auto"/>
              </w:rPr>
            </w:pPr>
          </w:p>
        </w:tc>
        <w:tc>
          <w:tcPr>
            <w:tcW w:w="20" w:type="dxa"/>
            <w:vAlign w:val="bottom"/>
            <w:shd w:val="clear" w:color="auto" w:fill="F5F5F5"/>
          </w:tcPr>
          <w:p>
            <w:pPr>
              <w:spacing w:after="0"/>
              <w:rPr>
                <w:sz w:val="11"/>
                <w:szCs w:val="11"/>
                <w:color w:val="auto"/>
              </w:rPr>
            </w:pPr>
          </w:p>
        </w:tc>
        <w:tc>
          <w:tcPr>
            <w:tcW w:w="20" w:type="dxa"/>
            <w:vAlign w:val="bottom"/>
            <w:shd w:val="clear" w:color="auto" w:fill="F5F5F5"/>
          </w:tcPr>
          <w:p>
            <w:pPr>
              <w:spacing w:after="0"/>
              <w:rPr>
                <w:sz w:val="11"/>
                <w:szCs w:val="11"/>
                <w:color w:val="auto"/>
              </w:rPr>
            </w:pPr>
          </w:p>
        </w:tc>
        <w:tc>
          <w:tcPr>
            <w:tcW w:w="20" w:type="dxa"/>
            <w:vAlign w:val="bottom"/>
            <w:shd w:val="clear" w:color="auto" w:fill="F5F5F5"/>
          </w:tcPr>
          <w:p>
            <w:pPr>
              <w:spacing w:after="0"/>
              <w:rPr>
                <w:sz w:val="11"/>
                <w:szCs w:val="11"/>
                <w:color w:val="auto"/>
              </w:rPr>
            </w:pPr>
          </w:p>
        </w:tc>
      </w:tr>
      <w:tr>
        <w:trPr>
          <w:trHeight w:val="27"/>
        </w:trPr>
        <w:tc>
          <w:tcPr>
            <w:tcW w:w="600" w:type="dxa"/>
            <w:vAlign w:val="bottom"/>
            <w:shd w:val="clear" w:color="auto" w:fill="F5F5F5"/>
          </w:tcPr>
          <w:p>
            <w:pPr>
              <w:spacing w:after="0"/>
              <w:rPr>
                <w:sz w:val="2"/>
                <w:szCs w:val="2"/>
                <w:color w:val="auto"/>
              </w:rPr>
            </w:pPr>
          </w:p>
        </w:tc>
        <w:tc>
          <w:tcPr>
            <w:tcW w:w="320" w:type="dxa"/>
            <w:vAlign w:val="bottom"/>
            <w:shd w:val="clear" w:color="auto" w:fill="F5F5F5"/>
          </w:tcPr>
          <w:p>
            <w:pPr>
              <w:spacing w:after="0"/>
              <w:rPr>
                <w:sz w:val="2"/>
                <w:szCs w:val="2"/>
                <w:color w:val="auto"/>
              </w:rPr>
            </w:pPr>
          </w:p>
        </w:tc>
        <w:tc>
          <w:tcPr>
            <w:tcW w:w="120" w:type="dxa"/>
            <w:vAlign w:val="bottom"/>
            <w:tcBorders>
              <w:right w:val="single" w:sz="8" w:color="F5F5F5"/>
            </w:tcBorders>
            <w:shd w:val="clear" w:color="auto" w:fill="F5F5F5"/>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3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640" w:type="dxa"/>
            <w:vAlign w:val="bottom"/>
            <w:tcBorders>
              <w:right w:val="single" w:sz="8" w:color="F5F5F5"/>
            </w:tcBorders>
            <w:shd w:val="clear" w:color="auto" w:fill="0000FF"/>
          </w:tcPr>
          <w:p>
            <w:pPr>
              <w:spacing w:after="0"/>
              <w:rPr>
                <w:sz w:val="2"/>
                <w:szCs w:val="2"/>
                <w:color w:val="auto"/>
              </w:rPr>
            </w:pPr>
          </w:p>
        </w:tc>
        <w:tc>
          <w:tcPr>
            <w:tcW w:w="920" w:type="dxa"/>
            <w:vAlign w:val="bottom"/>
            <w:tcBorders>
              <w:left w:val="single" w:sz="8" w:color="F5F5F5"/>
            </w:tcBorders>
            <w:shd w:val="clear" w:color="auto" w:fill="F5F5F5"/>
          </w:tcPr>
          <w:p>
            <w:pPr>
              <w:spacing w:after="0"/>
              <w:rPr>
                <w:sz w:val="2"/>
                <w:szCs w:val="2"/>
                <w:color w:val="auto"/>
              </w:rPr>
            </w:pPr>
          </w:p>
        </w:tc>
        <w:tc>
          <w:tcPr>
            <w:tcW w:w="360" w:type="dxa"/>
            <w:vAlign w:val="bottom"/>
            <w:shd w:val="clear" w:color="auto" w:fill="F5F5F5"/>
          </w:tcPr>
          <w:p>
            <w:pPr>
              <w:spacing w:after="0"/>
              <w:rPr>
                <w:sz w:val="2"/>
                <w:szCs w:val="2"/>
                <w:color w:val="auto"/>
              </w:rPr>
            </w:pPr>
          </w:p>
        </w:tc>
        <w:tc>
          <w:tcPr>
            <w:tcW w:w="900" w:type="dxa"/>
            <w:vAlign w:val="bottom"/>
            <w:shd w:val="clear" w:color="auto" w:fill="F5F5F5"/>
          </w:tcPr>
          <w:p>
            <w:pPr>
              <w:spacing w:after="0"/>
              <w:rPr>
                <w:sz w:val="2"/>
                <w:szCs w:val="2"/>
                <w:color w:val="auto"/>
              </w:rPr>
            </w:pPr>
          </w:p>
        </w:tc>
        <w:tc>
          <w:tcPr>
            <w:tcW w:w="140" w:type="dxa"/>
            <w:vAlign w:val="bottom"/>
            <w:shd w:val="clear" w:color="auto" w:fill="F5F5F5"/>
          </w:tcPr>
          <w:p>
            <w:pPr>
              <w:spacing w:after="0"/>
              <w:rPr>
                <w:sz w:val="2"/>
                <w:szCs w:val="2"/>
                <w:color w:val="auto"/>
              </w:rPr>
            </w:pPr>
          </w:p>
        </w:tc>
        <w:tc>
          <w:tcPr>
            <w:tcW w:w="700" w:type="dxa"/>
            <w:vAlign w:val="bottom"/>
            <w:shd w:val="clear" w:color="auto" w:fill="F5F5F5"/>
          </w:tcPr>
          <w:p>
            <w:pPr>
              <w:spacing w:after="0"/>
              <w:rPr>
                <w:sz w:val="2"/>
                <w:szCs w:val="2"/>
                <w:color w:val="auto"/>
              </w:rPr>
            </w:pPr>
          </w:p>
        </w:tc>
        <w:tc>
          <w:tcPr>
            <w:tcW w:w="320" w:type="dxa"/>
            <w:vAlign w:val="bottom"/>
            <w:shd w:val="clear" w:color="auto" w:fill="F5F5F5"/>
          </w:tcPr>
          <w:p>
            <w:pPr>
              <w:spacing w:after="0"/>
              <w:rPr>
                <w:sz w:val="2"/>
                <w:szCs w:val="2"/>
                <w:color w:val="auto"/>
              </w:rPr>
            </w:pPr>
          </w:p>
        </w:tc>
        <w:tc>
          <w:tcPr>
            <w:tcW w:w="380" w:type="dxa"/>
            <w:vAlign w:val="bottom"/>
            <w:shd w:val="clear" w:color="auto" w:fill="F5F5F5"/>
          </w:tcPr>
          <w:p>
            <w:pPr>
              <w:spacing w:after="0"/>
              <w:rPr>
                <w:sz w:val="2"/>
                <w:szCs w:val="2"/>
                <w:color w:val="auto"/>
              </w:rPr>
            </w:pPr>
          </w:p>
        </w:tc>
        <w:tc>
          <w:tcPr>
            <w:tcW w:w="38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8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r>
      <w:tr>
        <w:trPr>
          <w:trHeight w:val="162"/>
        </w:trPr>
        <w:tc>
          <w:tcPr>
            <w:tcW w:w="600" w:type="dxa"/>
            <w:vAlign w:val="bottom"/>
          </w:tcPr>
          <w:p>
            <w:pPr>
              <w:ind w:left="20"/>
              <w:spacing w:after="0"/>
              <w:rPr>
                <w:sz w:val="20"/>
                <w:szCs w:val="20"/>
                <w:color w:val="auto"/>
              </w:rPr>
            </w:pPr>
            <w:r>
              <w:rPr>
                <w:rFonts w:ascii="Arial" w:cs="Arial" w:eastAsia="Arial" w:hAnsi="Arial"/>
                <w:sz w:val="14"/>
                <w:szCs w:val="14"/>
                <w:color w:val="auto"/>
              </w:rPr>
              <w:t>10.6*</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560" w:type="dxa"/>
            <w:vAlign w:val="bottom"/>
            <w:gridSpan w:val="40"/>
          </w:tcPr>
          <w:p>
            <w:pPr>
              <w:spacing w:after="0"/>
              <w:rPr>
                <w:rFonts w:ascii="Arial" w:cs="Arial" w:eastAsia="Arial" w:hAnsi="Arial"/>
                <w:sz w:val="14"/>
                <w:szCs w:val="14"/>
                <w:color w:val="0000FF"/>
              </w:rPr>
            </w:pPr>
            <w:hyperlink r:id="rId121">
              <w:r>
                <w:rPr>
                  <w:rFonts w:ascii="Arial" w:cs="Arial" w:eastAsia="Arial" w:hAnsi="Arial"/>
                  <w:sz w:val="14"/>
                  <w:szCs w:val="14"/>
                  <w:color w:val="0000FF"/>
                </w:rPr>
                <w:t>First Amendment to the Abercrombie &amp; Fitch Co. Nonqualified Savings and Supplemental Retirement Plan (Plan I) (January 1, 2001 Restatement), effective as</w:t>
              </w:r>
            </w:hyperlink>
          </w:p>
        </w:tc>
      </w:tr>
      <w:tr>
        <w:trPr>
          <w:trHeight w:val="129"/>
        </w:trPr>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360" w:type="dxa"/>
            <w:vAlign w:val="bottom"/>
            <w:tcBorders>
              <w:top w:val="single" w:sz="8" w:color="0000FF"/>
              <w:bottom w:val="single" w:sz="8" w:color="0000FF"/>
            </w:tcBorders>
            <w:gridSpan w:val="30"/>
          </w:tcPr>
          <w:p>
            <w:pPr>
              <w:spacing w:after="0" w:line="129" w:lineRule="exact"/>
              <w:rPr>
                <w:rFonts w:ascii="Arial" w:cs="Arial" w:eastAsia="Arial" w:hAnsi="Arial"/>
                <w:sz w:val="14"/>
                <w:szCs w:val="14"/>
                <w:color w:val="0000FF"/>
              </w:rPr>
            </w:pPr>
            <w:hyperlink r:id="rId121">
              <w:r>
                <w:rPr>
                  <w:rFonts w:ascii="Arial" w:cs="Arial" w:eastAsia="Arial" w:hAnsi="Arial"/>
                  <w:sz w:val="14"/>
                  <w:szCs w:val="14"/>
                  <w:color w:val="0000FF"/>
                </w:rPr>
                <w:t>of January 1, 2009, incorporated herein by reference to Exhibit 10.13 to A&amp;F’s Quarterly Report on Form 10-Q for the quarterly period ended August 2, 2008</w:t>
              </w:r>
            </w:hyperlink>
          </w:p>
        </w:tc>
        <w:tc>
          <w:tcPr>
            <w:tcW w:w="40" w:type="dxa"/>
            <w:vAlign w:val="bottom"/>
            <w:tcBorders>
              <w:bottom w:val="single" w:sz="8" w:color="0000FF"/>
            </w:tcBorders>
            <w:gridSpan w:val="2"/>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Borders>
              <w:bottom w:val="single" w:sz="8" w:color="0000FF"/>
            </w:tcBorders>
            <w:gridSpan w:val="4"/>
          </w:tcPr>
          <w:p>
            <w:pPr>
              <w:spacing w:after="0" w:line="129" w:lineRule="exact"/>
              <w:rPr>
                <w:rFonts w:ascii="Arial" w:cs="Arial" w:eastAsia="Arial" w:hAnsi="Arial"/>
                <w:sz w:val="14"/>
                <w:szCs w:val="14"/>
                <w:color w:val="0000FF"/>
              </w:rPr>
            </w:pPr>
            <w:hyperlink r:id="rId121">
              <w:r>
                <w:rPr>
                  <w:rFonts w:ascii="Arial" w:cs="Arial" w:eastAsia="Arial" w:hAnsi="Arial"/>
                  <w:sz w:val="14"/>
                  <w:szCs w:val="14"/>
                  <w:color w:val="0000FF"/>
                </w:rPr>
                <w:t>(File No. 001-12107).</w:t>
              </w:r>
            </w:hyperlink>
          </w:p>
        </w:tc>
        <w:tc>
          <w:tcPr>
            <w:tcW w:w="2720" w:type="dxa"/>
            <w:vAlign w:val="bottom"/>
            <w:gridSpan w:val="2"/>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2"/>
        </w:trPr>
        <w:tc>
          <w:tcPr>
            <w:tcW w:w="600" w:type="dxa"/>
            <w:vAlign w:val="bottom"/>
            <w:shd w:val="clear" w:color="auto" w:fill="F5F5F5"/>
          </w:tcPr>
          <w:p>
            <w:pPr>
              <w:ind w:left="20"/>
              <w:spacing w:after="0"/>
              <w:rPr>
                <w:sz w:val="20"/>
                <w:szCs w:val="20"/>
                <w:color w:val="auto"/>
              </w:rPr>
            </w:pPr>
            <w:r>
              <w:rPr>
                <w:rFonts w:ascii="Arial" w:cs="Arial" w:eastAsia="Arial" w:hAnsi="Arial"/>
                <w:sz w:val="14"/>
                <w:szCs w:val="14"/>
                <w:color w:val="auto"/>
              </w:rPr>
              <w:t>10.7*</w:t>
            </w:r>
          </w:p>
        </w:tc>
        <w:tc>
          <w:tcPr>
            <w:tcW w:w="320" w:type="dxa"/>
            <w:vAlign w:val="bottom"/>
            <w:shd w:val="clear" w:color="auto" w:fill="F5F5F5"/>
          </w:tcPr>
          <w:p>
            <w:pPr>
              <w:spacing w:after="0"/>
              <w:rPr>
                <w:sz w:val="14"/>
                <w:szCs w:val="14"/>
                <w:color w:val="auto"/>
              </w:rPr>
            </w:pPr>
          </w:p>
        </w:tc>
        <w:tc>
          <w:tcPr>
            <w:tcW w:w="120" w:type="dxa"/>
            <w:vAlign w:val="bottom"/>
            <w:tcBorders>
              <w:right w:val="single" w:sz="8" w:color="F5F5F5"/>
            </w:tcBorders>
            <w:shd w:val="clear" w:color="auto" w:fill="F5F5F5"/>
          </w:tcPr>
          <w:p>
            <w:pPr>
              <w:spacing w:after="0"/>
              <w:rPr>
                <w:sz w:val="14"/>
                <w:szCs w:val="14"/>
                <w:color w:val="auto"/>
              </w:rPr>
            </w:pPr>
          </w:p>
        </w:tc>
        <w:tc>
          <w:tcPr>
            <w:tcW w:w="10560" w:type="dxa"/>
            <w:vAlign w:val="bottom"/>
            <w:gridSpan w:val="40"/>
            <w:shd w:val="clear" w:color="auto" w:fill="F5F5F5"/>
          </w:tcPr>
          <w:p>
            <w:pPr>
              <w:spacing w:after="0"/>
              <w:rPr>
                <w:rFonts w:ascii="Arial" w:cs="Arial" w:eastAsia="Arial" w:hAnsi="Arial"/>
                <w:sz w:val="14"/>
                <w:szCs w:val="14"/>
                <w:color w:val="0000FF"/>
              </w:rPr>
            </w:pPr>
            <w:hyperlink r:id="rId122">
              <w:r>
                <w:rPr>
                  <w:rFonts w:ascii="Arial" w:cs="Arial" w:eastAsia="Arial" w:hAnsi="Arial"/>
                  <w:sz w:val="14"/>
                  <w:szCs w:val="14"/>
                  <w:color w:val="0000FF"/>
                </w:rPr>
                <w:t>Abercrombie &amp; Fitch Co. Nonqualified Savings and Supplemental Retirement Plan (Plan II), as amended and restated effective as of January 1, 2014,</w:t>
              </w:r>
            </w:hyperlink>
          </w:p>
        </w:tc>
      </w:tr>
      <w:tr>
        <w:trPr>
          <w:trHeight w:val="135"/>
        </w:trPr>
        <w:tc>
          <w:tcPr>
            <w:tcW w:w="600" w:type="dxa"/>
            <w:vAlign w:val="bottom"/>
            <w:tcBorders>
              <w:top w:val="single" w:sz="8" w:color="F5F5F5"/>
              <w:bottom w:val="single" w:sz="8" w:color="F5F5F5"/>
            </w:tcBorders>
            <w:shd w:val="clear" w:color="auto" w:fill="F5F5F5"/>
          </w:tcPr>
          <w:p>
            <w:pPr>
              <w:spacing w:after="0"/>
              <w:rPr>
                <w:sz w:val="11"/>
                <w:szCs w:val="11"/>
                <w:color w:val="auto"/>
              </w:rPr>
            </w:pPr>
          </w:p>
        </w:tc>
        <w:tc>
          <w:tcPr>
            <w:tcW w:w="320" w:type="dxa"/>
            <w:vAlign w:val="bottom"/>
            <w:tcBorders>
              <w:top w:val="single" w:sz="8" w:color="F5F5F5"/>
              <w:bottom w:val="single" w:sz="8" w:color="F5F5F5"/>
            </w:tcBorders>
            <w:shd w:val="clear" w:color="auto" w:fill="F5F5F5"/>
          </w:tcPr>
          <w:p>
            <w:pPr>
              <w:spacing w:after="0"/>
              <w:rPr>
                <w:sz w:val="11"/>
                <w:szCs w:val="11"/>
                <w:color w:val="auto"/>
              </w:rPr>
            </w:pPr>
          </w:p>
        </w:tc>
        <w:tc>
          <w:tcPr>
            <w:tcW w:w="120" w:type="dxa"/>
            <w:vAlign w:val="bottom"/>
            <w:tcBorders>
              <w:top w:val="single" w:sz="8" w:color="F5F5F5"/>
              <w:bottom w:val="single" w:sz="8" w:color="F5F5F5"/>
              <w:right w:val="single" w:sz="8" w:color="F5F5F5"/>
            </w:tcBorders>
            <w:shd w:val="clear" w:color="auto" w:fill="F5F5F5"/>
          </w:tcPr>
          <w:p>
            <w:pPr>
              <w:spacing w:after="0"/>
              <w:rPr>
                <w:sz w:val="11"/>
                <w:szCs w:val="11"/>
                <w:color w:val="auto"/>
              </w:rPr>
            </w:pPr>
          </w:p>
        </w:tc>
        <w:tc>
          <w:tcPr>
            <w:tcW w:w="8980" w:type="dxa"/>
            <w:vAlign w:val="bottom"/>
            <w:tcBorders>
              <w:top w:val="single" w:sz="8" w:color="0000FF"/>
              <w:bottom w:val="single" w:sz="8" w:color="0000FF"/>
            </w:tcBorders>
            <w:gridSpan w:val="15"/>
            <w:shd w:val="clear" w:color="auto" w:fill="F5F5F5"/>
          </w:tcPr>
          <w:p>
            <w:pPr>
              <w:spacing w:after="0" w:line="129" w:lineRule="exact"/>
              <w:rPr>
                <w:rFonts w:ascii="Arial" w:cs="Arial" w:eastAsia="Arial" w:hAnsi="Arial"/>
                <w:sz w:val="14"/>
                <w:szCs w:val="14"/>
                <w:color w:val="0000FF"/>
              </w:rPr>
            </w:pPr>
            <w:hyperlink r:id="rId122">
              <w:r>
                <w:rPr>
                  <w:rFonts w:ascii="Arial" w:cs="Arial" w:eastAsia="Arial" w:hAnsi="Arial"/>
                  <w:sz w:val="14"/>
                  <w:szCs w:val="14"/>
                  <w:color w:val="0000FF"/>
                </w:rPr>
                <w:t>incorporated herein by reference to Exhibit 10.3 to A&amp;F’s Current Report on Form 8-K dated and filed October 19, 2015 (File No. 001-12107).</w:t>
              </w:r>
            </w:hyperlink>
          </w:p>
        </w:tc>
        <w:tc>
          <w:tcPr>
            <w:tcW w:w="1560" w:type="dxa"/>
            <w:vAlign w:val="bottom"/>
            <w:tcBorders>
              <w:top w:val="single" w:sz="8" w:color="0000FF"/>
              <w:bottom w:val="single" w:sz="8" w:color="F5F5F5"/>
            </w:tcBorders>
            <w:gridSpan w:val="24"/>
            <w:shd w:val="clear" w:color="auto" w:fill="F5F5F5"/>
          </w:tcPr>
          <w:p>
            <w:pPr>
              <w:spacing w:after="0"/>
              <w:rPr>
                <w:sz w:val="11"/>
                <w:szCs w:val="11"/>
                <w:color w:val="auto"/>
              </w:rPr>
            </w:pPr>
          </w:p>
        </w:tc>
        <w:tc>
          <w:tcPr>
            <w:tcW w:w="20" w:type="dxa"/>
            <w:vAlign w:val="bottom"/>
            <w:tcBorders>
              <w:top w:val="single" w:sz="8" w:color="F5F5F5"/>
              <w:bottom w:val="single" w:sz="8" w:color="F5F5F5"/>
            </w:tcBorders>
            <w:shd w:val="clear" w:color="auto" w:fill="F5F5F5"/>
          </w:tcPr>
          <w:p>
            <w:pPr>
              <w:spacing w:after="0"/>
              <w:rPr>
                <w:sz w:val="11"/>
                <w:szCs w:val="11"/>
                <w:color w:val="auto"/>
              </w:rPr>
            </w:pPr>
          </w:p>
        </w:tc>
      </w:tr>
      <w:tr>
        <w:trPr>
          <w:trHeight w:val="162"/>
        </w:trPr>
        <w:tc>
          <w:tcPr>
            <w:tcW w:w="600" w:type="dxa"/>
            <w:vAlign w:val="bottom"/>
          </w:tcPr>
          <w:p>
            <w:pPr>
              <w:ind w:left="20"/>
              <w:spacing w:after="0"/>
              <w:rPr>
                <w:sz w:val="20"/>
                <w:szCs w:val="20"/>
                <w:color w:val="auto"/>
              </w:rPr>
            </w:pPr>
            <w:r>
              <w:rPr>
                <w:rFonts w:ascii="Arial" w:cs="Arial" w:eastAsia="Arial" w:hAnsi="Arial"/>
                <w:sz w:val="14"/>
                <w:szCs w:val="14"/>
                <w:color w:val="auto"/>
              </w:rPr>
              <w:t>10.8*</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560" w:type="dxa"/>
            <w:vAlign w:val="bottom"/>
            <w:gridSpan w:val="40"/>
          </w:tcPr>
          <w:p>
            <w:pPr>
              <w:spacing w:after="0"/>
              <w:rPr>
                <w:rFonts w:ascii="Arial" w:cs="Arial" w:eastAsia="Arial" w:hAnsi="Arial"/>
                <w:sz w:val="14"/>
                <w:szCs w:val="14"/>
                <w:color w:val="0000FF"/>
              </w:rPr>
            </w:pPr>
            <w:hyperlink r:id="rId123">
              <w:r>
                <w:rPr>
                  <w:rFonts w:ascii="Arial" w:cs="Arial" w:eastAsia="Arial" w:hAnsi="Arial"/>
                  <w:sz w:val="14"/>
                  <w:szCs w:val="14"/>
                  <w:color w:val="0000FF"/>
                </w:rPr>
                <w:t>First Amendment to the Abercrombie &amp; Fitch Co. Nonqualified Savings and Supplemental Retirement Plan (Plan II), dated as of October 14, 2015, incorporated</w:t>
              </w:r>
            </w:hyperlink>
          </w:p>
        </w:tc>
      </w:tr>
      <w:tr>
        <w:trPr>
          <w:trHeight w:val="135"/>
        </w:trPr>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140" w:type="dxa"/>
            <w:vAlign w:val="bottom"/>
            <w:tcBorders>
              <w:top w:val="single" w:sz="8" w:color="0000FF"/>
              <w:bottom w:val="single" w:sz="8" w:color="0000FF"/>
            </w:tcBorders>
            <w:gridSpan w:val="13"/>
          </w:tcPr>
          <w:p>
            <w:pPr>
              <w:spacing w:after="0" w:line="129" w:lineRule="exact"/>
              <w:rPr>
                <w:rFonts w:ascii="Arial" w:cs="Arial" w:eastAsia="Arial" w:hAnsi="Arial"/>
                <w:sz w:val="14"/>
                <w:szCs w:val="14"/>
                <w:color w:val="0000FF"/>
              </w:rPr>
            </w:pPr>
            <w:hyperlink r:id="rId123">
              <w:r>
                <w:rPr>
                  <w:rFonts w:ascii="Arial" w:cs="Arial" w:eastAsia="Arial" w:hAnsi="Arial"/>
                  <w:sz w:val="14"/>
                  <w:szCs w:val="14"/>
                  <w:color w:val="0000FF"/>
                </w:rPr>
                <w:t>herein by reference to Exhibit 10.4 to A&amp;F’s Current Report on Form 8-K dated and filed October 19, 2015 (File No. 001-12107).</w:t>
              </w:r>
            </w:hyperlink>
          </w:p>
        </w:tc>
        <w:tc>
          <w:tcPr>
            <w:tcW w:w="140" w:type="dxa"/>
            <w:vAlign w:val="bottom"/>
            <w:tcBorders>
              <w:top w:val="single" w:sz="8" w:color="0000FF"/>
            </w:tcBorders>
          </w:tcPr>
          <w:p>
            <w:pPr>
              <w:spacing w:after="0"/>
              <w:rPr>
                <w:sz w:val="11"/>
                <w:szCs w:val="11"/>
                <w:color w:val="auto"/>
              </w:rPr>
            </w:pPr>
          </w:p>
        </w:tc>
        <w:tc>
          <w:tcPr>
            <w:tcW w:w="70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2"/>
        </w:trPr>
        <w:tc>
          <w:tcPr>
            <w:tcW w:w="600" w:type="dxa"/>
            <w:vAlign w:val="bottom"/>
            <w:shd w:val="clear" w:color="auto" w:fill="F5F5F5"/>
          </w:tcPr>
          <w:p>
            <w:pPr>
              <w:ind w:left="20"/>
              <w:spacing w:after="0"/>
              <w:rPr>
                <w:sz w:val="20"/>
                <w:szCs w:val="20"/>
                <w:color w:val="auto"/>
              </w:rPr>
            </w:pPr>
            <w:r>
              <w:rPr>
                <w:rFonts w:ascii="Arial" w:cs="Arial" w:eastAsia="Arial" w:hAnsi="Arial"/>
                <w:sz w:val="14"/>
                <w:szCs w:val="14"/>
                <w:color w:val="auto"/>
              </w:rPr>
              <w:t>10.9*</w:t>
            </w:r>
          </w:p>
        </w:tc>
        <w:tc>
          <w:tcPr>
            <w:tcW w:w="320" w:type="dxa"/>
            <w:vAlign w:val="bottom"/>
            <w:shd w:val="clear" w:color="auto" w:fill="F5F5F5"/>
          </w:tcPr>
          <w:p>
            <w:pPr>
              <w:spacing w:after="0"/>
              <w:rPr>
                <w:sz w:val="14"/>
                <w:szCs w:val="14"/>
                <w:color w:val="auto"/>
              </w:rPr>
            </w:pPr>
          </w:p>
        </w:tc>
        <w:tc>
          <w:tcPr>
            <w:tcW w:w="120" w:type="dxa"/>
            <w:vAlign w:val="bottom"/>
            <w:tcBorders>
              <w:right w:val="single" w:sz="8" w:color="F5F5F5"/>
            </w:tcBorders>
            <w:shd w:val="clear" w:color="auto" w:fill="F5F5F5"/>
          </w:tcPr>
          <w:p>
            <w:pPr>
              <w:spacing w:after="0"/>
              <w:rPr>
                <w:sz w:val="14"/>
                <w:szCs w:val="14"/>
                <w:color w:val="auto"/>
              </w:rPr>
            </w:pPr>
          </w:p>
        </w:tc>
        <w:tc>
          <w:tcPr>
            <w:tcW w:w="10560" w:type="dxa"/>
            <w:vAlign w:val="bottom"/>
            <w:gridSpan w:val="40"/>
            <w:shd w:val="clear" w:color="auto" w:fill="F5F5F5"/>
          </w:tcPr>
          <w:p>
            <w:pPr>
              <w:spacing w:after="0"/>
              <w:rPr>
                <w:rFonts w:ascii="Arial" w:cs="Arial" w:eastAsia="Arial" w:hAnsi="Arial"/>
                <w:sz w:val="14"/>
                <w:szCs w:val="14"/>
                <w:color w:val="0000FF"/>
              </w:rPr>
            </w:pPr>
            <w:hyperlink r:id="rId124">
              <w:r>
                <w:rPr>
                  <w:rFonts w:ascii="Arial" w:cs="Arial" w:eastAsia="Arial" w:hAnsi="Arial"/>
                  <w:sz w:val="14"/>
                  <w:szCs w:val="14"/>
                  <w:color w:val="0000FF"/>
                </w:rPr>
                <w:t>Second Amendment to the Abercrombie &amp; Fitch Co. Nonqualified Savings and Supplemental Retirement Plan (Plan II), dated as of December 16, 2019,</w:t>
              </w:r>
            </w:hyperlink>
          </w:p>
        </w:tc>
      </w:tr>
      <w:tr>
        <w:trPr>
          <w:trHeight w:val="135"/>
        </w:trPr>
        <w:tc>
          <w:tcPr>
            <w:tcW w:w="600" w:type="dxa"/>
            <w:vAlign w:val="bottom"/>
            <w:tcBorders>
              <w:top w:val="single" w:sz="8" w:color="F5F5F5"/>
              <w:bottom w:val="single" w:sz="8" w:color="F5F5F5"/>
            </w:tcBorders>
            <w:shd w:val="clear" w:color="auto" w:fill="F5F5F5"/>
          </w:tcPr>
          <w:p>
            <w:pPr>
              <w:spacing w:after="0"/>
              <w:rPr>
                <w:sz w:val="11"/>
                <w:szCs w:val="11"/>
                <w:color w:val="auto"/>
              </w:rPr>
            </w:pPr>
          </w:p>
        </w:tc>
        <w:tc>
          <w:tcPr>
            <w:tcW w:w="320" w:type="dxa"/>
            <w:vAlign w:val="bottom"/>
            <w:tcBorders>
              <w:top w:val="single" w:sz="8" w:color="F5F5F5"/>
              <w:bottom w:val="single" w:sz="8" w:color="F5F5F5"/>
            </w:tcBorders>
            <w:shd w:val="clear" w:color="auto" w:fill="F5F5F5"/>
          </w:tcPr>
          <w:p>
            <w:pPr>
              <w:spacing w:after="0"/>
              <w:rPr>
                <w:sz w:val="11"/>
                <w:szCs w:val="11"/>
                <w:color w:val="auto"/>
              </w:rPr>
            </w:pPr>
          </w:p>
        </w:tc>
        <w:tc>
          <w:tcPr>
            <w:tcW w:w="120" w:type="dxa"/>
            <w:vAlign w:val="bottom"/>
            <w:tcBorders>
              <w:top w:val="single" w:sz="8" w:color="F5F5F5"/>
              <w:bottom w:val="single" w:sz="8" w:color="F5F5F5"/>
              <w:right w:val="single" w:sz="8" w:color="F5F5F5"/>
            </w:tcBorders>
            <w:shd w:val="clear" w:color="auto" w:fill="F5F5F5"/>
          </w:tcPr>
          <w:p>
            <w:pPr>
              <w:spacing w:after="0"/>
              <w:rPr>
                <w:sz w:val="11"/>
                <w:szCs w:val="11"/>
                <w:color w:val="auto"/>
              </w:rPr>
            </w:pPr>
          </w:p>
        </w:tc>
        <w:tc>
          <w:tcPr>
            <w:tcW w:w="9680" w:type="dxa"/>
            <w:vAlign w:val="bottom"/>
            <w:tcBorders>
              <w:top w:val="single" w:sz="8" w:color="0000FF"/>
              <w:bottom w:val="single" w:sz="8" w:color="0000FF"/>
            </w:tcBorders>
            <w:gridSpan w:val="17"/>
            <w:shd w:val="clear" w:color="auto" w:fill="F5F5F5"/>
          </w:tcPr>
          <w:p>
            <w:pPr>
              <w:spacing w:after="0" w:line="129" w:lineRule="exact"/>
              <w:rPr>
                <w:rFonts w:ascii="Arial" w:cs="Arial" w:eastAsia="Arial" w:hAnsi="Arial"/>
                <w:sz w:val="14"/>
                <w:szCs w:val="14"/>
                <w:color w:val="0000FF"/>
              </w:rPr>
            </w:pPr>
            <w:hyperlink r:id="rId124">
              <w:r>
                <w:rPr>
                  <w:rFonts w:ascii="Arial" w:cs="Arial" w:eastAsia="Arial" w:hAnsi="Arial"/>
                  <w:sz w:val="14"/>
                  <w:szCs w:val="14"/>
                  <w:color w:val="0000FF"/>
                </w:rPr>
                <w:t>incorporated herein by reference to Exhibit 10.33 to A&amp;F's Annual Report on Form 10-K for the fiscal year ended February 1, 2020 (File No. 001-12107).</w:t>
              </w:r>
            </w:hyperlink>
          </w:p>
        </w:tc>
        <w:tc>
          <w:tcPr>
            <w:tcW w:w="740" w:type="dxa"/>
            <w:vAlign w:val="bottom"/>
            <w:tcBorders>
              <w:top w:val="single" w:sz="8" w:color="0000FF"/>
              <w:bottom w:val="single" w:sz="8" w:color="F5F5F5"/>
            </w:tcBorders>
            <w:gridSpan w:val="16"/>
            <w:shd w:val="clear" w:color="auto" w:fill="F5F5F5"/>
          </w:tcPr>
          <w:p>
            <w:pPr>
              <w:spacing w:after="0"/>
              <w:rPr>
                <w:sz w:val="11"/>
                <w:szCs w:val="11"/>
                <w:color w:val="auto"/>
              </w:rPr>
            </w:pPr>
          </w:p>
        </w:tc>
        <w:tc>
          <w:tcPr>
            <w:tcW w:w="20" w:type="dxa"/>
            <w:vAlign w:val="bottom"/>
            <w:tcBorders>
              <w:top w:val="single" w:sz="8" w:color="F5F5F5"/>
              <w:bottom w:val="single" w:sz="8" w:color="F5F5F5"/>
            </w:tcBorders>
            <w:shd w:val="clear" w:color="auto" w:fill="F5F5F5"/>
          </w:tcPr>
          <w:p>
            <w:pPr>
              <w:spacing w:after="0"/>
              <w:rPr>
                <w:sz w:val="11"/>
                <w:szCs w:val="11"/>
                <w:color w:val="auto"/>
              </w:rPr>
            </w:pPr>
          </w:p>
        </w:tc>
        <w:tc>
          <w:tcPr>
            <w:tcW w:w="20" w:type="dxa"/>
            <w:vAlign w:val="bottom"/>
            <w:tcBorders>
              <w:top w:val="single" w:sz="8" w:color="F5F5F5"/>
              <w:bottom w:val="single" w:sz="8" w:color="F5F5F5"/>
            </w:tcBorders>
            <w:shd w:val="clear" w:color="auto" w:fill="F5F5F5"/>
          </w:tcPr>
          <w:p>
            <w:pPr>
              <w:spacing w:after="0"/>
              <w:rPr>
                <w:sz w:val="11"/>
                <w:szCs w:val="11"/>
                <w:color w:val="auto"/>
              </w:rPr>
            </w:pPr>
          </w:p>
        </w:tc>
        <w:tc>
          <w:tcPr>
            <w:tcW w:w="20" w:type="dxa"/>
            <w:vAlign w:val="bottom"/>
            <w:tcBorders>
              <w:top w:val="single" w:sz="8" w:color="F5F5F5"/>
              <w:bottom w:val="single" w:sz="8" w:color="F5F5F5"/>
            </w:tcBorders>
            <w:shd w:val="clear" w:color="auto" w:fill="F5F5F5"/>
          </w:tcPr>
          <w:p>
            <w:pPr>
              <w:spacing w:after="0"/>
              <w:rPr>
                <w:sz w:val="11"/>
                <w:szCs w:val="11"/>
                <w:color w:val="auto"/>
              </w:rPr>
            </w:pPr>
          </w:p>
        </w:tc>
        <w:tc>
          <w:tcPr>
            <w:tcW w:w="20" w:type="dxa"/>
            <w:vAlign w:val="bottom"/>
            <w:tcBorders>
              <w:top w:val="single" w:sz="8" w:color="F5F5F5"/>
              <w:bottom w:val="single" w:sz="8" w:color="F5F5F5"/>
            </w:tcBorders>
            <w:shd w:val="clear" w:color="auto" w:fill="F5F5F5"/>
          </w:tcPr>
          <w:p>
            <w:pPr>
              <w:spacing w:after="0"/>
              <w:rPr>
                <w:sz w:val="11"/>
                <w:szCs w:val="11"/>
                <w:color w:val="auto"/>
              </w:rPr>
            </w:pPr>
          </w:p>
        </w:tc>
        <w:tc>
          <w:tcPr>
            <w:tcW w:w="60" w:type="dxa"/>
            <w:vAlign w:val="bottom"/>
            <w:tcBorders>
              <w:top w:val="single" w:sz="8" w:color="F5F5F5"/>
              <w:bottom w:val="single" w:sz="8" w:color="F5F5F5"/>
            </w:tcBorders>
            <w:gridSpan w:val="3"/>
            <w:shd w:val="clear" w:color="auto" w:fill="F5F5F5"/>
          </w:tcPr>
          <w:p>
            <w:pPr>
              <w:spacing w:after="0"/>
              <w:rPr>
                <w:sz w:val="11"/>
                <w:szCs w:val="11"/>
                <w:color w:val="auto"/>
              </w:rPr>
            </w:pPr>
          </w:p>
        </w:tc>
      </w:tr>
      <w:tr>
        <w:trPr>
          <w:trHeight w:val="162"/>
        </w:trPr>
        <w:tc>
          <w:tcPr>
            <w:tcW w:w="600" w:type="dxa"/>
            <w:vAlign w:val="bottom"/>
          </w:tcPr>
          <w:p>
            <w:pPr>
              <w:ind w:left="20"/>
              <w:spacing w:after="0"/>
              <w:rPr>
                <w:sz w:val="20"/>
                <w:szCs w:val="20"/>
                <w:color w:val="auto"/>
              </w:rPr>
            </w:pPr>
            <w:r>
              <w:rPr>
                <w:rFonts w:ascii="Arial" w:cs="Arial" w:eastAsia="Arial" w:hAnsi="Arial"/>
                <w:sz w:val="14"/>
                <w:szCs w:val="14"/>
                <w:color w:val="auto"/>
              </w:rPr>
              <w:t>10.10*</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560" w:type="dxa"/>
            <w:vAlign w:val="bottom"/>
            <w:gridSpan w:val="40"/>
          </w:tcPr>
          <w:p>
            <w:pPr>
              <w:spacing w:after="0"/>
              <w:rPr>
                <w:rFonts w:ascii="Arial" w:cs="Arial" w:eastAsia="Arial" w:hAnsi="Arial"/>
                <w:sz w:val="14"/>
                <w:szCs w:val="14"/>
                <w:color w:val="0000FF"/>
              </w:rPr>
            </w:pPr>
            <w:hyperlink r:id="rId125">
              <w:r>
                <w:rPr>
                  <w:rFonts w:ascii="Arial" w:cs="Arial" w:eastAsia="Arial" w:hAnsi="Arial"/>
                  <w:sz w:val="14"/>
                  <w:szCs w:val="14"/>
                  <w:color w:val="0000FF"/>
                </w:rPr>
                <w:t>Trust Agreement, made as of October 16, 2006, between A&amp;F and Wilmington Trust Company, incorporated herein by reference to Exhibit 10.1 to A&amp;F’s</w:t>
              </w:r>
            </w:hyperlink>
          </w:p>
        </w:tc>
      </w:tr>
      <w:tr>
        <w:trPr>
          <w:trHeight w:val="128"/>
        </w:trPr>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80" w:type="dxa"/>
            <w:vAlign w:val="bottom"/>
            <w:tcBorders>
              <w:top w:val="single" w:sz="8" w:color="0000FF"/>
            </w:tcBorders>
            <w:gridSpan w:val="14"/>
          </w:tcPr>
          <w:p>
            <w:pPr>
              <w:spacing w:after="0" w:line="129" w:lineRule="exact"/>
              <w:rPr>
                <w:rFonts w:ascii="Arial" w:cs="Arial" w:eastAsia="Arial" w:hAnsi="Arial"/>
                <w:sz w:val="14"/>
                <w:szCs w:val="14"/>
                <w:color w:val="0000FF"/>
              </w:rPr>
            </w:pPr>
            <w:hyperlink r:id="rId125">
              <w:r>
                <w:rPr>
                  <w:rFonts w:ascii="Arial" w:cs="Arial" w:eastAsia="Arial" w:hAnsi="Arial"/>
                  <w:sz w:val="14"/>
                  <w:szCs w:val="14"/>
                  <w:color w:val="0000FF"/>
                </w:rPr>
                <w:t>Current Report on Form 8-K dated and filed October 17, 2006 (File No. 001-12107).</w:t>
              </w:r>
            </w:hyperlink>
          </w:p>
        </w:tc>
        <w:tc>
          <w:tcPr>
            <w:tcW w:w="70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r>
      <w:tr>
        <w:trPr>
          <w:trHeight w:val="27"/>
        </w:trPr>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3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600" w:type="dxa"/>
            <w:vAlign w:val="bottom"/>
            <w:shd w:val="clear" w:color="auto" w:fill="F5F5F5"/>
          </w:tcPr>
          <w:p>
            <w:pPr>
              <w:ind w:left="20"/>
              <w:spacing w:after="0"/>
              <w:rPr>
                <w:sz w:val="20"/>
                <w:szCs w:val="20"/>
                <w:color w:val="auto"/>
              </w:rPr>
            </w:pPr>
            <w:r>
              <w:rPr>
                <w:rFonts w:ascii="Arial" w:cs="Arial" w:eastAsia="Arial" w:hAnsi="Arial"/>
                <w:sz w:val="14"/>
                <w:szCs w:val="14"/>
                <w:color w:val="auto"/>
              </w:rPr>
              <w:t>10.11</w:t>
            </w:r>
          </w:p>
        </w:tc>
        <w:tc>
          <w:tcPr>
            <w:tcW w:w="320" w:type="dxa"/>
            <w:vAlign w:val="bottom"/>
            <w:shd w:val="clear" w:color="auto" w:fill="F5F5F5"/>
          </w:tcPr>
          <w:p>
            <w:pPr>
              <w:spacing w:after="0"/>
              <w:rPr>
                <w:sz w:val="14"/>
                <w:szCs w:val="14"/>
                <w:color w:val="auto"/>
              </w:rPr>
            </w:pPr>
          </w:p>
        </w:tc>
        <w:tc>
          <w:tcPr>
            <w:tcW w:w="120" w:type="dxa"/>
            <w:vAlign w:val="bottom"/>
            <w:tcBorders>
              <w:right w:val="single" w:sz="8" w:color="F5F5F5"/>
            </w:tcBorders>
            <w:shd w:val="clear" w:color="auto" w:fill="F5F5F5"/>
          </w:tcPr>
          <w:p>
            <w:pPr>
              <w:spacing w:after="0"/>
              <w:rPr>
                <w:sz w:val="14"/>
                <w:szCs w:val="14"/>
                <w:color w:val="auto"/>
              </w:rPr>
            </w:pPr>
          </w:p>
        </w:tc>
        <w:tc>
          <w:tcPr>
            <w:tcW w:w="10560" w:type="dxa"/>
            <w:vAlign w:val="bottom"/>
            <w:gridSpan w:val="40"/>
            <w:shd w:val="clear" w:color="auto" w:fill="F5F5F5"/>
          </w:tcPr>
          <w:p>
            <w:pPr>
              <w:spacing w:after="0"/>
              <w:rPr>
                <w:rFonts w:ascii="Arial" w:cs="Arial" w:eastAsia="Arial" w:hAnsi="Arial"/>
                <w:sz w:val="14"/>
                <w:szCs w:val="14"/>
                <w:color w:val="0000FF"/>
              </w:rPr>
            </w:pPr>
            <w:hyperlink r:id="rId126">
              <w:r>
                <w:rPr>
                  <w:rFonts w:ascii="Arial" w:cs="Arial" w:eastAsia="Arial" w:hAnsi="Arial"/>
                  <w:sz w:val="14"/>
                  <w:szCs w:val="14"/>
                  <w:color w:val="0000FF"/>
                </w:rPr>
                <w:t>Amended and Restated Credit Agreement, dated as of April 29, 2021, among Abercrombie &amp; Fitch Management Co., as Lead Borrower; the other Borrowers</w:t>
              </w:r>
            </w:hyperlink>
          </w:p>
        </w:tc>
      </w:tr>
      <w:tr>
        <w:trPr>
          <w:trHeight w:val="128"/>
        </w:trPr>
        <w:tc>
          <w:tcPr>
            <w:tcW w:w="600" w:type="dxa"/>
            <w:vAlign w:val="bottom"/>
            <w:tcBorders>
              <w:top w:val="single" w:sz="8" w:color="F5F5F5"/>
              <w:bottom w:val="single" w:sz="8" w:color="F5F5F5"/>
            </w:tcBorders>
            <w:shd w:val="clear" w:color="auto" w:fill="F5F5F5"/>
          </w:tcPr>
          <w:p>
            <w:pPr>
              <w:spacing w:after="0"/>
              <w:rPr>
                <w:sz w:val="11"/>
                <w:szCs w:val="11"/>
                <w:color w:val="auto"/>
              </w:rPr>
            </w:pPr>
          </w:p>
        </w:tc>
        <w:tc>
          <w:tcPr>
            <w:tcW w:w="320" w:type="dxa"/>
            <w:vAlign w:val="bottom"/>
            <w:tcBorders>
              <w:top w:val="single" w:sz="8" w:color="F5F5F5"/>
              <w:bottom w:val="single" w:sz="8" w:color="F5F5F5"/>
            </w:tcBorders>
            <w:shd w:val="clear" w:color="auto" w:fill="F5F5F5"/>
          </w:tcPr>
          <w:p>
            <w:pPr>
              <w:spacing w:after="0"/>
              <w:rPr>
                <w:sz w:val="11"/>
                <w:szCs w:val="11"/>
                <w:color w:val="auto"/>
              </w:rPr>
            </w:pPr>
          </w:p>
        </w:tc>
        <w:tc>
          <w:tcPr>
            <w:tcW w:w="120" w:type="dxa"/>
            <w:vAlign w:val="bottom"/>
            <w:tcBorders>
              <w:top w:val="single" w:sz="8" w:color="F5F5F5"/>
              <w:bottom w:val="single" w:sz="8" w:color="F5F5F5"/>
              <w:right w:val="single" w:sz="8" w:color="F5F5F5"/>
            </w:tcBorders>
            <w:shd w:val="clear" w:color="auto" w:fill="F5F5F5"/>
          </w:tcPr>
          <w:p>
            <w:pPr>
              <w:spacing w:after="0"/>
              <w:rPr>
                <w:sz w:val="11"/>
                <w:szCs w:val="11"/>
                <w:color w:val="auto"/>
              </w:rPr>
            </w:pPr>
          </w:p>
        </w:tc>
        <w:tc>
          <w:tcPr>
            <w:tcW w:w="10440" w:type="dxa"/>
            <w:vAlign w:val="bottom"/>
            <w:tcBorders>
              <w:top w:val="single" w:sz="8" w:color="0000FF"/>
              <w:bottom w:val="single" w:sz="8" w:color="0000FF"/>
            </w:tcBorders>
            <w:gridSpan w:val="34"/>
            <w:shd w:val="clear" w:color="auto" w:fill="F5F5F5"/>
          </w:tcPr>
          <w:p>
            <w:pPr>
              <w:spacing w:after="0" w:line="129" w:lineRule="exact"/>
              <w:rPr>
                <w:rFonts w:ascii="Arial" w:cs="Arial" w:eastAsia="Arial" w:hAnsi="Arial"/>
                <w:sz w:val="14"/>
                <w:szCs w:val="14"/>
                <w:color w:val="0000FF"/>
              </w:rPr>
            </w:pPr>
            <w:hyperlink r:id="rId126">
              <w:r>
                <w:rPr>
                  <w:rFonts w:ascii="Arial" w:cs="Arial" w:eastAsia="Arial" w:hAnsi="Arial"/>
                  <w:sz w:val="14"/>
                  <w:szCs w:val="14"/>
                  <w:color w:val="0000FF"/>
                </w:rPr>
                <w:t>and Guarantors party thereto; Wells Fargo Bank, National Association, as administrative agent for the lenders, a L/C Issuer and Swing Line Lender; the other</w:t>
              </w:r>
            </w:hyperlink>
          </w:p>
        </w:tc>
        <w:tc>
          <w:tcPr>
            <w:tcW w:w="20" w:type="dxa"/>
            <w:vAlign w:val="bottom"/>
            <w:tcBorders>
              <w:top w:val="single" w:sz="8" w:color="F5F5F5"/>
              <w:bottom w:val="single" w:sz="8" w:color="F5F5F5"/>
            </w:tcBorders>
            <w:shd w:val="clear" w:color="auto" w:fill="F5F5F5"/>
          </w:tcPr>
          <w:p>
            <w:pPr>
              <w:spacing w:after="0"/>
              <w:rPr>
                <w:sz w:val="11"/>
                <w:szCs w:val="11"/>
                <w:color w:val="auto"/>
              </w:rPr>
            </w:pPr>
          </w:p>
        </w:tc>
        <w:tc>
          <w:tcPr>
            <w:tcW w:w="20" w:type="dxa"/>
            <w:vAlign w:val="bottom"/>
            <w:tcBorders>
              <w:top w:val="single" w:sz="8" w:color="F5F5F5"/>
              <w:bottom w:val="single" w:sz="8" w:color="F5F5F5"/>
            </w:tcBorders>
            <w:shd w:val="clear" w:color="auto" w:fill="F5F5F5"/>
          </w:tcPr>
          <w:p>
            <w:pPr>
              <w:spacing w:after="0"/>
              <w:rPr>
                <w:sz w:val="11"/>
                <w:szCs w:val="11"/>
                <w:color w:val="auto"/>
              </w:rPr>
            </w:pPr>
          </w:p>
        </w:tc>
        <w:tc>
          <w:tcPr>
            <w:tcW w:w="20" w:type="dxa"/>
            <w:vAlign w:val="bottom"/>
            <w:tcBorders>
              <w:top w:val="single" w:sz="8" w:color="F5F5F5"/>
              <w:bottom w:val="single" w:sz="8" w:color="F5F5F5"/>
            </w:tcBorders>
            <w:shd w:val="clear" w:color="auto" w:fill="F5F5F5"/>
          </w:tcPr>
          <w:p>
            <w:pPr>
              <w:spacing w:after="0"/>
              <w:rPr>
                <w:sz w:val="11"/>
                <w:szCs w:val="11"/>
                <w:color w:val="auto"/>
              </w:rPr>
            </w:pPr>
          </w:p>
        </w:tc>
        <w:tc>
          <w:tcPr>
            <w:tcW w:w="60" w:type="dxa"/>
            <w:vAlign w:val="bottom"/>
            <w:tcBorders>
              <w:top w:val="single" w:sz="8" w:color="F5F5F5"/>
              <w:bottom w:val="single" w:sz="8" w:color="F5F5F5"/>
            </w:tcBorders>
            <w:gridSpan w:val="3"/>
            <w:shd w:val="clear" w:color="auto" w:fill="F5F5F5"/>
          </w:tcPr>
          <w:p>
            <w:pPr>
              <w:spacing w:after="0"/>
              <w:rPr>
                <w:sz w:val="11"/>
                <w:szCs w:val="11"/>
                <w:color w:val="auto"/>
              </w:rPr>
            </w:pPr>
          </w:p>
        </w:tc>
      </w:tr>
      <w:tr>
        <w:trPr>
          <w:trHeight w:val="129"/>
        </w:trPr>
        <w:tc>
          <w:tcPr>
            <w:tcW w:w="600" w:type="dxa"/>
            <w:vAlign w:val="bottom"/>
            <w:tcBorders>
              <w:bottom w:val="single" w:sz="8" w:color="F5F5F5"/>
            </w:tcBorders>
            <w:shd w:val="clear" w:color="auto" w:fill="F5F5F5"/>
          </w:tcPr>
          <w:p>
            <w:pPr>
              <w:spacing w:after="0"/>
              <w:rPr>
                <w:sz w:val="11"/>
                <w:szCs w:val="11"/>
                <w:color w:val="auto"/>
              </w:rPr>
            </w:pPr>
          </w:p>
        </w:tc>
        <w:tc>
          <w:tcPr>
            <w:tcW w:w="320" w:type="dxa"/>
            <w:vAlign w:val="bottom"/>
            <w:tcBorders>
              <w:bottom w:val="single" w:sz="8" w:color="F5F5F5"/>
            </w:tcBorders>
            <w:shd w:val="clear" w:color="auto" w:fill="F5F5F5"/>
          </w:tcPr>
          <w:p>
            <w:pPr>
              <w:spacing w:after="0"/>
              <w:rPr>
                <w:sz w:val="11"/>
                <w:szCs w:val="11"/>
                <w:color w:val="auto"/>
              </w:rPr>
            </w:pPr>
          </w:p>
        </w:tc>
        <w:tc>
          <w:tcPr>
            <w:tcW w:w="120" w:type="dxa"/>
            <w:vAlign w:val="bottom"/>
            <w:tcBorders>
              <w:bottom w:val="single" w:sz="8" w:color="F5F5F5"/>
              <w:right w:val="single" w:sz="8" w:color="F5F5F5"/>
            </w:tcBorders>
            <w:shd w:val="clear" w:color="auto" w:fill="F5F5F5"/>
          </w:tcPr>
          <w:p>
            <w:pPr>
              <w:spacing w:after="0"/>
              <w:rPr>
                <w:sz w:val="11"/>
                <w:szCs w:val="11"/>
                <w:color w:val="auto"/>
              </w:rPr>
            </w:pPr>
          </w:p>
        </w:tc>
        <w:tc>
          <w:tcPr>
            <w:tcW w:w="10440" w:type="dxa"/>
            <w:vAlign w:val="bottom"/>
            <w:tcBorders>
              <w:bottom w:val="single" w:sz="8" w:color="0000FF"/>
            </w:tcBorders>
            <w:gridSpan w:val="34"/>
            <w:shd w:val="clear" w:color="auto" w:fill="F5F5F5"/>
          </w:tcPr>
          <w:p>
            <w:pPr>
              <w:spacing w:after="0" w:line="129" w:lineRule="exact"/>
              <w:rPr>
                <w:rFonts w:ascii="Arial" w:cs="Arial" w:eastAsia="Arial" w:hAnsi="Arial"/>
                <w:sz w:val="14"/>
                <w:szCs w:val="14"/>
                <w:color w:val="0000FF"/>
              </w:rPr>
            </w:pPr>
            <w:hyperlink r:id="rId126">
              <w:r>
                <w:rPr>
                  <w:rFonts w:ascii="Arial" w:cs="Arial" w:eastAsia="Arial" w:hAnsi="Arial"/>
                  <w:sz w:val="14"/>
                  <w:szCs w:val="14"/>
                  <w:color w:val="0000FF"/>
                </w:rPr>
                <w:t>lenders party thereto; Citizens Business Capital, as a L/C Issuer; Citizens Bank, N.A., as Syndication Agent; JPMorgan Chase Bank, N.A., as Documentation</w:t>
              </w:r>
            </w:hyperlink>
          </w:p>
        </w:tc>
        <w:tc>
          <w:tcPr>
            <w:tcW w:w="20" w:type="dxa"/>
            <w:vAlign w:val="bottom"/>
            <w:tcBorders>
              <w:bottom w:val="single" w:sz="8" w:color="0000FF"/>
            </w:tcBorders>
            <w:shd w:val="clear" w:color="auto" w:fill="F5F5F5"/>
          </w:tcPr>
          <w:p>
            <w:pPr>
              <w:spacing w:after="0"/>
              <w:rPr>
                <w:sz w:val="11"/>
                <w:szCs w:val="11"/>
                <w:color w:val="auto"/>
              </w:rPr>
            </w:pPr>
          </w:p>
        </w:tc>
        <w:tc>
          <w:tcPr>
            <w:tcW w:w="20" w:type="dxa"/>
            <w:vAlign w:val="bottom"/>
            <w:tcBorders>
              <w:bottom w:val="single" w:sz="8" w:color="0000FF"/>
            </w:tcBorders>
            <w:shd w:val="clear" w:color="auto" w:fill="F5F5F5"/>
          </w:tcPr>
          <w:p>
            <w:pPr>
              <w:spacing w:after="0"/>
              <w:rPr>
                <w:sz w:val="11"/>
                <w:szCs w:val="11"/>
                <w:color w:val="auto"/>
              </w:rPr>
            </w:pPr>
          </w:p>
        </w:tc>
        <w:tc>
          <w:tcPr>
            <w:tcW w:w="20" w:type="dxa"/>
            <w:vAlign w:val="bottom"/>
            <w:tcBorders>
              <w:bottom w:val="single" w:sz="8" w:color="F5F5F5"/>
            </w:tcBorders>
            <w:shd w:val="clear" w:color="auto" w:fill="F5F5F5"/>
          </w:tcPr>
          <w:p>
            <w:pPr>
              <w:spacing w:after="0"/>
              <w:rPr>
                <w:sz w:val="11"/>
                <w:szCs w:val="11"/>
                <w:color w:val="auto"/>
              </w:rPr>
            </w:pPr>
          </w:p>
        </w:tc>
        <w:tc>
          <w:tcPr>
            <w:tcW w:w="60" w:type="dxa"/>
            <w:vAlign w:val="bottom"/>
            <w:tcBorders>
              <w:bottom w:val="single" w:sz="8" w:color="F5F5F5"/>
            </w:tcBorders>
            <w:gridSpan w:val="3"/>
            <w:shd w:val="clear" w:color="auto" w:fill="F5F5F5"/>
          </w:tcPr>
          <w:p>
            <w:pPr>
              <w:spacing w:after="0"/>
              <w:rPr>
                <w:sz w:val="11"/>
                <w:szCs w:val="11"/>
                <w:color w:val="auto"/>
              </w:rPr>
            </w:pPr>
          </w:p>
        </w:tc>
      </w:tr>
      <w:tr>
        <w:trPr>
          <w:trHeight w:val="115"/>
        </w:trPr>
        <w:tc>
          <w:tcPr>
            <w:tcW w:w="600" w:type="dxa"/>
            <w:vAlign w:val="bottom"/>
            <w:shd w:val="clear" w:color="auto" w:fill="F5F5F5"/>
          </w:tcPr>
          <w:p>
            <w:pPr>
              <w:spacing w:after="0"/>
              <w:rPr>
                <w:sz w:val="10"/>
                <w:szCs w:val="10"/>
                <w:color w:val="auto"/>
              </w:rPr>
            </w:pPr>
          </w:p>
        </w:tc>
        <w:tc>
          <w:tcPr>
            <w:tcW w:w="320" w:type="dxa"/>
            <w:vAlign w:val="bottom"/>
            <w:shd w:val="clear" w:color="auto" w:fill="F5F5F5"/>
          </w:tcPr>
          <w:p>
            <w:pPr>
              <w:spacing w:after="0"/>
              <w:rPr>
                <w:sz w:val="10"/>
                <w:szCs w:val="10"/>
                <w:color w:val="auto"/>
              </w:rPr>
            </w:pPr>
          </w:p>
        </w:tc>
        <w:tc>
          <w:tcPr>
            <w:tcW w:w="120" w:type="dxa"/>
            <w:vAlign w:val="bottom"/>
            <w:tcBorders>
              <w:right w:val="single" w:sz="8" w:color="F5F5F5"/>
            </w:tcBorders>
            <w:shd w:val="clear" w:color="auto" w:fill="F5F5F5"/>
          </w:tcPr>
          <w:p>
            <w:pPr>
              <w:spacing w:after="0"/>
              <w:rPr>
                <w:sz w:val="10"/>
                <w:szCs w:val="10"/>
                <w:color w:val="auto"/>
              </w:rPr>
            </w:pPr>
          </w:p>
        </w:tc>
        <w:tc>
          <w:tcPr>
            <w:tcW w:w="10480" w:type="dxa"/>
            <w:vAlign w:val="bottom"/>
            <w:gridSpan w:val="36"/>
            <w:shd w:val="clear" w:color="auto" w:fill="F5F5F5"/>
          </w:tcPr>
          <w:p>
            <w:pPr>
              <w:spacing w:after="0" w:line="115" w:lineRule="exact"/>
              <w:rPr>
                <w:rFonts w:ascii="Arial" w:cs="Arial" w:eastAsia="Arial" w:hAnsi="Arial"/>
                <w:sz w:val="13"/>
                <w:szCs w:val="13"/>
                <w:color w:val="0000FF"/>
              </w:rPr>
            </w:pPr>
            <w:hyperlink r:id="rId126">
              <w:r>
                <w:rPr>
                  <w:rFonts w:ascii="Arial" w:cs="Arial" w:eastAsia="Arial" w:hAnsi="Arial"/>
                  <w:sz w:val="13"/>
                  <w:szCs w:val="13"/>
                  <w:color w:val="0000FF"/>
                </w:rPr>
                <w:t>Agent and a L/C Issuer; and Wells Fargo Bank, National Association, Citizens Bank, N.A. and JPMorgan Chase Bank, N.A., as Joint Lead Arrangers and Joint</w:t>
              </w:r>
            </w:hyperlink>
          </w:p>
        </w:tc>
        <w:tc>
          <w:tcPr>
            <w:tcW w:w="20" w:type="dxa"/>
            <w:vAlign w:val="bottom"/>
            <w:shd w:val="clear" w:color="auto" w:fill="F5F5F5"/>
          </w:tcPr>
          <w:p>
            <w:pPr>
              <w:spacing w:after="0"/>
              <w:rPr>
                <w:sz w:val="10"/>
                <w:szCs w:val="10"/>
                <w:color w:val="auto"/>
              </w:rPr>
            </w:pPr>
          </w:p>
        </w:tc>
        <w:tc>
          <w:tcPr>
            <w:tcW w:w="60" w:type="dxa"/>
            <w:vAlign w:val="bottom"/>
            <w:gridSpan w:val="3"/>
            <w:shd w:val="clear" w:color="auto" w:fill="F5F5F5"/>
          </w:tcPr>
          <w:p>
            <w:pPr>
              <w:spacing w:after="0"/>
              <w:rPr>
                <w:sz w:val="10"/>
                <w:szCs w:val="10"/>
                <w:color w:val="auto"/>
              </w:rPr>
            </w:pPr>
          </w:p>
        </w:tc>
      </w:tr>
      <w:tr>
        <w:trPr>
          <w:trHeight w:val="128"/>
        </w:trPr>
        <w:tc>
          <w:tcPr>
            <w:tcW w:w="600" w:type="dxa"/>
            <w:vAlign w:val="bottom"/>
            <w:tcBorders>
              <w:top w:val="single" w:sz="8" w:color="F5F5F5"/>
            </w:tcBorders>
            <w:shd w:val="clear" w:color="auto" w:fill="F5F5F5"/>
          </w:tcPr>
          <w:p>
            <w:pPr>
              <w:spacing w:after="0"/>
              <w:rPr>
                <w:sz w:val="11"/>
                <w:szCs w:val="11"/>
                <w:color w:val="auto"/>
              </w:rPr>
            </w:pPr>
          </w:p>
        </w:tc>
        <w:tc>
          <w:tcPr>
            <w:tcW w:w="320" w:type="dxa"/>
            <w:vAlign w:val="bottom"/>
            <w:tcBorders>
              <w:top w:val="single" w:sz="8" w:color="F5F5F5"/>
            </w:tcBorders>
            <w:shd w:val="clear" w:color="auto" w:fill="F5F5F5"/>
          </w:tcPr>
          <w:p>
            <w:pPr>
              <w:spacing w:after="0"/>
              <w:rPr>
                <w:sz w:val="11"/>
                <w:szCs w:val="11"/>
                <w:color w:val="auto"/>
              </w:rPr>
            </w:pPr>
          </w:p>
        </w:tc>
        <w:tc>
          <w:tcPr>
            <w:tcW w:w="120" w:type="dxa"/>
            <w:vAlign w:val="bottom"/>
            <w:tcBorders>
              <w:top w:val="single" w:sz="8" w:color="F5F5F5"/>
              <w:right w:val="single" w:sz="8" w:color="F5F5F5"/>
            </w:tcBorders>
            <w:shd w:val="clear" w:color="auto" w:fill="F5F5F5"/>
          </w:tcPr>
          <w:p>
            <w:pPr>
              <w:spacing w:after="0"/>
              <w:rPr>
                <w:sz w:val="11"/>
                <w:szCs w:val="11"/>
                <w:color w:val="auto"/>
              </w:rPr>
            </w:pPr>
          </w:p>
        </w:tc>
        <w:tc>
          <w:tcPr>
            <w:tcW w:w="10400" w:type="dxa"/>
            <w:vAlign w:val="bottom"/>
            <w:tcBorders>
              <w:top w:val="single" w:sz="8" w:color="0000FF"/>
            </w:tcBorders>
            <w:gridSpan w:val="32"/>
            <w:shd w:val="clear" w:color="auto" w:fill="F5F5F5"/>
          </w:tcPr>
          <w:p>
            <w:pPr>
              <w:spacing w:after="0" w:line="129" w:lineRule="exact"/>
              <w:rPr>
                <w:rFonts w:ascii="Arial" w:cs="Arial" w:eastAsia="Arial" w:hAnsi="Arial"/>
                <w:sz w:val="14"/>
                <w:szCs w:val="14"/>
                <w:color w:val="0000FF"/>
              </w:rPr>
            </w:pPr>
            <w:hyperlink r:id="rId126">
              <w:r>
                <w:rPr>
                  <w:rFonts w:ascii="Arial" w:cs="Arial" w:eastAsia="Arial" w:hAnsi="Arial"/>
                  <w:sz w:val="14"/>
                  <w:szCs w:val="14"/>
                  <w:color w:val="0000FF"/>
                </w:rPr>
                <w:t>Bookrunners, incorporated herein by reference to Exhibit 10.3 to A&amp;F’s Quarterly Report on Form 10 Q for the quarterly period ended May 1, 2021 (File No. 001</w:t>
              </w:r>
            </w:hyperlink>
          </w:p>
        </w:tc>
        <w:tc>
          <w:tcPr>
            <w:tcW w:w="60" w:type="dxa"/>
            <w:vAlign w:val="bottom"/>
            <w:tcBorders>
              <w:top w:val="single" w:sz="8" w:color="F5F5F5"/>
            </w:tcBorders>
            <w:gridSpan w:val="3"/>
            <w:shd w:val="clear" w:color="auto" w:fill="F5F5F5"/>
          </w:tcPr>
          <w:p>
            <w:pPr>
              <w:spacing w:after="0"/>
              <w:rPr>
                <w:sz w:val="11"/>
                <w:szCs w:val="11"/>
                <w:color w:val="auto"/>
              </w:rPr>
            </w:pPr>
          </w:p>
        </w:tc>
        <w:tc>
          <w:tcPr>
            <w:tcW w:w="40" w:type="dxa"/>
            <w:vAlign w:val="bottom"/>
            <w:tcBorders>
              <w:top w:val="single" w:sz="8" w:color="F5F5F5"/>
            </w:tcBorders>
            <w:gridSpan w:val="2"/>
            <w:shd w:val="clear" w:color="auto" w:fill="F5F5F5"/>
          </w:tcPr>
          <w:p>
            <w:pPr>
              <w:spacing w:after="0"/>
              <w:rPr>
                <w:sz w:val="11"/>
                <w:szCs w:val="11"/>
                <w:color w:val="auto"/>
              </w:rPr>
            </w:pPr>
          </w:p>
        </w:tc>
        <w:tc>
          <w:tcPr>
            <w:tcW w:w="60" w:type="dxa"/>
            <w:vAlign w:val="bottom"/>
            <w:tcBorders>
              <w:top w:val="single" w:sz="8" w:color="F5F5F5"/>
            </w:tcBorders>
            <w:gridSpan w:val="3"/>
            <w:shd w:val="clear" w:color="auto" w:fill="F5F5F5"/>
          </w:tcPr>
          <w:p>
            <w:pPr>
              <w:spacing w:after="0"/>
              <w:rPr>
                <w:sz w:val="11"/>
                <w:szCs w:val="11"/>
                <w:color w:val="auto"/>
              </w:rPr>
            </w:pPr>
          </w:p>
        </w:tc>
      </w:tr>
      <w:tr>
        <w:trPr>
          <w:trHeight w:val="128"/>
        </w:trPr>
        <w:tc>
          <w:tcPr>
            <w:tcW w:w="600" w:type="dxa"/>
            <w:vAlign w:val="bottom"/>
            <w:tcBorders>
              <w:top w:val="single" w:sz="8" w:color="F5F5F5"/>
            </w:tcBorders>
            <w:shd w:val="clear" w:color="auto" w:fill="F5F5F5"/>
          </w:tcPr>
          <w:p>
            <w:pPr>
              <w:spacing w:after="0"/>
              <w:rPr>
                <w:sz w:val="11"/>
                <w:szCs w:val="11"/>
                <w:color w:val="auto"/>
              </w:rPr>
            </w:pPr>
          </w:p>
        </w:tc>
        <w:tc>
          <w:tcPr>
            <w:tcW w:w="320" w:type="dxa"/>
            <w:vAlign w:val="bottom"/>
            <w:tcBorders>
              <w:top w:val="single" w:sz="8" w:color="F5F5F5"/>
            </w:tcBorders>
            <w:shd w:val="clear" w:color="auto" w:fill="F5F5F5"/>
          </w:tcPr>
          <w:p>
            <w:pPr>
              <w:spacing w:after="0"/>
              <w:rPr>
                <w:sz w:val="11"/>
                <w:szCs w:val="11"/>
                <w:color w:val="auto"/>
              </w:rPr>
            </w:pPr>
          </w:p>
        </w:tc>
        <w:tc>
          <w:tcPr>
            <w:tcW w:w="120" w:type="dxa"/>
            <w:vAlign w:val="bottom"/>
            <w:tcBorders>
              <w:top w:val="single" w:sz="8" w:color="F5F5F5"/>
              <w:right w:val="single" w:sz="8" w:color="F5F5F5"/>
            </w:tcBorders>
            <w:shd w:val="clear" w:color="auto" w:fill="F5F5F5"/>
          </w:tcPr>
          <w:p>
            <w:pPr>
              <w:spacing w:after="0"/>
              <w:rPr>
                <w:sz w:val="11"/>
                <w:szCs w:val="11"/>
                <w:color w:val="auto"/>
              </w:rPr>
            </w:pPr>
          </w:p>
        </w:tc>
        <w:tc>
          <w:tcPr>
            <w:tcW w:w="4080" w:type="dxa"/>
            <w:vAlign w:val="bottom"/>
            <w:tcBorders>
              <w:top w:val="single" w:sz="8" w:color="0000FF"/>
            </w:tcBorders>
            <w:gridSpan w:val="6"/>
            <w:shd w:val="clear" w:color="auto" w:fill="F5F5F5"/>
          </w:tcPr>
          <w:p>
            <w:pPr>
              <w:spacing w:after="0" w:line="129" w:lineRule="exact"/>
              <w:rPr>
                <w:rFonts w:ascii="Arial" w:cs="Arial" w:eastAsia="Arial" w:hAnsi="Arial"/>
                <w:sz w:val="14"/>
                <w:szCs w:val="14"/>
                <w:color w:val="0000FF"/>
              </w:rPr>
            </w:pPr>
            <w:hyperlink r:id="rId126">
              <w:r>
                <w:rPr>
                  <w:rFonts w:ascii="Arial" w:cs="Arial" w:eastAsia="Arial" w:hAnsi="Arial"/>
                  <w:sz w:val="14"/>
                  <w:szCs w:val="14"/>
                  <w:color w:val="0000FF"/>
                </w:rPr>
                <w:t>12107).†</w:t>
              </w:r>
            </w:hyperlink>
          </w:p>
        </w:tc>
        <w:tc>
          <w:tcPr>
            <w:tcW w:w="800" w:type="dxa"/>
            <w:vAlign w:val="bottom"/>
            <w:tcBorders>
              <w:top w:val="single" w:sz="8" w:color="0000FF"/>
            </w:tcBorders>
            <w:shd w:val="clear" w:color="auto" w:fill="F5F5F5"/>
          </w:tcPr>
          <w:p>
            <w:pPr>
              <w:spacing w:after="0"/>
              <w:rPr>
                <w:sz w:val="11"/>
                <w:szCs w:val="11"/>
                <w:color w:val="auto"/>
              </w:rPr>
            </w:pPr>
          </w:p>
        </w:tc>
        <w:tc>
          <w:tcPr>
            <w:tcW w:w="60" w:type="dxa"/>
            <w:vAlign w:val="bottom"/>
            <w:tcBorders>
              <w:top w:val="single" w:sz="8" w:color="0000FF"/>
            </w:tcBorders>
            <w:shd w:val="clear" w:color="auto" w:fill="F5F5F5"/>
          </w:tcPr>
          <w:p>
            <w:pPr>
              <w:spacing w:after="0"/>
              <w:rPr>
                <w:sz w:val="11"/>
                <w:szCs w:val="11"/>
                <w:color w:val="auto"/>
              </w:rPr>
            </w:pPr>
          </w:p>
        </w:tc>
        <w:tc>
          <w:tcPr>
            <w:tcW w:w="380" w:type="dxa"/>
            <w:vAlign w:val="bottom"/>
            <w:tcBorders>
              <w:top w:val="single" w:sz="8" w:color="0000FF"/>
            </w:tcBorders>
            <w:shd w:val="clear" w:color="auto" w:fill="F5F5F5"/>
          </w:tcPr>
          <w:p>
            <w:pPr>
              <w:spacing w:after="0"/>
              <w:rPr>
                <w:sz w:val="11"/>
                <w:szCs w:val="11"/>
                <w:color w:val="auto"/>
              </w:rPr>
            </w:pPr>
          </w:p>
        </w:tc>
        <w:tc>
          <w:tcPr>
            <w:tcW w:w="640" w:type="dxa"/>
            <w:vAlign w:val="bottom"/>
            <w:tcBorders>
              <w:top w:val="single" w:sz="8" w:color="0000FF"/>
              <w:right w:val="single" w:sz="8" w:color="F5F5F5"/>
            </w:tcBorders>
            <w:shd w:val="clear" w:color="auto" w:fill="F5F5F5"/>
          </w:tcPr>
          <w:p>
            <w:pPr>
              <w:spacing w:after="0"/>
              <w:rPr>
                <w:sz w:val="11"/>
                <w:szCs w:val="11"/>
                <w:color w:val="auto"/>
              </w:rPr>
            </w:pPr>
          </w:p>
        </w:tc>
        <w:tc>
          <w:tcPr>
            <w:tcW w:w="920" w:type="dxa"/>
            <w:vAlign w:val="bottom"/>
            <w:tcBorders>
              <w:top w:val="single" w:sz="8" w:color="0000FF"/>
              <w:left w:val="single" w:sz="8" w:color="F5F5F5"/>
            </w:tcBorders>
            <w:shd w:val="clear" w:color="auto" w:fill="F5F5F5"/>
          </w:tcPr>
          <w:p>
            <w:pPr>
              <w:spacing w:after="0"/>
              <w:rPr>
                <w:sz w:val="11"/>
                <w:szCs w:val="11"/>
                <w:color w:val="auto"/>
              </w:rPr>
            </w:pPr>
          </w:p>
        </w:tc>
        <w:tc>
          <w:tcPr>
            <w:tcW w:w="360" w:type="dxa"/>
            <w:vAlign w:val="bottom"/>
            <w:tcBorders>
              <w:top w:val="single" w:sz="8" w:color="0000FF"/>
            </w:tcBorders>
            <w:shd w:val="clear" w:color="auto" w:fill="F5F5F5"/>
          </w:tcPr>
          <w:p>
            <w:pPr>
              <w:spacing w:after="0"/>
              <w:rPr>
                <w:sz w:val="11"/>
                <w:szCs w:val="11"/>
                <w:color w:val="auto"/>
              </w:rPr>
            </w:pPr>
          </w:p>
        </w:tc>
        <w:tc>
          <w:tcPr>
            <w:tcW w:w="900" w:type="dxa"/>
            <w:vAlign w:val="bottom"/>
            <w:tcBorders>
              <w:top w:val="single" w:sz="8" w:color="0000FF"/>
            </w:tcBorders>
            <w:shd w:val="clear" w:color="auto" w:fill="F5F5F5"/>
          </w:tcPr>
          <w:p>
            <w:pPr>
              <w:spacing w:after="0"/>
              <w:rPr>
                <w:sz w:val="11"/>
                <w:szCs w:val="11"/>
                <w:color w:val="auto"/>
              </w:rPr>
            </w:pPr>
          </w:p>
        </w:tc>
        <w:tc>
          <w:tcPr>
            <w:tcW w:w="140" w:type="dxa"/>
            <w:vAlign w:val="bottom"/>
            <w:tcBorders>
              <w:top w:val="single" w:sz="8" w:color="0000FF"/>
            </w:tcBorders>
            <w:shd w:val="clear" w:color="auto" w:fill="F5F5F5"/>
          </w:tcPr>
          <w:p>
            <w:pPr>
              <w:spacing w:after="0"/>
              <w:rPr>
                <w:sz w:val="11"/>
                <w:szCs w:val="11"/>
                <w:color w:val="auto"/>
              </w:rPr>
            </w:pPr>
          </w:p>
        </w:tc>
        <w:tc>
          <w:tcPr>
            <w:tcW w:w="700" w:type="dxa"/>
            <w:vAlign w:val="bottom"/>
            <w:tcBorders>
              <w:top w:val="single" w:sz="8" w:color="0000FF"/>
            </w:tcBorders>
            <w:shd w:val="clear" w:color="auto" w:fill="F5F5F5"/>
          </w:tcPr>
          <w:p>
            <w:pPr>
              <w:spacing w:after="0"/>
              <w:rPr>
                <w:sz w:val="11"/>
                <w:szCs w:val="11"/>
                <w:color w:val="auto"/>
              </w:rPr>
            </w:pPr>
          </w:p>
        </w:tc>
        <w:tc>
          <w:tcPr>
            <w:tcW w:w="320" w:type="dxa"/>
            <w:vAlign w:val="bottom"/>
            <w:tcBorders>
              <w:top w:val="single" w:sz="8" w:color="0000FF"/>
            </w:tcBorders>
            <w:shd w:val="clear" w:color="auto" w:fill="F5F5F5"/>
          </w:tcPr>
          <w:p>
            <w:pPr>
              <w:spacing w:after="0"/>
              <w:rPr>
                <w:sz w:val="11"/>
                <w:szCs w:val="11"/>
                <w:color w:val="auto"/>
              </w:rPr>
            </w:pPr>
          </w:p>
        </w:tc>
        <w:tc>
          <w:tcPr>
            <w:tcW w:w="380" w:type="dxa"/>
            <w:vAlign w:val="bottom"/>
            <w:tcBorders>
              <w:top w:val="single" w:sz="8" w:color="0000FF"/>
            </w:tcBorders>
            <w:shd w:val="clear" w:color="auto" w:fill="F5F5F5"/>
          </w:tcPr>
          <w:p>
            <w:pPr>
              <w:spacing w:after="0"/>
              <w:rPr>
                <w:sz w:val="11"/>
                <w:szCs w:val="11"/>
                <w:color w:val="auto"/>
              </w:rPr>
            </w:pPr>
          </w:p>
        </w:tc>
        <w:tc>
          <w:tcPr>
            <w:tcW w:w="380" w:type="dxa"/>
            <w:vAlign w:val="bottom"/>
            <w:tcBorders>
              <w:top w:val="single" w:sz="8" w:color="0000FF"/>
            </w:tcBorders>
            <w:shd w:val="clear" w:color="auto" w:fill="F5F5F5"/>
          </w:tcPr>
          <w:p>
            <w:pPr>
              <w:spacing w:after="0"/>
              <w:rPr>
                <w:sz w:val="11"/>
                <w:szCs w:val="11"/>
                <w:color w:val="auto"/>
              </w:rPr>
            </w:pPr>
          </w:p>
        </w:tc>
        <w:tc>
          <w:tcPr>
            <w:tcW w:w="20" w:type="dxa"/>
            <w:vAlign w:val="bottom"/>
            <w:tcBorders>
              <w:top w:val="single" w:sz="8" w:color="0000FF"/>
            </w:tcBorders>
            <w:shd w:val="clear" w:color="auto" w:fill="F5F5F5"/>
          </w:tcPr>
          <w:p>
            <w:pPr>
              <w:spacing w:after="0"/>
              <w:rPr>
                <w:sz w:val="11"/>
                <w:szCs w:val="11"/>
                <w:color w:val="auto"/>
              </w:rPr>
            </w:pPr>
          </w:p>
        </w:tc>
        <w:tc>
          <w:tcPr>
            <w:tcW w:w="80" w:type="dxa"/>
            <w:vAlign w:val="bottom"/>
            <w:tcBorders>
              <w:top w:val="single" w:sz="8" w:color="0000FF"/>
            </w:tcBorders>
            <w:shd w:val="clear" w:color="auto" w:fill="F5F5F5"/>
          </w:tcPr>
          <w:p>
            <w:pPr>
              <w:spacing w:after="0"/>
              <w:rPr>
                <w:sz w:val="11"/>
                <w:szCs w:val="11"/>
                <w:color w:val="auto"/>
              </w:rPr>
            </w:pPr>
          </w:p>
        </w:tc>
        <w:tc>
          <w:tcPr>
            <w:tcW w:w="20" w:type="dxa"/>
            <w:vAlign w:val="bottom"/>
            <w:tcBorders>
              <w:top w:val="single" w:sz="8" w:color="0000FF"/>
            </w:tcBorders>
            <w:shd w:val="clear" w:color="auto" w:fill="F5F5F5"/>
          </w:tcPr>
          <w:p>
            <w:pPr>
              <w:spacing w:after="0"/>
              <w:rPr>
                <w:sz w:val="11"/>
                <w:szCs w:val="11"/>
                <w:color w:val="auto"/>
              </w:rPr>
            </w:pPr>
          </w:p>
        </w:tc>
        <w:tc>
          <w:tcPr>
            <w:tcW w:w="20" w:type="dxa"/>
            <w:vAlign w:val="bottom"/>
            <w:tcBorders>
              <w:top w:val="single" w:sz="8" w:color="0000FF"/>
            </w:tcBorders>
            <w:shd w:val="clear" w:color="auto" w:fill="F5F5F5"/>
          </w:tcPr>
          <w:p>
            <w:pPr>
              <w:spacing w:after="0"/>
              <w:rPr>
                <w:sz w:val="11"/>
                <w:szCs w:val="11"/>
                <w:color w:val="auto"/>
              </w:rPr>
            </w:pPr>
          </w:p>
        </w:tc>
        <w:tc>
          <w:tcPr>
            <w:tcW w:w="20" w:type="dxa"/>
            <w:vAlign w:val="bottom"/>
            <w:tcBorders>
              <w:top w:val="single" w:sz="8" w:color="0000FF"/>
            </w:tcBorders>
            <w:shd w:val="clear" w:color="auto" w:fill="F5F5F5"/>
          </w:tcPr>
          <w:p>
            <w:pPr>
              <w:spacing w:after="0"/>
              <w:rPr>
                <w:sz w:val="11"/>
                <w:szCs w:val="11"/>
                <w:color w:val="auto"/>
              </w:rPr>
            </w:pPr>
          </w:p>
        </w:tc>
        <w:tc>
          <w:tcPr>
            <w:tcW w:w="20" w:type="dxa"/>
            <w:vAlign w:val="bottom"/>
            <w:tcBorders>
              <w:top w:val="single" w:sz="8" w:color="0000FF"/>
            </w:tcBorders>
            <w:shd w:val="clear" w:color="auto" w:fill="F5F5F5"/>
          </w:tcPr>
          <w:p>
            <w:pPr>
              <w:spacing w:after="0"/>
              <w:rPr>
                <w:sz w:val="11"/>
                <w:szCs w:val="11"/>
                <w:color w:val="auto"/>
              </w:rPr>
            </w:pPr>
          </w:p>
        </w:tc>
        <w:tc>
          <w:tcPr>
            <w:tcW w:w="20" w:type="dxa"/>
            <w:vAlign w:val="bottom"/>
            <w:tcBorders>
              <w:top w:val="single" w:sz="8" w:color="0000FF"/>
            </w:tcBorders>
            <w:shd w:val="clear" w:color="auto" w:fill="F5F5F5"/>
          </w:tcPr>
          <w:p>
            <w:pPr>
              <w:spacing w:after="0"/>
              <w:rPr>
                <w:sz w:val="11"/>
                <w:szCs w:val="11"/>
                <w:color w:val="auto"/>
              </w:rPr>
            </w:pPr>
          </w:p>
        </w:tc>
        <w:tc>
          <w:tcPr>
            <w:tcW w:w="20" w:type="dxa"/>
            <w:vAlign w:val="bottom"/>
            <w:tcBorders>
              <w:top w:val="single" w:sz="8" w:color="F5F5F5"/>
            </w:tcBorders>
            <w:shd w:val="clear" w:color="auto" w:fill="F5F5F5"/>
          </w:tcPr>
          <w:p>
            <w:pPr>
              <w:spacing w:after="0"/>
              <w:rPr>
                <w:sz w:val="11"/>
                <w:szCs w:val="11"/>
                <w:color w:val="auto"/>
              </w:rPr>
            </w:pPr>
          </w:p>
        </w:tc>
        <w:tc>
          <w:tcPr>
            <w:tcW w:w="20" w:type="dxa"/>
            <w:vAlign w:val="bottom"/>
            <w:tcBorders>
              <w:top w:val="single" w:sz="8" w:color="F5F5F5"/>
            </w:tcBorders>
            <w:shd w:val="clear" w:color="auto" w:fill="F5F5F5"/>
          </w:tcPr>
          <w:p>
            <w:pPr>
              <w:spacing w:after="0"/>
              <w:rPr>
                <w:sz w:val="11"/>
                <w:szCs w:val="11"/>
                <w:color w:val="auto"/>
              </w:rPr>
            </w:pPr>
          </w:p>
        </w:tc>
        <w:tc>
          <w:tcPr>
            <w:tcW w:w="20" w:type="dxa"/>
            <w:vAlign w:val="bottom"/>
            <w:tcBorders>
              <w:top w:val="single" w:sz="8" w:color="F5F5F5"/>
            </w:tcBorders>
            <w:shd w:val="clear" w:color="auto" w:fill="F5F5F5"/>
          </w:tcPr>
          <w:p>
            <w:pPr>
              <w:spacing w:after="0"/>
              <w:rPr>
                <w:sz w:val="11"/>
                <w:szCs w:val="11"/>
                <w:color w:val="auto"/>
              </w:rPr>
            </w:pPr>
          </w:p>
        </w:tc>
        <w:tc>
          <w:tcPr>
            <w:tcW w:w="20" w:type="dxa"/>
            <w:vAlign w:val="bottom"/>
            <w:tcBorders>
              <w:top w:val="single" w:sz="8" w:color="F5F5F5"/>
            </w:tcBorders>
            <w:shd w:val="clear" w:color="auto" w:fill="F5F5F5"/>
          </w:tcPr>
          <w:p>
            <w:pPr>
              <w:spacing w:after="0"/>
              <w:rPr>
                <w:sz w:val="11"/>
                <w:szCs w:val="11"/>
                <w:color w:val="auto"/>
              </w:rPr>
            </w:pPr>
          </w:p>
        </w:tc>
        <w:tc>
          <w:tcPr>
            <w:tcW w:w="20" w:type="dxa"/>
            <w:vAlign w:val="bottom"/>
            <w:tcBorders>
              <w:top w:val="single" w:sz="8" w:color="F5F5F5"/>
            </w:tcBorders>
            <w:shd w:val="clear" w:color="auto" w:fill="F5F5F5"/>
          </w:tcPr>
          <w:p>
            <w:pPr>
              <w:spacing w:after="0"/>
              <w:rPr>
                <w:sz w:val="11"/>
                <w:szCs w:val="11"/>
                <w:color w:val="auto"/>
              </w:rPr>
            </w:pPr>
          </w:p>
        </w:tc>
        <w:tc>
          <w:tcPr>
            <w:tcW w:w="20" w:type="dxa"/>
            <w:vAlign w:val="bottom"/>
            <w:tcBorders>
              <w:top w:val="single" w:sz="8" w:color="F5F5F5"/>
            </w:tcBorders>
            <w:shd w:val="clear" w:color="auto" w:fill="F5F5F5"/>
          </w:tcPr>
          <w:p>
            <w:pPr>
              <w:spacing w:after="0"/>
              <w:rPr>
                <w:sz w:val="11"/>
                <w:szCs w:val="11"/>
                <w:color w:val="auto"/>
              </w:rPr>
            </w:pPr>
          </w:p>
        </w:tc>
        <w:tc>
          <w:tcPr>
            <w:tcW w:w="20" w:type="dxa"/>
            <w:vAlign w:val="bottom"/>
            <w:tcBorders>
              <w:top w:val="single" w:sz="8" w:color="F5F5F5"/>
            </w:tcBorders>
            <w:shd w:val="clear" w:color="auto" w:fill="F5F5F5"/>
          </w:tcPr>
          <w:p>
            <w:pPr>
              <w:spacing w:after="0"/>
              <w:rPr>
                <w:sz w:val="11"/>
                <w:szCs w:val="11"/>
                <w:color w:val="auto"/>
              </w:rPr>
            </w:pPr>
          </w:p>
        </w:tc>
        <w:tc>
          <w:tcPr>
            <w:tcW w:w="20" w:type="dxa"/>
            <w:vAlign w:val="bottom"/>
            <w:tcBorders>
              <w:top w:val="single" w:sz="8" w:color="F5F5F5"/>
            </w:tcBorders>
            <w:shd w:val="clear" w:color="auto" w:fill="F5F5F5"/>
          </w:tcPr>
          <w:p>
            <w:pPr>
              <w:spacing w:after="0"/>
              <w:rPr>
                <w:sz w:val="11"/>
                <w:szCs w:val="11"/>
                <w:color w:val="auto"/>
              </w:rPr>
            </w:pPr>
          </w:p>
        </w:tc>
        <w:tc>
          <w:tcPr>
            <w:tcW w:w="20" w:type="dxa"/>
            <w:vAlign w:val="bottom"/>
            <w:tcBorders>
              <w:top w:val="single" w:sz="8" w:color="F5F5F5"/>
            </w:tcBorders>
            <w:shd w:val="clear" w:color="auto" w:fill="F5F5F5"/>
          </w:tcPr>
          <w:p>
            <w:pPr>
              <w:spacing w:after="0"/>
              <w:rPr>
                <w:sz w:val="11"/>
                <w:szCs w:val="11"/>
                <w:color w:val="auto"/>
              </w:rPr>
            </w:pPr>
          </w:p>
        </w:tc>
        <w:tc>
          <w:tcPr>
            <w:tcW w:w="20" w:type="dxa"/>
            <w:vAlign w:val="bottom"/>
            <w:tcBorders>
              <w:top w:val="single" w:sz="8" w:color="F5F5F5"/>
            </w:tcBorders>
            <w:shd w:val="clear" w:color="auto" w:fill="F5F5F5"/>
          </w:tcPr>
          <w:p>
            <w:pPr>
              <w:spacing w:after="0"/>
              <w:rPr>
                <w:sz w:val="11"/>
                <w:szCs w:val="11"/>
                <w:color w:val="auto"/>
              </w:rPr>
            </w:pPr>
          </w:p>
        </w:tc>
        <w:tc>
          <w:tcPr>
            <w:tcW w:w="20" w:type="dxa"/>
            <w:vAlign w:val="bottom"/>
            <w:tcBorders>
              <w:top w:val="single" w:sz="8" w:color="F5F5F5"/>
            </w:tcBorders>
            <w:shd w:val="clear" w:color="auto" w:fill="F5F5F5"/>
          </w:tcPr>
          <w:p>
            <w:pPr>
              <w:spacing w:after="0"/>
              <w:rPr>
                <w:sz w:val="11"/>
                <w:szCs w:val="11"/>
                <w:color w:val="auto"/>
              </w:rPr>
            </w:pPr>
          </w:p>
        </w:tc>
        <w:tc>
          <w:tcPr>
            <w:tcW w:w="20" w:type="dxa"/>
            <w:vAlign w:val="bottom"/>
            <w:tcBorders>
              <w:top w:val="single" w:sz="8" w:color="F5F5F5"/>
            </w:tcBorders>
            <w:shd w:val="clear" w:color="auto" w:fill="F5F5F5"/>
          </w:tcPr>
          <w:p>
            <w:pPr>
              <w:spacing w:after="0"/>
              <w:rPr>
                <w:sz w:val="11"/>
                <w:szCs w:val="11"/>
                <w:color w:val="auto"/>
              </w:rPr>
            </w:pPr>
          </w:p>
        </w:tc>
        <w:tc>
          <w:tcPr>
            <w:tcW w:w="20" w:type="dxa"/>
            <w:vAlign w:val="bottom"/>
            <w:tcBorders>
              <w:top w:val="single" w:sz="8" w:color="F5F5F5"/>
            </w:tcBorders>
            <w:shd w:val="clear" w:color="auto" w:fill="F5F5F5"/>
          </w:tcPr>
          <w:p>
            <w:pPr>
              <w:spacing w:after="0"/>
              <w:rPr>
                <w:sz w:val="11"/>
                <w:szCs w:val="11"/>
                <w:color w:val="auto"/>
              </w:rPr>
            </w:pPr>
          </w:p>
        </w:tc>
        <w:tc>
          <w:tcPr>
            <w:tcW w:w="20" w:type="dxa"/>
            <w:vAlign w:val="bottom"/>
            <w:tcBorders>
              <w:top w:val="single" w:sz="8" w:color="F5F5F5"/>
            </w:tcBorders>
            <w:shd w:val="clear" w:color="auto" w:fill="F5F5F5"/>
          </w:tcPr>
          <w:p>
            <w:pPr>
              <w:spacing w:after="0"/>
              <w:rPr>
                <w:sz w:val="11"/>
                <w:szCs w:val="11"/>
                <w:color w:val="auto"/>
              </w:rPr>
            </w:pPr>
          </w:p>
        </w:tc>
        <w:tc>
          <w:tcPr>
            <w:tcW w:w="20" w:type="dxa"/>
            <w:vAlign w:val="bottom"/>
            <w:tcBorders>
              <w:top w:val="single" w:sz="8" w:color="F5F5F5"/>
            </w:tcBorders>
            <w:shd w:val="clear" w:color="auto" w:fill="F5F5F5"/>
          </w:tcPr>
          <w:p>
            <w:pPr>
              <w:spacing w:after="0"/>
              <w:rPr>
                <w:sz w:val="11"/>
                <w:szCs w:val="11"/>
                <w:color w:val="auto"/>
              </w:rPr>
            </w:pPr>
          </w:p>
        </w:tc>
      </w:tr>
      <w:tr>
        <w:trPr>
          <w:trHeight w:val="27"/>
        </w:trPr>
        <w:tc>
          <w:tcPr>
            <w:tcW w:w="600" w:type="dxa"/>
            <w:vAlign w:val="bottom"/>
            <w:shd w:val="clear" w:color="auto" w:fill="F5F5F5"/>
          </w:tcPr>
          <w:p>
            <w:pPr>
              <w:spacing w:after="0"/>
              <w:rPr>
                <w:sz w:val="2"/>
                <w:szCs w:val="2"/>
                <w:color w:val="auto"/>
              </w:rPr>
            </w:pPr>
          </w:p>
        </w:tc>
        <w:tc>
          <w:tcPr>
            <w:tcW w:w="320" w:type="dxa"/>
            <w:vAlign w:val="bottom"/>
            <w:shd w:val="clear" w:color="auto" w:fill="F5F5F5"/>
          </w:tcPr>
          <w:p>
            <w:pPr>
              <w:spacing w:after="0"/>
              <w:rPr>
                <w:sz w:val="2"/>
                <w:szCs w:val="2"/>
                <w:color w:val="auto"/>
              </w:rPr>
            </w:pPr>
          </w:p>
        </w:tc>
        <w:tc>
          <w:tcPr>
            <w:tcW w:w="120" w:type="dxa"/>
            <w:vAlign w:val="bottom"/>
            <w:tcBorders>
              <w:right w:val="single" w:sz="8" w:color="F5F5F5"/>
            </w:tcBorders>
            <w:shd w:val="clear" w:color="auto" w:fill="F5F5F5"/>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80" w:type="dxa"/>
            <w:vAlign w:val="bottom"/>
            <w:shd w:val="clear" w:color="auto" w:fill="F5F5F5"/>
          </w:tcPr>
          <w:p>
            <w:pPr>
              <w:spacing w:after="0"/>
              <w:rPr>
                <w:sz w:val="2"/>
                <w:szCs w:val="2"/>
                <w:color w:val="auto"/>
              </w:rPr>
            </w:pPr>
          </w:p>
        </w:tc>
        <w:tc>
          <w:tcPr>
            <w:tcW w:w="320" w:type="dxa"/>
            <w:vAlign w:val="bottom"/>
            <w:shd w:val="clear" w:color="auto" w:fill="F5F5F5"/>
          </w:tcPr>
          <w:p>
            <w:pPr>
              <w:spacing w:after="0"/>
              <w:rPr>
                <w:sz w:val="2"/>
                <w:szCs w:val="2"/>
                <w:color w:val="auto"/>
              </w:rPr>
            </w:pPr>
          </w:p>
        </w:tc>
        <w:tc>
          <w:tcPr>
            <w:tcW w:w="2300" w:type="dxa"/>
            <w:vAlign w:val="bottom"/>
            <w:shd w:val="clear" w:color="auto" w:fill="F5F5F5"/>
          </w:tcPr>
          <w:p>
            <w:pPr>
              <w:spacing w:after="0"/>
              <w:rPr>
                <w:sz w:val="2"/>
                <w:szCs w:val="2"/>
                <w:color w:val="auto"/>
              </w:rPr>
            </w:pPr>
          </w:p>
        </w:tc>
        <w:tc>
          <w:tcPr>
            <w:tcW w:w="420" w:type="dxa"/>
            <w:vAlign w:val="bottom"/>
            <w:shd w:val="clear" w:color="auto" w:fill="F5F5F5"/>
          </w:tcPr>
          <w:p>
            <w:pPr>
              <w:spacing w:after="0"/>
              <w:rPr>
                <w:sz w:val="2"/>
                <w:szCs w:val="2"/>
                <w:color w:val="auto"/>
              </w:rPr>
            </w:pPr>
          </w:p>
        </w:tc>
        <w:tc>
          <w:tcPr>
            <w:tcW w:w="800" w:type="dxa"/>
            <w:vAlign w:val="bottom"/>
            <w:shd w:val="clear" w:color="auto" w:fill="F5F5F5"/>
          </w:tcPr>
          <w:p>
            <w:pPr>
              <w:spacing w:after="0"/>
              <w:rPr>
                <w:sz w:val="2"/>
                <w:szCs w:val="2"/>
                <w:color w:val="auto"/>
              </w:rPr>
            </w:pPr>
          </w:p>
        </w:tc>
        <w:tc>
          <w:tcPr>
            <w:tcW w:w="60" w:type="dxa"/>
            <w:vAlign w:val="bottom"/>
            <w:shd w:val="clear" w:color="auto" w:fill="F5F5F5"/>
          </w:tcPr>
          <w:p>
            <w:pPr>
              <w:spacing w:after="0"/>
              <w:rPr>
                <w:sz w:val="2"/>
                <w:szCs w:val="2"/>
                <w:color w:val="auto"/>
              </w:rPr>
            </w:pPr>
          </w:p>
        </w:tc>
        <w:tc>
          <w:tcPr>
            <w:tcW w:w="380" w:type="dxa"/>
            <w:vAlign w:val="bottom"/>
            <w:shd w:val="clear" w:color="auto" w:fill="F5F5F5"/>
          </w:tcPr>
          <w:p>
            <w:pPr>
              <w:spacing w:after="0"/>
              <w:rPr>
                <w:sz w:val="2"/>
                <w:szCs w:val="2"/>
                <w:color w:val="auto"/>
              </w:rPr>
            </w:pPr>
          </w:p>
        </w:tc>
        <w:tc>
          <w:tcPr>
            <w:tcW w:w="640" w:type="dxa"/>
            <w:vAlign w:val="bottom"/>
            <w:tcBorders>
              <w:right w:val="single" w:sz="8" w:color="F5F5F5"/>
            </w:tcBorders>
            <w:shd w:val="clear" w:color="auto" w:fill="F5F5F5"/>
          </w:tcPr>
          <w:p>
            <w:pPr>
              <w:spacing w:after="0"/>
              <w:rPr>
                <w:sz w:val="2"/>
                <w:szCs w:val="2"/>
                <w:color w:val="auto"/>
              </w:rPr>
            </w:pPr>
          </w:p>
        </w:tc>
        <w:tc>
          <w:tcPr>
            <w:tcW w:w="920" w:type="dxa"/>
            <w:vAlign w:val="bottom"/>
            <w:tcBorders>
              <w:left w:val="single" w:sz="8" w:color="F5F5F5"/>
            </w:tcBorders>
            <w:shd w:val="clear" w:color="auto" w:fill="F5F5F5"/>
          </w:tcPr>
          <w:p>
            <w:pPr>
              <w:spacing w:after="0"/>
              <w:rPr>
                <w:sz w:val="2"/>
                <w:szCs w:val="2"/>
                <w:color w:val="auto"/>
              </w:rPr>
            </w:pPr>
          </w:p>
        </w:tc>
        <w:tc>
          <w:tcPr>
            <w:tcW w:w="360" w:type="dxa"/>
            <w:vAlign w:val="bottom"/>
            <w:shd w:val="clear" w:color="auto" w:fill="F5F5F5"/>
          </w:tcPr>
          <w:p>
            <w:pPr>
              <w:spacing w:after="0"/>
              <w:rPr>
                <w:sz w:val="2"/>
                <w:szCs w:val="2"/>
                <w:color w:val="auto"/>
              </w:rPr>
            </w:pPr>
          </w:p>
        </w:tc>
        <w:tc>
          <w:tcPr>
            <w:tcW w:w="900" w:type="dxa"/>
            <w:vAlign w:val="bottom"/>
            <w:shd w:val="clear" w:color="auto" w:fill="F5F5F5"/>
          </w:tcPr>
          <w:p>
            <w:pPr>
              <w:spacing w:after="0"/>
              <w:rPr>
                <w:sz w:val="2"/>
                <w:szCs w:val="2"/>
                <w:color w:val="auto"/>
              </w:rPr>
            </w:pPr>
          </w:p>
        </w:tc>
        <w:tc>
          <w:tcPr>
            <w:tcW w:w="140" w:type="dxa"/>
            <w:vAlign w:val="bottom"/>
            <w:shd w:val="clear" w:color="auto" w:fill="F5F5F5"/>
          </w:tcPr>
          <w:p>
            <w:pPr>
              <w:spacing w:after="0"/>
              <w:rPr>
                <w:sz w:val="2"/>
                <w:szCs w:val="2"/>
                <w:color w:val="auto"/>
              </w:rPr>
            </w:pPr>
          </w:p>
        </w:tc>
        <w:tc>
          <w:tcPr>
            <w:tcW w:w="700" w:type="dxa"/>
            <w:vAlign w:val="bottom"/>
            <w:shd w:val="clear" w:color="auto" w:fill="F5F5F5"/>
          </w:tcPr>
          <w:p>
            <w:pPr>
              <w:spacing w:after="0"/>
              <w:rPr>
                <w:sz w:val="2"/>
                <w:szCs w:val="2"/>
                <w:color w:val="auto"/>
              </w:rPr>
            </w:pPr>
          </w:p>
        </w:tc>
        <w:tc>
          <w:tcPr>
            <w:tcW w:w="320" w:type="dxa"/>
            <w:vAlign w:val="bottom"/>
            <w:shd w:val="clear" w:color="auto" w:fill="F5F5F5"/>
          </w:tcPr>
          <w:p>
            <w:pPr>
              <w:spacing w:after="0"/>
              <w:rPr>
                <w:sz w:val="2"/>
                <w:szCs w:val="2"/>
                <w:color w:val="auto"/>
              </w:rPr>
            </w:pPr>
          </w:p>
        </w:tc>
        <w:tc>
          <w:tcPr>
            <w:tcW w:w="380" w:type="dxa"/>
            <w:vAlign w:val="bottom"/>
            <w:shd w:val="clear" w:color="auto" w:fill="F5F5F5"/>
          </w:tcPr>
          <w:p>
            <w:pPr>
              <w:spacing w:after="0"/>
              <w:rPr>
                <w:sz w:val="2"/>
                <w:szCs w:val="2"/>
                <w:color w:val="auto"/>
              </w:rPr>
            </w:pPr>
          </w:p>
        </w:tc>
        <w:tc>
          <w:tcPr>
            <w:tcW w:w="38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8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c>
          <w:tcPr>
            <w:tcW w:w="20" w:type="dxa"/>
            <w:vAlign w:val="bottom"/>
            <w:shd w:val="clear" w:color="auto" w:fill="F5F5F5"/>
          </w:tcPr>
          <w:p>
            <w:pPr>
              <w:spacing w:after="0"/>
              <w:rPr>
                <w:sz w:val="2"/>
                <w:szCs w:val="2"/>
                <w:color w:val="auto"/>
              </w:rPr>
            </w:pPr>
          </w:p>
        </w:tc>
      </w:tr>
      <w:tr>
        <w:trPr>
          <w:trHeight w:val="162"/>
        </w:trPr>
        <w:tc>
          <w:tcPr>
            <w:tcW w:w="600" w:type="dxa"/>
            <w:vAlign w:val="bottom"/>
          </w:tcPr>
          <w:p>
            <w:pPr>
              <w:ind w:left="20"/>
              <w:spacing w:after="0"/>
              <w:rPr>
                <w:sz w:val="20"/>
                <w:szCs w:val="20"/>
                <w:color w:val="auto"/>
              </w:rPr>
            </w:pPr>
            <w:r>
              <w:rPr>
                <w:rFonts w:ascii="Arial" w:cs="Arial" w:eastAsia="Arial" w:hAnsi="Arial"/>
                <w:sz w:val="14"/>
                <w:szCs w:val="14"/>
                <w:color w:val="auto"/>
              </w:rPr>
              <w:t>10.12</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560" w:type="dxa"/>
            <w:vAlign w:val="bottom"/>
            <w:gridSpan w:val="40"/>
          </w:tcPr>
          <w:p>
            <w:pPr>
              <w:spacing w:after="0"/>
              <w:rPr>
                <w:rFonts w:ascii="Arial" w:cs="Arial" w:eastAsia="Arial" w:hAnsi="Arial"/>
                <w:sz w:val="14"/>
                <w:szCs w:val="14"/>
                <w:color w:val="0000FF"/>
              </w:rPr>
            </w:pPr>
            <w:hyperlink r:id="rId127">
              <w:r>
                <w:rPr>
                  <w:rFonts w:ascii="Arial" w:cs="Arial" w:eastAsia="Arial" w:hAnsi="Arial"/>
                  <w:sz w:val="14"/>
                  <w:szCs w:val="14"/>
                  <w:color w:val="0000FF"/>
                </w:rPr>
                <w:t>First Amendment to Amended and Restated Credit Agreement and First Amendment to Security Agreement, dated as of March 15, 2023, among Abercrombie</w:t>
              </w:r>
            </w:hyperlink>
          </w:p>
        </w:tc>
      </w:tr>
      <w:tr>
        <w:trPr>
          <w:trHeight w:val="128"/>
        </w:trPr>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60" w:type="dxa"/>
            <w:vAlign w:val="bottom"/>
            <w:tcBorders>
              <w:top w:val="single" w:sz="8" w:color="0000FF"/>
              <w:bottom w:val="single" w:sz="8" w:color="0000FF"/>
            </w:tcBorders>
            <w:gridSpan w:val="18"/>
          </w:tcPr>
          <w:p>
            <w:pPr>
              <w:spacing w:after="0" w:line="129" w:lineRule="exact"/>
              <w:rPr>
                <w:rFonts w:ascii="Arial" w:cs="Arial" w:eastAsia="Arial" w:hAnsi="Arial"/>
                <w:sz w:val="14"/>
                <w:szCs w:val="14"/>
                <w:color w:val="0000FF"/>
              </w:rPr>
            </w:pPr>
            <w:hyperlink r:id="rId127">
              <w:r>
                <w:rPr>
                  <w:rFonts w:ascii="Arial" w:cs="Arial" w:eastAsia="Arial" w:hAnsi="Arial"/>
                  <w:sz w:val="14"/>
                  <w:szCs w:val="14"/>
                  <w:color w:val="0000FF"/>
                </w:rPr>
                <w:t>&amp; Fitch Management Co., as Lead Borrower; the other Borrowers and Guarantors party thereto, and Wells Fargo Bank, National Association, as administrative</w:t>
              </w:r>
            </w:hyperlink>
          </w:p>
        </w:tc>
        <w:tc>
          <w:tcPr>
            <w:tcW w:w="20" w:type="dxa"/>
            <w:vAlign w:val="bottom"/>
            <w:tcBorders>
              <w:bottom w:val="single" w:sz="8" w:color="0000FF"/>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120" w:type="dxa"/>
            <w:vAlign w:val="bottom"/>
            <w:gridSpan w:val="6"/>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r>
      <w:tr>
        <w:trPr>
          <w:trHeight w:val="129"/>
        </w:trPr>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80" w:type="dxa"/>
            <w:vAlign w:val="bottom"/>
            <w:tcBorders>
              <w:bottom w:val="single" w:sz="8" w:color="0000FF"/>
            </w:tcBorders>
            <w:gridSpan w:val="19"/>
          </w:tcPr>
          <w:p>
            <w:pPr>
              <w:spacing w:after="0" w:line="129" w:lineRule="exact"/>
              <w:rPr>
                <w:rFonts w:ascii="Arial" w:cs="Arial" w:eastAsia="Arial" w:hAnsi="Arial"/>
                <w:sz w:val="14"/>
                <w:szCs w:val="14"/>
                <w:color w:val="0000FF"/>
              </w:rPr>
            </w:pPr>
            <w:hyperlink r:id="rId127">
              <w:r>
                <w:rPr>
                  <w:rFonts w:ascii="Arial" w:cs="Arial" w:eastAsia="Arial" w:hAnsi="Arial"/>
                  <w:sz w:val="14"/>
                  <w:szCs w:val="14"/>
                  <w:color w:val="0000FF"/>
                </w:rPr>
                <w:t>agent for the Lenders, incorporated herein by reference to Exhibit 10.12 to A&amp;F's Annual Report on Form 10-K for the fiscal year ended January 28, 2023 (File</w:t>
              </w:r>
            </w:hyperlink>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120" w:type="dxa"/>
            <w:vAlign w:val="bottom"/>
            <w:gridSpan w:val="6"/>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r>
      <w:tr>
        <w:trPr>
          <w:trHeight w:val="115"/>
        </w:trPr>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80" w:type="dxa"/>
            <w:vAlign w:val="bottom"/>
            <w:gridSpan w:val="6"/>
          </w:tcPr>
          <w:p>
            <w:pPr>
              <w:spacing w:after="0" w:line="115" w:lineRule="exact"/>
              <w:rPr>
                <w:rFonts w:ascii="Arial" w:cs="Arial" w:eastAsia="Arial" w:hAnsi="Arial"/>
                <w:sz w:val="13"/>
                <w:szCs w:val="13"/>
                <w:color w:val="0000FF"/>
              </w:rPr>
            </w:pPr>
            <w:hyperlink r:id="rId127">
              <w:r>
                <w:rPr>
                  <w:rFonts w:ascii="Arial" w:cs="Arial" w:eastAsia="Arial" w:hAnsi="Arial"/>
                  <w:sz w:val="13"/>
                  <w:szCs w:val="13"/>
                  <w:color w:val="0000FF"/>
                </w:rPr>
                <w:t>No. 001-12107).</w:t>
              </w:r>
            </w:hyperlink>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600" w:type="dxa"/>
            <w:vAlign w:val="bottom"/>
            <w:shd w:val="clear" w:color="auto" w:fill="F5F5F5"/>
          </w:tcPr>
          <w:p>
            <w:pPr>
              <w:ind w:left="20"/>
              <w:spacing w:after="0"/>
              <w:rPr>
                <w:sz w:val="20"/>
                <w:szCs w:val="20"/>
                <w:color w:val="auto"/>
              </w:rPr>
            </w:pPr>
            <w:r>
              <w:rPr>
                <w:rFonts w:ascii="Arial" w:cs="Arial" w:eastAsia="Arial" w:hAnsi="Arial"/>
                <w:sz w:val="14"/>
                <w:szCs w:val="14"/>
                <w:color w:val="auto"/>
              </w:rPr>
              <w:t>10.13</w:t>
            </w:r>
          </w:p>
        </w:tc>
        <w:tc>
          <w:tcPr>
            <w:tcW w:w="320" w:type="dxa"/>
            <w:vAlign w:val="bottom"/>
            <w:shd w:val="clear" w:color="auto" w:fill="F5F5F5"/>
          </w:tcPr>
          <w:p>
            <w:pPr>
              <w:spacing w:after="0"/>
              <w:rPr>
                <w:sz w:val="14"/>
                <w:szCs w:val="14"/>
                <w:color w:val="auto"/>
              </w:rPr>
            </w:pPr>
          </w:p>
        </w:tc>
        <w:tc>
          <w:tcPr>
            <w:tcW w:w="120" w:type="dxa"/>
            <w:vAlign w:val="bottom"/>
            <w:tcBorders>
              <w:right w:val="single" w:sz="8" w:color="F5F5F5"/>
            </w:tcBorders>
            <w:shd w:val="clear" w:color="auto" w:fill="F5F5F5"/>
          </w:tcPr>
          <w:p>
            <w:pPr>
              <w:spacing w:after="0"/>
              <w:rPr>
                <w:sz w:val="14"/>
                <w:szCs w:val="14"/>
                <w:color w:val="auto"/>
              </w:rPr>
            </w:pPr>
          </w:p>
        </w:tc>
        <w:tc>
          <w:tcPr>
            <w:tcW w:w="10560" w:type="dxa"/>
            <w:vAlign w:val="bottom"/>
            <w:gridSpan w:val="40"/>
            <w:shd w:val="clear" w:color="auto" w:fill="F5F5F5"/>
          </w:tcPr>
          <w:p>
            <w:pPr>
              <w:spacing w:after="0"/>
              <w:rPr>
                <w:rFonts w:ascii="Arial" w:cs="Arial" w:eastAsia="Arial" w:hAnsi="Arial"/>
                <w:sz w:val="14"/>
                <w:szCs w:val="14"/>
                <w:color w:val="0000FF"/>
              </w:rPr>
            </w:pPr>
            <w:hyperlink r:id="rId128">
              <w:r>
                <w:rPr>
                  <w:rFonts w:ascii="Arial" w:cs="Arial" w:eastAsia="Arial" w:hAnsi="Arial"/>
                  <w:sz w:val="14"/>
                  <w:szCs w:val="14"/>
                  <w:color w:val="0000FF"/>
                </w:rPr>
                <w:t>Second Amendment to Amended and Restated Credit Agreement Credit Agreement, dated as of August 2, 2024, among Abercrombie &amp; Fitch Management</w:t>
              </w:r>
            </w:hyperlink>
          </w:p>
        </w:tc>
      </w:tr>
      <w:tr>
        <w:trPr>
          <w:trHeight w:val="128"/>
        </w:trPr>
        <w:tc>
          <w:tcPr>
            <w:tcW w:w="600" w:type="dxa"/>
            <w:vAlign w:val="bottom"/>
            <w:tcBorders>
              <w:top w:val="single" w:sz="8" w:color="F5F5F5"/>
              <w:bottom w:val="single" w:sz="8" w:color="F5F5F5"/>
            </w:tcBorders>
            <w:shd w:val="clear" w:color="auto" w:fill="F5F5F5"/>
          </w:tcPr>
          <w:p>
            <w:pPr>
              <w:spacing w:after="0"/>
              <w:rPr>
                <w:sz w:val="11"/>
                <w:szCs w:val="11"/>
                <w:color w:val="auto"/>
              </w:rPr>
            </w:pPr>
          </w:p>
        </w:tc>
        <w:tc>
          <w:tcPr>
            <w:tcW w:w="320" w:type="dxa"/>
            <w:vAlign w:val="bottom"/>
            <w:tcBorders>
              <w:top w:val="single" w:sz="8" w:color="F5F5F5"/>
              <w:bottom w:val="single" w:sz="8" w:color="F5F5F5"/>
            </w:tcBorders>
            <w:shd w:val="clear" w:color="auto" w:fill="F5F5F5"/>
          </w:tcPr>
          <w:p>
            <w:pPr>
              <w:spacing w:after="0"/>
              <w:rPr>
                <w:sz w:val="11"/>
                <w:szCs w:val="11"/>
                <w:color w:val="auto"/>
              </w:rPr>
            </w:pPr>
          </w:p>
        </w:tc>
        <w:tc>
          <w:tcPr>
            <w:tcW w:w="120" w:type="dxa"/>
            <w:vAlign w:val="bottom"/>
            <w:tcBorders>
              <w:top w:val="single" w:sz="8" w:color="F5F5F5"/>
              <w:bottom w:val="single" w:sz="8" w:color="F5F5F5"/>
              <w:right w:val="single" w:sz="8" w:color="F5F5F5"/>
            </w:tcBorders>
            <w:shd w:val="clear" w:color="auto" w:fill="F5F5F5"/>
          </w:tcPr>
          <w:p>
            <w:pPr>
              <w:spacing w:after="0"/>
              <w:rPr>
                <w:sz w:val="11"/>
                <w:szCs w:val="11"/>
                <w:color w:val="auto"/>
              </w:rPr>
            </w:pPr>
          </w:p>
        </w:tc>
        <w:tc>
          <w:tcPr>
            <w:tcW w:w="10300" w:type="dxa"/>
            <w:vAlign w:val="bottom"/>
            <w:tcBorders>
              <w:top w:val="single" w:sz="8" w:color="0000FF"/>
              <w:bottom w:val="single" w:sz="8" w:color="0000FF"/>
            </w:tcBorders>
            <w:gridSpan w:val="27"/>
            <w:shd w:val="clear" w:color="auto" w:fill="F5F5F5"/>
          </w:tcPr>
          <w:p>
            <w:pPr>
              <w:spacing w:after="0" w:line="129" w:lineRule="exact"/>
              <w:rPr>
                <w:rFonts w:ascii="Arial" w:cs="Arial" w:eastAsia="Arial" w:hAnsi="Arial"/>
                <w:sz w:val="14"/>
                <w:szCs w:val="14"/>
                <w:color w:val="0000FF"/>
              </w:rPr>
            </w:pPr>
            <w:hyperlink r:id="rId128">
              <w:r>
                <w:rPr>
                  <w:rFonts w:ascii="Arial" w:cs="Arial" w:eastAsia="Arial" w:hAnsi="Arial"/>
                  <w:sz w:val="14"/>
                  <w:szCs w:val="14"/>
                  <w:color w:val="0000FF"/>
                </w:rPr>
                <w:t>Co., as Lead Borrower; the other Borrowers and Guarantors party thereto, the Lenders party thereto, and Wells Fargo Bank, National Association, as</w:t>
              </w:r>
            </w:hyperlink>
          </w:p>
        </w:tc>
        <w:tc>
          <w:tcPr>
            <w:tcW w:w="40" w:type="dxa"/>
            <w:vAlign w:val="bottom"/>
            <w:tcBorders>
              <w:top w:val="single" w:sz="8" w:color="F5F5F5"/>
              <w:bottom w:val="single" w:sz="8" w:color="0000FF"/>
            </w:tcBorders>
            <w:gridSpan w:val="2"/>
            <w:shd w:val="clear" w:color="auto" w:fill="F5F5F5"/>
          </w:tcPr>
          <w:p>
            <w:pPr>
              <w:spacing w:after="0"/>
              <w:rPr>
                <w:sz w:val="11"/>
                <w:szCs w:val="11"/>
                <w:color w:val="auto"/>
              </w:rPr>
            </w:pPr>
          </w:p>
        </w:tc>
        <w:tc>
          <w:tcPr>
            <w:tcW w:w="120" w:type="dxa"/>
            <w:vAlign w:val="bottom"/>
            <w:tcBorders>
              <w:top w:val="single" w:sz="8" w:color="F5F5F5"/>
              <w:bottom w:val="single" w:sz="8" w:color="0000FF"/>
            </w:tcBorders>
            <w:gridSpan w:val="6"/>
            <w:shd w:val="clear" w:color="auto" w:fill="F5F5F5"/>
          </w:tcPr>
          <w:p>
            <w:pPr>
              <w:spacing w:after="0"/>
              <w:rPr>
                <w:sz w:val="11"/>
                <w:szCs w:val="11"/>
                <w:color w:val="auto"/>
              </w:rPr>
            </w:pPr>
          </w:p>
        </w:tc>
        <w:tc>
          <w:tcPr>
            <w:tcW w:w="40" w:type="dxa"/>
            <w:vAlign w:val="bottom"/>
            <w:tcBorders>
              <w:top w:val="single" w:sz="8" w:color="F5F5F5"/>
              <w:bottom w:val="single" w:sz="8" w:color="F5F5F5"/>
            </w:tcBorders>
            <w:gridSpan w:val="2"/>
            <w:shd w:val="clear" w:color="auto" w:fill="F5F5F5"/>
          </w:tcPr>
          <w:p>
            <w:pPr>
              <w:spacing w:after="0"/>
              <w:rPr>
                <w:sz w:val="11"/>
                <w:szCs w:val="11"/>
                <w:color w:val="auto"/>
              </w:rPr>
            </w:pPr>
          </w:p>
        </w:tc>
        <w:tc>
          <w:tcPr>
            <w:tcW w:w="60" w:type="dxa"/>
            <w:vAlign w:val="bottom"/>
            <w:tcBorders>
              <w:top w:val="single" w:sz="8" w:color="F5F5F5"/>
              <w:bottom w:val="single" w:sz="8" w:color="F5F5F5"/>
            </w:tcBorders>
            <w:gridSpan w:val="3"/>
            <w:shd w:val="clear" w:color="auto" w:fill="F5F5F5"/>
          </w:tcPr>
          <w:p>
            <w:pPr>
              <w:spacing w:after="0"/>
              <w:rPr>
                <w:sz w:val="11"/>
                <w:szCs w:val="11"/>
                <w:color w:val="auto"/>
              </w:rPr>
            </w:pPr>
          </w:p>
        </w:tc>
      </w:tr>
      <w:tr>
        <w:trPr>
          <w:trHeight w:val="128"/>
        </w:trPr>
        <w:tc>
          <w:tcPr>
            <w:tcW w:w="600" w:type="dxa"/>
            <w:vAlign w:val="bottom"/>
            <w:shd w:val="clear" w:color="auto" w:fill="F5F5F5"/>
          </w:tcPr>
          <w:p>
            <w:pPr>
              <w:spacing w:after="0"/>
              <w:rPr>
                <w:sz w:val="11"/>
                <w:szCs w:val="11"/>
                <w:color w:val="auto"/>
              </w:rPr>
            </w:pPr>
          </w:p>
        </w:tc>
        <w:tc>
          <w:tcPr>
            <w:tcW w:w="320" w:type="dxa"/>
            <w:vAlign w:val="bottom"/>
            <w:shd w:val="clear" w:color="auto" w:fill="F5F5F5"/>
          </w:tcPr>
          <w:p>
            <w:pPr>
              <w:spacing w:after="0"/>
              <w:rPr>
                <w:sz w:val="11"/>
                <w:szCs w:val="11"/>
                <w:color w:val="auto"/>
              </w:rPr>
            </w:pPr>
          </w:p>
        </w:tc>
        <w:tc>
          <w:tcPr>
            <w:tcW w:w="120" w:type="dxa"/>
            <w:vAlign w:val="bottom"/>
            <w:tcBorders>
              <w:right w:val="single" w:sz="8" w:color="F5F5F5"/>
            </w:tcBorders>
            <w:shd w:val="clear" w:color="auto" w:fill="F5F5F5"/>
          </w:tcPr>
          <w:p>
            <w:pPr>
              <w:spacing w:after="0"/>
              <w:rPr>
                <w:sz w:val="11"/>
                <w:szCs w:val="11"/>
                <w:color w:val="auto"/>
              </w:rPr>
            </w:pPr>
          </w:p>
        </w:tc>
        <w:tc>
          <w:tcPr>
            <w:tcW w:w="10460" w:type="dxa"/>
            <w:vAlign w:val="bottom"/>
            <w:gridSpan w:val="35"/>
            <w:shd w:val="clear" w:color="auto" w:fill="F5F5F5"/>
          </w:tcPr>
          <w:p>
            <w:pPr>
              <w:spacing w:after="0" w:line="129" w:lineRule="exact"/>
              <w:rPr>
                <w:rFonts w:ascii="Arial" w:cs="Arial" w:eastAsia="Arial" w:hAnsi="Arial"/>
                <w:sz w:val="14"/>
                <w:szCs w:val="14"/>
                <w:color w:val="0000FF"/>
              </w:rPr>
            </w:pPr>
            <w:hyperlink r:id="rId128">
              <w:r>
                <w:rPr>
                  <w:rFonts w:ascii="Arial" w:cs="Arial" w:eastAsia="Arial" w:hAnsi="Arial"/>
                  <w:sz w:val="14"/>
                  <w:szCs w:val="14"/>
                  <w:color w:val="0000FF"/>
                </w:rPr>
                <w:t>administrative agent for the Lenders, incorporated herein by reference to Exhibit 10.1 to A&amp;F’s Current Report 8-K dated and filed August 7, 2024 (File No. 001-</w:t>
              </w:r>
            </w:hyperlink>
          </w:p>
        </w:tc>
        <w:tc>
          <w:tcPr>
            <w:tcW w:w="40" w:type="dxa"/>
            <w:vAlign w:val="bottom"/>
            <w:gridSpan w:val="2"/>
            <w:shd w:val="clear" w:color="auto" w:fill="F5F5F5"/>
          </w:tcPr>
          <w:p>
            <w:pPr>
              <w:spacing w:after="0"/>
              <w:rPr>
                <w:sz w:val="11"/>
                <w:szCs w:val="11"/>
                <w:color w:val="auto"/>
              </w:rPr>
            </w:pPr>
          </w:p>
        </w:tc>
        <w:tc>
          <w:tcPr>
            <w:tcW w:w="60" w:type="dxa"/>
            <w:vAlign w:val="bottom"/>
            <w:gridSpan w:val="3"/>
            <w:shd w:val="clear" w:color="auto" w:fill="F5F5F5"/>
          </w:tcPr>
          <w:p>
            <w:pPr>
              <w:spacing w:after="0"/>
              <w:rPr>
                <w:sz w:val="11"/>
                <w:szCs w:val="11"/>
                <w:color w:val="auto"/>
              </w:rPr>
            </w:pPr>
          </w:p>
        </w:tc>
      </w:tr>
      <w:tr>
        <w:trPr>
          <w:trHeight w:val="115"/>
        </w:trPr>
        <w:tc>
          <w:tcPr>
            <w:tcW w:w="600" w:type="dxa"/>
            <w:vAlign w:val="bottom"/>
            <w:tcBorders>
              <w:top w:val="single" w:sz="8" w:color="F5F5F5"/>
            </w:tcBorders>
            <w:shd w:val="clear" w:color="auto" w:fill="F5F5F5"/>
          </w:tcPr>
          <w:p>
            <w:pPr>
              <w:spacing w:after="0"/>
              <w:rPr>
                <w:sz w:val="10"/>
                <w:szCs w:val="10"/>
                <w:color w:val="auto"/>
              </w:rPr>
            </w:pPr>
          </w:p>
        </w:tc>
        <w:tc>
          <w:tcPr>
            <w:tcW w:w="440" w:type="dxa"/>
            <w:vAlign w:val="bottom"/>
            <w:tcBorders>
              <w:top w:val="single" w:sz="8" w:color="F5F5F5"/>
              <w:right w:val="single" w:sz="8" w:color="F5F5F5"/>
            </w:tcBorders>
            <w:gridSpan w:val="2"/>
            <w:shd w:val="clear" w:color="auto" w:fill="F5F5F5"/>
          </w:tcPr>
          <w:p>
            <w:pPr>
              <w:spacing w:after="0"/>
              <w:rPr>
                <w:sz w:val="10"/>
                <w:szCs w:val="10"/>
                <w:color w:val="auto"/>
              </w:rPr>
            </w:pPr>
          </w:p>
        </w:tc>
        <w:tc>
          <w:tcPr>
            <w:tcW w:w="560" w:type="dxa"/>
            <w:vAlign w:val="bottom"/>
            <w:tcBorders>
              <w:top w:val="single" w:sz="8" w:color="0000FF"/>
            </w:tcBorders>
            <w:gridSpan w:val="2"/>
            <w:shd w:val="clear" w:color="auto" w:fill="F5F5F5"/>
          </w:tcPr>
          <w:p>
            <w:pPr>
              <w:spacing w:after="0" w:line="115" w:lineRule="exact"/>
              <w:rPr>
                <w:rFonts w:ascii="Arial" w:cs="Arial" w:eastAsia="Arial" w:hAnsi="Arial"/>
                <w:sz w:val="13"/>
                <w:szCs w:val="13"/>
                <w:color w:val="0000FF"/>
              </w:rPr>
            </w:pPr>
            <w:hyperlink r:id="rId128">
              <w:r>
                <w:rPr>
                  <w:rFonts w:ascii="Arial" w:cs="Arial" w:eastAsia="Arial" w:hAnsi="Arial"/>
                  <w:sz w:val="13"/>
                  <w:szCs w:val="13"/>
                  <w:color w:val="0000FF"/>
                </w:rPr>
                <w:t>12107).</w:t>
              </w:r>
            </w:hyperlink>
          </w:p>
        </w:tc>
        <w:tc>
          <w:tcPr>
            <w:tcW w:w="480" w:type="dxa"/>
            <w:vAlign w:val="bottom"/>
            <w:tcBorders>
              <w:top w:val="single" w:sz="8" w:color="0000FF"/>
            </w:tcBorders>
            <w:shd w:val="clear" w:color="auto" w:fill="F5F5F5"/>
          </w:tcPr>
          <w:p>
            <w:pPr>
              <w:spacing w:after="0"/>
              <w:rPr>
                <w:sz w:val="10"/>
                <w:szCs w:val="10"/>
                <w:color w:val="auto"/>
              </w:rPr>
            </w:pPr>
          </w:p>
        </w:tc>
        <w:tc>
          <w:tcPr>
            <w:tcW w:w="320" w:type="dxa"/>
            <w:vAlign w:val="bottom"/>
            <w:tcBorders>
              <w:top w:val="single" w:sz="8" w:color="0000FF"/>
            </w:tcBorders>
            <w:shd w:val="clear" w:color="auto" w:fill="F5F5F5"/>
          </w:tcPr>
          <w:p>
            <w:pPr>
              <w:spacing w:after="0"/>
              <w:rPr>
                <w:sz w:val="10"/>
                <w:szCs w:val="10"/>
                <w:color w:val="auto"/>
              </w:rPr>
            </w:pPr>
          </w:p>
        </w:tc>
        <w:tc>
          <w:tcPr>
            <w:tcW w:w="2300" w:type="dxa"/>
            <w:vAlign w:val="bottom"/>
            <w:tcBorders>
              <w:top w:val="single" w:sz="8" w:color="0000FF"/>
            </w:tcBorders>
            <w:shd w:val="clear" w:color="auto" w:fill="F5F5F5"/>
          </w:tcPr>
          <w:p>
            <w:pPr>
              <w:spacing w:after="0"/>
              <w:rPr>
                <w:sz w:val="10"/>
                <w:szCs w:val="10"/>
                <w:color w:val="auto"/>
              </w:rPr>
            </w:pPr>
          </w:p>
        </w:tc>
        <w:tc>
          <w:tcPr>
            <w:tcW w:w="420" w:type="dxa"/>
            <w:vAlign w:val="bottom"/>
            <w:tcBorders>
              <w:top w:val="single" w:sz="8" w:color="0000FF"/>
            </w:tcBorders>
            <w:shd w:val="clear" w:color="auto" w:fill="F5F5F5"/>
          </w:tcPr>
          <w:p>
            <w:pPr>
              <w:spacing w:after="0"/>
              <w:rPr>
                <w:sz w:val="10"/>
                <w:szCs w:val="10"/>
                <w:color w:val="auto"/>
              </w:rPr>
            </w:pPr>
          </w:p>
        </w:tc>
        <w:tc>
          <w:tcPr>
            <w:tcW w:w="800" w:type="dxa"/>
            <w:vAlign w:val="bottom"/>
            <w:tcBorders>
              <w:top w:val="single" w:sz="8" w:color="0000FF"/>
            </w:tcBorders>
            <w:shd w:val="clear" w:color="auto" w:fill="F5F5F5"/>
          </w:tcPr>
          <w:p>
            <w:pPr>
              <w:spacing w:after="0"/>
              <w:rPr>
                <w:sz w:val="10"/>
                <w:szCs w:val="10"/>
                <w:color w:val="auto"/>
              </w:rPr>
            </w:pPr>
          </w:p>
        </w:tc>
        <w:tc>
          <w:tcPr>
            <w:tcW w:w="60" w:type="dxa"/>
            <w:vAlign w:val="bottom"/>
            <w:tcBorders>
              <w:top w:val="single" w:sz="8" w:color="0000FF"/>
            </w:tcBorders>
            <w:shd w:val="clear" w:color="auto" w:fill="F5F5F5"/>
          </w:tcPr>
          <w:p>
            <w:pPr>
              <w:spacing w:after="0"/>
              <w:rPr>
                <w:sz w:val="10"/>
                <w:szCs w:val="10"/>
                <w:color w:val="auto"/>
              </w:rPr>
            </w:pPr>
          </w:p>
        </w:tc>
        <w:tc>
          <w:tcPr>
            <w:tcW w:w="380" w:type="dxa"/>
            <w:vAlign w:val="bottom"/>
            <w:tcBorders>
              <w:top w:val="single" w:sz="8" w:color="0000FF"/>
            </w:tcBorders>
            <w:shd w:val="clear" w:color="auto" w:fill="F5F5F5"/>
          </w:tcPr>
          <w:p>
            <w:pPr>
              <w:spacing w:after="0"/>
              <w:rPr>
                <w:sz w:val="10"/>
                <w:szCs w:val="10"/>
                <w:color w:val="auto"/>
              </w:rPr>
            </w:pPr>
          </w:p>
        </w:tc>
        <w:tc>
          <w:tcPr>
            <w:tcW w:w="640" w:type="dxa"/>
            <w:vAlign w:val="bottom"/>
            <w:tcBorders>
              <w:top w:val="single" w:sz="8" w:color="0000FF"/>
              <w:right w:val="single" w:sz="8" w:color="F5F5F5"/>
            </w:tcBorders>
            <w:shd w:val="clear" w:color="auto" w:fill="F5F5F5"/>
          </w:tcPr>
          <w:p>
            <w:pPr>
              <w:spacing w:after="0"/>
              <w:rPr>
                <w:sz w:val="10"/>
                <w:szCs w:val="10"/>
                <w:color w:val="auto"/>
              </w:rPr>
            </w:pPr>
          </w:p>
        </w:tc>
        <w:tc>
          <w:tcPr>
            <w:tcW w:w="920" w:type="dxa"/>
            <w:vAlign w:val="bottom"/>
            <w:tcBorders>
              <w:top w:val="single" w:sz="8" w:color="0000FF"/>
              <w:left w:val="single" w:sz="8" w:color="F5F5F5"/>
            </w:tcBorders>
            <w:shd w:val="clear" w:color="auto" w:fill="F5F5F5"/>
          </w:tcPr>
          <w:p>
            <w:pPr>
              <w:spacing w:after="0"/>
              <w:rPr>
                <w:sz w:val="10"/>
                <w:szCs w:val="10"/>
                <w:color w:val="auto"/>
              </w:rPr>
            </w:pPr>
          </w:p>
        </w:tc>
        <w:tc>
          <w:tcPr>
            <w:tcW w:w="360" w:type="dxa"/>
            <w:vAlign w:val="bottom"/>
            <w:tcBorders>
              <w:top w:val="single" w:sz="8" w:color="0000FF"/>
            </w:tcBorders>
            <w:shd w:val="clear" w:color="auto" w:fill="F5F5F5"/>
          </w:tcPr>
          <w:p>
            <w:pPr>
              <w:spacing w:after="0"/>
              <w:rPr>
                <w:sz w:val="10"/>
                <w:szCs w:val="10"/>
                <w:color w:val="auto"/>
              </w:rPr>
            </w:pPr>
          </w:p>
        </w:tc>
        <w:tc>
          <w:tcPr>
            <w:tcW w:w="900" w:type="dxa"/>
            <w:vAlign w:val="bottom"/>
            <w:tcBorders>
              <w:top w:val="single" w:sz="8" w:color="0000FF"/>
            </w:tcBorders>
            <w:shd w:val="clear" w:color="auto" w:fill="F5F5F5"/>
          </w:tcPr>
          <w:p>
            <w:pPr>
              <w:spacing w:after="0"/>
              <w:rPr>
                <w:sz w:val="10"/>
                <w:szCs w:val="10"/>
                <w:color w:val="auto"/>
              </w:rPr>
            </w:pPr>
          </w:p>
        </w:tc>
        <w:tc>
          <w:tcPr>
            <w:tcW w:w="140" w:type="dxa"/>
            <w:vAlign w:val="bottom"/>
            <w:tcBorders>
              <w:top w:val="single" w:sz="8" w:color="0000FF"/>
            </w:tcBorders>
            <w:shd w:val="clear" w:color="auto" w:fill="F5F5F5"/>
          </w:tcPr>
          <w:p>
            <w:pPr>
              <w:spacing w:after="0"/>
              <w:rPr>
                <w:sz w:val="10"/>
                <w:szCs w:val="10"/>
                <w:color w:val="auto"/>
              </w:rPr>
            </w:pPr>
          </w:p>
        </w:tc>
        <w:tc>
          <w:tcPr>
            <w:tcW w:w="700" w:type="dxa"/>
            <w:vAlign w:val="bottom"/>
            <w:tcBorders>
              <w:top w:val="single" w:sz="8" w:color="0000FF"/>
            </w:tcBorders>
            <w:shd w:val="clear" w:color="auto" w:fill="F5F5F5"/>
          </w:tcPr>
          <w:p>
            <w:pPr>
              <w:spacing w:after="0"/>
              <w:rPr>
                <w:sz w:val="10"/>
                <w:szCs w:val="10"/>
                <w:color w:val="auto"/>
              </w:rPr>
            </w:pPr>
          </w:p>
        </w:tc>
        <w:tc>
          <w:tcPr>
            <w:tcW w:w="320" w:type="dxa"/>
            <w:vAlign w:val="bottom"/>
            <w:tcBorders>
              <w:top w:val="single" w:sz="8" w:color="0000FF"/>
            </w:tcBorders>
            <w:shd w:val="clear" w:color="auto" w:fill="F5F5F5"/>
          </w:tcPr>
          <w:p>
            <w:pPr>
              <w:spacing w:after="0"/>
              <w:rPr>
                <w:sz w:val="10"/>
                <w:szCs w:val="10"/>
                <w:color w:val="auto"/>
              </w:rPr>
            </w:pPr>
          </w:p>
        </w:tc>
        <w:tc>
          <w:tcPr>
            <w:tcW w:w="380" w:type="dxa"/>
            <w:vAlign w:val="bottom"/>
            <w:tcBorders>
              <w:top w:val="single" w:sz="8" w:color="0000FF"/>
            </w:tcBorders>
            <w:shd w:val="clear" w:color="auto" w:fill="F5F5F5"/>
          </w:tcPr>
          <w:p>
            <w:pPr>
              <w:spacing w:after="0"/>
              <w:rPr>
                <w:sz w:val="10"/>
                <w:szCs w:val="10"/>
                <w:color w:val="auto"/>
              </w:rPr>
            </w:pPr>
          </w:p>
        </w:tc>
        <w:tc>
          <w:tcPr>
            <w:tcW w:w="380" w:type="dxa"/>
            <w:vAlign w:val="bottom"/>
            <w:tcBorders>
              <w:top w:val="single" w:sz="8" w:color="0000FF"/>
            </w:tcBorders>
            <w:shd w:val="clear" w:color="auto" w:fill="F5F5F5"/>
          </w:tcPr>
          <w:p>
            <w:pPr>
              <w:spacing w:after="0"/>
              <w:rPr>
                <w:sz w:val="10"/>
                <w:szCs w:val="10"/>
                <w:color w:val="auto"/>
              </w:rPr>
            </w:pPr>
          </w:p>
        </w:tc>
        <w:tc>
          <w:tcPr>
            <w:tcW w:w="20" w:type="dxa"/>
            <w:vAlign w:val="bottom"/>
            <w:tcBorders>
              <w:top w:val="single" w:sz="8" w:color="0000FF"/>
            </w:tcBorders>
            <w:shd w:val="clear" w:color="auto" w:fill="F5F5F5"/>
          </w:tcPr>
          <w:p>
            <w:pPr>
              <w:spacing w:after="0"/>
              <w:rPr>
                <w:sz w:val="10"/>
                <w:szCs w:val="10"/>
                <w:color w:val="auto"/>
              </w:rPr>
            </w:pPr>
          </w:p>
        </w:tc>
        <w:tc>
          <w:tcPr>
            <w:tcW w:w="80" w:type="dxa"/>
            <w:vAlign w:val="bottom"/>
            <w:tcBorders>
              <w:top w:val="single" w:sz="8" w:color="0000FF"/>
            </w:tcBorders>
            <w:shd w:val="clear" w:color="auto" w:fill="F5F5F5"/>
          </w:tcPr>
          <w:p>
            <w:pPr>
              <w:spacing w:after="0"/>
              <w:rPr>
                <w:sz w:val="10"/>
                <w:szCs w:val="10"/>
                <w:color w:val="auto"/>
              </w:rPr>
            </w:pPr>
          </w:p>
        </w:tc>
        <w:tc>
          <w:tcPr>
            <w:tcW w:w="20" w:type="dxa"/>
            <w:vAlign w:val="bottom"/>
            <w:tcBorders>
              <w:top w:val="single" w:sz="8" w:color="0000FF"/>
            </w:tcBorders>
            <w:shd w:val="clear" w:color="auto" w:fill="F5F5F5"/>
          </w:tcPr>
          <w:p>
            <w:pPr>
              <w:spacing w:after="0"/>
              <w:rPr>
                <w:sz w:val="10"/>
                <w:szCs w:val="10"/>
                <w:color w:val="auto"/>
              </w:rPr>
            </w:pPr>
          </w:p>
        </w:tc>
        <w:tc>
          <w:tcPr>
            <w:tcW w:w="20" w:type="dxa"/>
            <w:vAlign w:val="bottom"/>
            <w:tcBorders>
              <w:top w:val="single" w:sz="8" w:color="0000FF"/>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r>
      <w:tr>
        <w:trPr>
          <w:trHeight w:val="21"/>
        </w:trPr>
        <w:tc>
          <w:tcPr>
            <w:tcW w:w="600" w:type="dxa"/>
            <w:vAlign w:val="bottom"/>
            <w:tcBorders>
              <w:top w:val="single" w:sz="8" w:color="F5F5F5"/>
            </w:tcBorders>
            <w:shd w:val="clear" w:color="auto" w:fill="F5F5F5"/>
          </w:tcPr>
          <w:p>
            <w:pPr>
              <w:spacing w:after="0" w:line="20" w:lineRule="exact"/>
              <w:rPr>
                <w:sz w:val="1"/>
                <w:szCs w:val="1"/>
                <w:color w:val="auto"/>
              </w:rPr>
            </w:pPr>
          </w:p>
        </w:tc>
        <w:tc>
          <w:tcPr>
            <w:tcW w:w="320" w:type="dxa"/>
            <w:vAlign w:val="bottom"/>
            <w:tcBorders>
              <w:top w:val="single" w:sz="8" w:color="F5F5F5"/>
            </w:tcBorders>
            <w:shd w:val="clear" w:color="auto" w:fill="F5F5F5"/>
          </w:tcPr>
          <w:p>
            <w:pPr>
              <w:spacing w:after="0" w:line="20" w:lineRule="exact"/>
              <w:rPr>
                <w:sz w:val="1"/>
                <w:szCs w:val="1"/>
                <w:color w:val="auto"/>
              </w:rPr>
            </w:pPr>
          </w:p>
        </w:tc>
        <w:tc>
          <w:tcPr>
            <w:tcW w:w="120" w:type="dxa"/>
            <w:vAlign w:val="bottom"/>
            <w:tcBorders>
              <w:top w:val="single" w:sz="8" w:color="F5F5F5"/>
              <w:right w:val="single" w:sz="8" w:color="F5F5F5"/>
            </w:tcBorders>
            <w:shd w:val="clear" w:color="auto" w:fill="F5F5F5"/>
          </w:tcPr>
          <w:p>
            <w:pPr>
              <w:spacing w:after="0" w:line="20" w:lineRule="exact"/>
              <w:rPr>
                <w:sz w:val="1"/>
                <w:szCs w:val="1"/>
                <w:color w:val="auto"/>
              </w:rPr>
            </w:pPr>
          </w:p>
        </w:tc>
        <w:tc>
          <w:tcPr>
            <w:tcW w:w="480" w:type="dxa"/>
            <w:vAlign w:val="bottom"/>
            <w:tcBorders>
              <w:top w:val="single" w:sz="8" w:color="0000FF"/>
            </w:tcBorders>
            <w:shd w:val="clear" w:color="auto" w:fill="F5F5F5"/>
          </w:tcPr>
          <w:p>
            <w:pPr>
              <w:spacing w:after="0" w:line="20" w:lineRule="exact"/>
              <w:rPr>
                <w:sz w:val="1"/>
                <w:szCs w:val="1"/>
                <w:color w:val="auto"/>
              </w:rPr>
            </w:pPr>
          </w:p>
        </w:tc>
        <w:tc>
          <w:tcPr>
            <w:tcW w:w="80" w:type="dxa"/>
            <w:vAlign w:val="bottom"/>
            <w:tcBorders>
              <w:top w:val="single" w:sz="8" w:color="F5F5F5"/>
            </w:tcBorders>
            <w:shd w:val="clear" w:color="auto" w:fill="F5F5F5"/>
          </w:tcPr>
          <w:p>
            <w:pPr>
              <w:spacing w:after="0" w:line="20" w:lineRule="exact"/>
              <w:rPr>
                <w:sz w:val="1"/>
                <w:szCs w:val="1"/>
                <w:color w:val="auto"/>
              </w:rPr>
            </w:pPr>
          </w:p>
        </w:tc>
        <w:tc>
          <w:tcPr>
            <w:tcW w:w="480" w:type="dxa"/>
            <w:vAlign w:val="bottom"/>
            <w:tcBorders>
              <w:top w:val="single" w:sz="8" w:color="F5F5F5"/>
            </w:tcBorders>
            <w:shd w:val="clear" w:color="auto" w:fill="F5F5F5"/>
          </w:tcPr>
          <w:p>
            <w:pPr>
              <w:spacing w:after="0" w:line="20" w:lineRule="exact"/>
              <w:rPr>
                <w:sz w:val="1"/>
                <w:szCs w:val="1"/>
                <w:color w:val="auto"/>
              </w:rPr>
            </w:pPr>
          </w:p>
        </w:tc>
        <w:tc>
          <w:tcPr>
            <w:tcW w:w="320" w:type="dxa"/>
            <w:vAlign w:val="bottom"/>
            <w:tcBorders>
              <w:top w:val="single" w:sz="8" w:color="F5F5F5"/>
            </w:tcBorders>
            <w:shd w:val="clear" w:color="auto" w:fill="F5F5F5"/>
          </w:tcPr>
          <w:p>
            <w:pPr>
              <w:spacing w:after="0" w:line="20" w:lineRule="exact"/>
              <w:rPr>
                <w:sz w:val="1"/>
                <w:szCs w:val="1"/>
                <w:color w:val="auto"/>
              </w:rPr>
            </w:pPr>
          </w:p>
        </w:tc>
        <w:tc>
          <w:tcPr>
            <w:tcW w:w="2300" w:type="dxa"/>
            <w:vAlign w:val="bottom"/>
            <w:tcBorders>
              <w:top w:val="single" w:sz="8" w:color="F5F5F5"/>
            </w:tcBorders>
            <w:shd w:val="clear" w:color="auto" w:fill="F5F5F5"/>
          </w:tcPr>
          <w:p>
            <w:pPr>
              <w:spacing w:after="0" w:line="20" w:lineRule="exact"/>
              <w:rPr>
                <w:sz w:val="1"/>
                <w:szCs w:val="1"/>
                <w:color w:val="auto"/>
              </w:rPr>
            </w:pPr>
          </w:p>
        </w:tc>
        <w:tc>
          <w:tcPr>
            <w:tcW w:w="420" w:type="dxa"/>
            <w:vAlign w:val="bottom"/>
            <w:tcBorders>
              <w:top w:val="single" w:sz="8" w:color="F5F5F5"/>
            </w:tcBorders>
            <w:shd w:val="clear" w:color="auto" w:fill="F5F5F5"/>
          </w:tcPr>
          <w:p>
            <w:pPr>
              <w:spacing w:after="0" w:line="20" w:lineRule="exact"/>
              <w:rPr>
                <w:sz w:val="1"/>
                <w:szCs w:val="1"/>
                <w:color w:val="auto"/>
              </w:rPr>
            </w:pPr>
          </w:p>
        </w:tc>
        <w:tc>
          <w:tcPr>
            <w:tcW w:w="800" w:type="dxa"/>
            <w:vAlign w:val="bottom"/>
            <w:tcBorders>
              <w:top w:val="single" w:sz="8" w:color="F5F5F5"/>
            </w:tcBorders>
            <w:shd w:val="clear" w:color="auto" w:fill="F5F5F5"/>
          </w:tcPr>
          <w:p>
            <w:pPr>
              <w:spacing w:after="0" w:line="20" w:lineRule="exact"/>
              <w:rPr>
                <w:sz w:val="1"/>
                <w:szCs w:val="1"/>
                <w:color w:val="auto"/>
              </w:rPr>
            </w:pPr>
          </w:p>
        </w:tc>
        <w:tc>
          <w:tcPr>
            <w:tcW w:w="60" w:type="dxa"/>
            <w:vAlign w:val="bottom"/>
            <w:tcBorders>
              <w:top w:val="single" w:sz="8" w:color="F5F5F5"/>
            </w:tcBorders>
            <w:shd w:val="clear" w:color="auto" w:fill="F5F5F5"/>
          </w:tcPr>
          <w:p>
            <w:pPr>
              <w:spacing w:after="0" w:line="20" w:lineRule="exact"/>
              <w:rPr>
                <w:sz w:val="1"/>
                <w:szCs w:val="1"/>
                <w:color w:val="auto"/>
              </w:rPr>
            </w:pPr>
          </w:p>
        </w:tc>
        <w:tc>
          <w:tcPr>
            <w:tcW w:w="380" w:type="dxa"/>
            <w:vAlign w:val="bottom"/>
            <w:tcBorders>
              <w:top w:val="single" w:sz="8" w:color="F5F5F5"/>
            </w:tcBorders>
            <w:shd w:val="clear" w:color="auto" w:fill="F5F5F5"/>
          </w:tcPr>
          <w:p>
            <w:pPr>
              <w:spacing w:after="0" w:line="20" w:lineRule="exact"/>
              <w:rPr>
                <w:sz w:val="1"/>
                <w:szCs w:val="1"/>
                <w:color w:val="auto"/>
              </w:rPr>
            </w:pPr>
          </w:p>
        </w:tc>
        <w:tc>
          <w:tcPr>
            <w:tcW w:w="640" w:type="dxa"/>
            <w:vAlign w:val="bottom"/>
            <w:tcBorders>
              <w:top w:val="single" w:sz="8" w:color="F5F5F5"/>
              <w:right w:val="single" w:sz="8" w:color="F5F5F5"/>
            </w:tcBorders>
            <w:shd w:val="clear" w:color="auto" w:fill="F5F5F5"/>
          </w:tcPr>
          <w:p>
            <w:pPr>
              <w:spacing w:after="0" w:line="20" w:lineRule="exact"/>
              <w:rPr>
                <w:sz w:val="1"/>
                <w:szCs w:val="1"/>
                <w:color w:val="auto"/>
              </w:rPr>
            </w:pPr>
          </w:p>
        </w:tc>
        <w:tc>
          <w:tcPr>
            <w:tcW w:w="920" w:type="dxa"/>
            <w:vAlign w:val="bottom"/>
            <w:tcBorders>
              <w:top w:val="single" w:sz="8" w:color="F5F5F5"/>
              <w:left w:val="single" w:sz="8" w:color="F5F5F5"/>
            </w:tcBorders>
            <w:shd w:val="clear" w:color="auto" w:fill="F5F5F5"/>
          </w:tcPr>
          <w:p>
            <w:pPr>
              <w:spacing w:after="0" w:line="20" w:lineRule="exact"/>
              <w:rPr>
                <w:sz w:val="1"/>
                <w:szCs w:val="1"/>
                <w:color w:val="auto"/>
              </w:rPr>
            </w:pPr>
          </w:p>
        </w:tc>
        <w:tc>
          <w:tcPr>
            <w:tcW w:w="360" w:type="dxa"/>
            <w:vAlign w:val="bottom"/>
            <w:tcBorders>
              <w:top w:val="single" w:sz="8" w:color="F5F5F5"/>
            </w:tcBorders>
            <w:shd w:val="clear" w:color="auto" w:fill="F5F5F5"/>
          </w:tcPr>
          <w:p>
            <w:pPr>
              <w:spacing w:after="0" w:line="20" w:lineRule="exact"/>
              <w:rPr>
                <w:sz w:val="1"/>
                <w:szCs w:val="1"/>
                <w:color w:val="auto"/>
              </w:rPr>
            </w:pPr>
          </w:p>
        </w:tc>
        <w:tc>
          <w:tcPr>
            <w:tcW w:w="900" w:type="dxa"/>
            <w:vAlign w:val="bottom"/>
            <w:tcBorders>
              <w:top w:val="single" w:sz="8" w:color="F5F5F5"/>
            </w:tcBorders>
            <w:shd w:val="clear" w:color="auto" w:fill="F5F5F5"/>
          </w:tcPr>
          <w:p>
            <w:pPr>
              <w:spacing w:after="0" w:line="20" w:lineRule="exact"/>
              <w:rPr>
                <w:sz w:val="1"/>
                <w:szCs w:val="1"/>
                <w:color w:val="auto"/>
              </w:rPr>
            </w:pPr>
          </w:p>
        </w:tc>
        <w:tc>
          <w:tcPr>
            <w:tcW w:w="140" w:type="dxa"/>
            <w:vAlign w:val="bottom"/>
            <w:tcBorders>
              <w:top w:val="single" w:sz="8" w:color="F5F5F5"/>
            </w:tcBorders>
            <w:shd w:val="clear" w:color="auto" w:fill="F5F5F5"/>
          </w:tcPr>
          <w:p>
            <w:pPr>
              <w:spacing w:after="0" w:line="20" w:lineRule="exact"/>
              <w:rPr>
                <w:sz w:val="1"/>
                <w:szCs w:val="1"/>
                <w:color w:val="auto"/>
              </w:rPr>
            </w:pPr>
          </w:p>
        </w:tc>
        <w:tc>
          <w:tcPr>
            <w:tcW w:w="700" w:type="dxa"/>
            <w:vAlign w:val="bottom"/>
            <w:tcBorders>
              <w:top w:val="single" w:sz="8" w:color="F5F5F5"/>
            </w:tcBorders>
            <w:shd w:val="clear" w:color="auto" w:fill="F5F5F5"/>
          </w:tcPr>
          <w:p>
            <w:pPr>
              <w:spacing w:after="0" w:line="20" w:lineRule="exact"/>
              <w:rPr>
                <w:sz w:val="1"/>
                <w:szCs w:val="1"/>
                <w:color w:val="auto"/>
              </w:rPr>
            </w:pPr>
          </w:p>
        </w:tc>
        <w:tc>
          <w:tcPr>
            <w:tcW w:w="320" w:type="dxa"/>
            <w:vAlign w:val="bottom"/>
            <w:tcBorders>
              <w:top w:val="single" w:sz="8" w:color="F5F5F5"/>
            </w:tcBorders>
            <w:shd w:val="clear" w:color="auto" w:fill="F5F5F5"/>
          </w:tcPr>
          <w:p>
            <w:pPr>
              <w:spacing w:after="0" w:line="20" w:lineRule="exact"/>
              <w:rPr>
                <w:sz w:val="1"/>
                <w:szCs w:val="1"/>
                <w:color w:val="auto"/>
              </w:rPr>
            </w:pPr>
          </w:p>
        </w:tc>
        <w:tc>
          <w:tcPr>
            <w:tcW w:w="380" w:type="dxa"/>
            <w:vAlign w:val="bottom"/>
            <w:tcBorders>
              <w:top w:val="single" w:sz="8" w:color="F5F5F5"/>
            </w:tcBorders>
            <w:shd w:val="clear" w:color="auto" w:fill="F5F5F5"/>
          </w:tcPr>
          <w:p>
            <w:pPr>
              <w:spacing w:after="0" w:line="20" w:lineRule="exact"/>
              <w:rPr>
                <w:sz w:val="1"/>
                <w:szCs w:val="1"/>
                <w:color w:val="auto"/>
              </w:rPr>
            </w:pPr>
          </w:p>
        </w:tc>
        <w:tc>
          <w:tcPr>
            <w:tcW w:w="38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8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r>
      <w:tr>
        <w:trPr>
          <w:trHeight w:val="162"/>
        </w:trPr>
        <w:tc>
          <w:tcPr>
            <w:tcW w:w="600" w:type="dxa"/>
            <w:vAlign w:val="bottom"/>
          </w:tcPr>
          <w:p>
            <w:pPr>
              <w:ind w:left="20"/>
              <w:spacing w:after="0"/>
              <w:rPr>
                <w:sz w:val="20"/>
                <w:szCs w:val="20"/>
                <w:color w:val="auto"/>
              </w:rPr>
            </w:pPr>
            <w:r>
              <w:rPr>
                <w:rFonts w:ascii="Arial" w:cs="Arial" w:eastAsia="Arial" w:hAnsi="Arial"/>
                <w:sz w:val="14"/>
                <w:szCs w:val="14"/>
                <w:color w:val="auto"/>
              </w:rPr>
              <w:t>10.14</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560" w:type="dxa"/>
            <w:vAlign w:val="bottom"/>
            <w:gridSpan w:val="40"/>
          </w:tcPr>
          <w:p>
            <w:pPr>
              <w:spacing w:after="0"/>
              <w:rPr>
                <w:rFonts w:ascii="Arial" w:cs="Arial" w:eastAsia="Arial" w:hAnsi="Arial"/>
                <w:sz w:val="14"/>
                <w:szCs w:val="14"/>
                <w:color w:val="0000FF"/>
              </w:rPr>
            </w:pPr>
            <w:hyperlink r:id="rId129">
              <w:r>
                <w:rPr>
                  <w:rFonts w:ascii="Arial" w:cs="Arial" w:eastAsia="Arial" w:hAnsi="Arial"/>
                  <w:sz w:val="14"/>
                  <w:szCs w:val="14"/>
                  <w:color w:val="0000FF"/>
                </w:rPr>
                <w:t>Guaranty, dated as of August 7, 2014, made by Abercrombie &amp; Fitch Co., as guarantor, and certain of its wholly-owned subsidiaries, each as a guarantor, in</w:t>
              </w:r>
            </w:hyperlink>
          </w:p>
        </w:tc>
      </w:tr>
      <w:tr>
        <w:trPr>
          <w:trHeight w:val="129"/>
        </w:trPr>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0" w:type="dxa"/>
            <w:vAlign w:val="bottom"/>
            <w:tcBorders>
              <w:top w:val="single" w:sz="8" w:color="0000FF"/>
            </w:tcBorders>
            <w:gridSpan w:val="22"/>
          </w:tcPr>
          <w:p>
            <w:pPr>
              <w:spacing w:after="0" w:line="129" w:lineRule="exact"/>
              <w:rPr>
                <w:rFonts w:ascii="Arial" w:cs="Arial" w:eastAsia="Arial" w:hAnsi="Arial"/>
                <w:sz w:val="14"/>
                <w:szCs w:val="14"/>
                <w:color w:val="0000FF"/>
              </w:rPr>
            </w:pPr>
            <w:hyperlink r:id="rId129">
              <w:r>
                <w:rPr>
                  <w:rFonts w:ascii="Arial" w:cs="Arial" w:eastAsia="Arial" w:hAnsi="Arial"/>
                  <w:sz w:val="14"/>
                  <w:szCs w:val="14"/>
                  <w:color w:val="0000FF"/>
                </w:rPr>
                <w:t>favor of Wells Fargo Bank, National Association, as administrative agent and collateral agent for its own benefit and the benefit of the other Credit Parties, and</w:t>
              </w:r>
            </w:hyperlink>
          </w:p>
        </w:tc>
        <w:tc>
          <w:tcPr>
            <w:tcW w:w="80" w:type="dxa"/>
            <w:vAlign w:val="bottom"/>
            <w:gridSpan w:val="4"/>
          </w:tcPr>
          <w:p>
            <w:pPr>
              <w:spacing w:after="0"/>
              <w:rPr>
                <w:sz w:val="11"/>
                <w:szCs w:val="11"/>
                <w:color w:val="auto"/>
              </w:rPr>
            </w:pPr>
          </w:p>
        </w:tc>
        <w:tc>
          <w:tcPr>
            <w:tcW w:w="60" w:type="dxa"/>
            <w:vAlign w:val="bottom"/>
            <w:gridSpan w:val="3"/>
          </w:tcPr>
          <w:p>
            <w:pPr>
              <w:spacing w:after="0"/>
              <w:rPr>
                <w:sz w:val="11"/>
                <w:szCs w:val="11"/>
                <w:color w:val="auto"/>
              </w:rPr>
            </w:pPr>
          </w:p>
        </w:tc>
        <w:tc>
          <w:tcPr>
            <w:tcW w:w="160" w:type="dxa"/>
            <w:vAlign w:val="bottom"/>
            <w:gridSpan w:val="8"/>
          </w:tcPr>
          <w:p>
            <w:pPr>
              <w:spacing w:after="0"/>
              <w:rPr>
                <w:sz w:val="11"/>
                <w:szCs w:val="11"/>
                <w:color w:val="auto"/>
              </w:rPr>
            </w:pPr>
          </w:p>
        </w:tc>
        <w:tc>
          <w:tcPr>
            <w:tcW w:w="60" w:type="dxa"/>
            <w:vAlign w:val="bottom"/>
            <w:gridSpan w:val="3"/>
          </w:tcPr>
          <w:p>
            <w:pPr>
              <w:spacing w:after="0"/>
              <w:rPr>
                <w:sz w:val="11"/>
                <w:szCs w:val="11"/>
                <w:color w:val="auto"/>
              </w:rPr>
            </w:pPr>
          </w:p>
        </w:tc>
      </w:tr>
      <w:tr>
        <w:trPr>
          <w:trHeight w:val="128"/>
        </w:trPr>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160" w:type="dxa"/>
            <w:vAlign w:val="bottom"/>
            <w:tcBorders>
              <w:top w:val="single" w:sz="8" w:color="0000FF"/>
            </w:tcBorders>
            <w:gridSpan w:val="20"/>
          </w:tcPr>
          <w:p>
            <w:pPr>
              <w:spacing w:after="0" w:line="129" w:lineRule="exact"/>
              <w:rPr>
                <w:rFonts w:ascii="Arial" w:cs="Arial" w:eastAsia="Arial" w:hAnsi="Arial"/>
                <w:sz w:val="14"/>
                <w:szCs w:val="14"/>
                <w:color w:val="0000FF"/>
              </w:rPr>
            </w:pPr>
            <w:hyperlink r:id="rId129">
              <w:r>
                <w:rPr>
                  <w:rFonts w:ascii="Arial" w:cs="Arial" w:eastAsia="Arial" w:hAnsi="Arial"/>
                  <w:sz w:val="14"/>
                  <w:szCs w:val="14"/>
                  <w:color w:val="0000FF"/>
                </w:rPr>
                <w:t>the Credit Parties, incorporated herein by reference to Exhibit 10.5 to A&amp;F’s Quarterly Report on Form 10-Q for the quarterly period ended August 2, 2014 (File</w:t>
              </w:r>
            </w:hyperlink>
          </w:p>
        </w:tc>
        <w:tc>
          <w:tcPr>
            <w:tcW w:w="120" w:type="dxa"/>
            <w:vAlign w:val="bottom"/>
            <w:gridSpan w:val="6"/>
          </w:tcPr>
          <w:p>
            <w:pPr>
              <w:spacing w:after="0"/>
              <w:rPr>
                <w:sz w:val="11"/>
                <w:szCs w:val="11"/>
                <w:color w:val="auto"/>
              </w:rPr>
            </w:pPr>
          </w:p>
        </w:tc>
        <w:tc>
          <w:tcPr>
            <w:tcW w:w="60" w:type="dxa"/>
            <w:vAlign w:val="bottom"/>
            <w:gridSpan w:val="3"/>
          </w:tcPr>
          <w:p>
            <w:pPr>
              <w:spacing w:after="0"/>
              <w:rPr>
                <w:sz w:val="11"/>
                <w:szCs w:val="11"/>
                <w:color w:val="auto"/>
              </w:rPr>
            </w:pPr>
          </w:p>
        </w:tc>
        <w:tc>
          <w:tcPr>
            <w:tcW w:w="160" w:type="dxa"/>
            <w:vAlign w:val="bottom"/>
            <w:gridSpan w:val="8"/>
          </w:tcPr>
          <w:p>
            <w:pPr>
              <w:spacing w:after="0"/>
              <w:rPr>
                <w:sz w:val="11"/>
                <w:szCs w:val="11"/>
                <w:color w:val="auto"/>
              </w:rPr>
            </w:pPr>
          </w:p>
        </w:tc>
        <w:tc>
          <w:tcPr>
            <w:tcW w:w="60" w:type="dxa"/>
            <w:vAlign w:val="bottom"/>
            <w:gridSpan w:val="3"/>
          </w:tcPr>
          <w:p>
            <w:pPr>
              <w:spacing w:after="0"/>
              <w:rPr>
                <w:sz w:val="11"/>
                <w:szCs w:val="11"/>
                <w:color w:val="auto"/>
              </w:rPr>
            </w:pPr>
          </w:p>
        </w:tc>
      </w:tr>
      <w:tr>
        <w:trPr>
          <w:trHeight w:val="115"/>
        </w:trPr>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80" w:type="dxa"/>
            <w:vAlign w:val="bottom"/>
            <w:tcBorders>
              <w:top w:val="single" w:sz="8" w:color="0000FF"/>
            </w:tcBorders>
            <w:gridSpan w:val="6"/>
          </w:tcPr>
          <w:p>
            <w:pPr>
              <w:spacing w:after="0" w:line="115" w:lineRule="exact"/>
              <w:rPr>
                <w:rFonts w:ascii="Arial" w:cs="Arial" w:eastAsia="Arial" w:hAnsi="Arial"/>
                <w:sz w:val="13"/>
                <w:szCs w:val="13"/>
                <w:color w:val="0000FF"/>
              </w:rPr>
            </w:pPr>
            <w:hyperlink r:id="rId129">
              <w:r>
                <w:rPr>
                  <w:rFonts w:ascii="Arial" w:cs="Arial" w:eastAsia="Arial" w:hAnsi="Arial"/>
                  <w:sz w:val="13"/>
                  <w:szCs w:val="13"/>
                  <w:color w:val="0000FF"/>
                </w:rPr>
                <w:t>No. 001-12107).</w:t>
              </w:r>
            </w:hyperlink>
          </w:p>
        </w:tc>
        <w:tc>
          <w:tcPr>
            <w:tcW w:w="80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380" w:type="dxa"/>
            <w:vAlign w:val="bottom"/>
            <w:tcBorders>
              <w:top w:val="single" w:sz="8" w:color="0000FF"/>
            </w:tcBorders>
          </w:tcPr>
          <w:p>
            <w:pPr>
              <w:spacing w:after="0"/>
              <w:rPr>
                <w:sz w:val="10"/>
                <w:szCs w:val="10"/>
                <w:color w:val="auto"/>
              </w:rPr>
            </w:pPr>
          </w:p>
        </w:tc>
        <w:tc>
          <w:tcPr>
            <w:tcW w:w="640" w:type="dxa"/>
            <w:vAlign w:val="bottom"/>
            <w:tcBorders>
              <w:top w:val="single" w:sz="8" w:color="0000FF"/>
            </w:tcBorders>
          </w:tcPr>
          <w:p>
            <w:pPr>
              <w:spacing w:after="0"/>
              <w:rPr>
                <w:sz w:val="10"/>
                <w:szCs w:val="10"/>
                <w:color w:val="auto"/>
              </w:rPr>
            </w:pPr>
          </w:p>
        </w:tc>
        <w:tc>
          <w:tcPr>
            <w:tcW w:w="920" w:type="dxa"/>
            <w:vAlign w:val="bottom"/>
            <w:tcBorders>
              <w:top w:val="single" w:sz="8" w:color="0000FF"/>
            </w:tcBorders>
          </w:tcPr>
          <w:p>
            <w:pPr>
              <w:spacing w:after="0"/>
              <w:rPr>
                <w:sz w:val="10"/>
                <w:szCs w:val="10"/>
                <w:color w:val="auto"/>
              </w:rPr>
            </w:pPr>
          </w:p>
        </w:tc>
        <w:tc>
          <w:tcPr>
            <w:tcW w:w="360" w:type="dxa"/>
            <w:vAlign w:val="bottom"/>
            <w:tcBorders>
              <w:top w:val="single" w:sz="8" w:color="0000FF"/>
            </w:tcBorders>
          </w:tcPr>
          <w:p>
            <w:pPr>
              <w:spacing w:after="0"/>
              <w:rPr>
                <w:sz w:val="10"/>
                <w:szCs w:val="10"/>
                <w:color w:val="auto"/>
              </w:rPr>
            </w:pPr>
          </w:p>
        </w:tc>
        <w:tc>
          <w:tcPr>
            <w:tcW w:w="90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380" w:type="dxa"/>
            <w:vAlign w:val="bottom"/>
            <w:tcBorders>
              <w:top w:val="single" w:sz="8" w:color="0000FF"/>
            </w:tcBorders>
          </w:tcPr>
          <w:p>
            <w:pPr>
              <w:spacing w:after="0"/>
              <w:rPr>
                <w:sz w:val="10"/>
                <w:szCs w:val="10"/>
                <w:color w:val="auto"/>
              </w:rPr>
            </w:pPr>
          </w:p>
        </w:tc>
        <w:tc>
          <w:tcPr>
            <w:tcW w:w="3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600" w:type="dxa"/>
            <w:vAlign w:val="bottom"/>
            <w:shd w:val="clear" w:color="auto" w:fill="F5F5F5"/>
          </w:tcPr>
          <w:p>
            <w:pPr>
              <w:ind w:left="20"/>
              <w:spacing w:after="0"/>
              <w:rPr>
                <w:sz w:val="20"/>
                <w:szCs w:val="20"/>
                <w:color w:val="auto"/>
              </w:rPr>
            </w:pPr>
            <w:r>
              <w:rPr>
                <w:rFonts w:ascii="Arial" w:cs="Arial" w:eastAsia="Arial" w:hAnsi="Arial"/>
                <w:sz w:val="14"/>
                <w:szCs w:val="14"/>
                <w:color w:val="auto"/>
              </w:rPr>
              <w:t>10.15</w:t>
            </w:r>
          </w:p>
        </w:tc>
        <w:tc>
          <w:tcPr>
            <w:tcW w:w="320" w:type="dxa"/>
            <w:vAlign w:val="bottom"/>
            <w:shd w:val="clear" w:color="auto" w:fill="F5F5F5"/>
          </w:tcPr>
          <w:p>
            <w:pPr>
              <w:spacing w:after="0"/>
              <w:rPr>
                <w:sz w:val="14"/>
                <w:szCs w:val="14"/>
                <w:color w:val="auto"/>
              </w:rPr>
            </w:pPr>
          </w:p>
        </w:tc>
        <w:tc>
          <w:tcPr>
            <w:tcW w:w="120" w:type="dxa"/>
            <w:vAlign w:val="bottom"/>
            <w:tcBorders>
              <w:right w:val="single" w:sz="8" w:color="F5F5F5"/>
            </w:tcBorders>
            <w:shd w:val="clear" w:color="auto" w:fill="F5F5F5"/>
          </w:tcPr>
          <w:p>
            <w:pPr>
              <w:spacing w:after="0"/>
              <w:rPr>
                <w:sz w:val="14"/>
                <w:szCs w:val="14"/>
                <w:color w:val="auto"/>
              </w:rPr>
            </w:pPr>
          </w:p>
        </w:tc>
        <w:tc>
          <w:tcPr>
            <w:tcW w:w="10560" w:type="dxa"/>
            <w:vAlign w:val="bottom"/>
            <w:gridSpan w:val="40"/>
            <w:shd w:val="clear" w:color="auto" w:fill="F5F5F5"/>
          </w:tcPr>
          <w:p>
            <w:pPr>
              <w:spacing w:after="0"/>
              <w:rPr>
                <w:rFonts w:ascii="Arial" w:cs="Arial" w:eastAsia="Arial" w:hAnsi="Arial"/>
                <w:sz w:val="14"/>
                <w:szCs w:val="14"/>
                <w:color w:val="0000FF"/>
              </w:rPr>
            </w:pPr>
            <w:hyperlink r:id="rId130">
              <w:r>
                <w:rPr>
                  <w:rFonts w:ascii="Arial" w:cs="Arial" w:eastAsia="Arial" w:hAnsi="Arial"/>
                  <w:sz w:val="14"/>
                  <w:szCs w:val="14"/>
                  <w:color w:val="0000FF"/>
                </w:rPr>
                <w:t>Security Agreement, dated as of August 7, 2014, made by Abercrombie &amp; Fitch Management Co., as lead borrower for itself and the other Borrowers,</w:t>
              </w:r>
            </w:hyperlink>
          </w:p>
        </w:tc>
      </w:tr>
      <w:tr>
        <w:trPr>
          <w:trHeight w:val="128"/>
        </w:trPr>
        <w:tc>
          <w:tcPr>
            <w:tcW w:w="600" w:type="dxa"/>
            <w:vAlign w:val="bottom"/>
            <w:tcBorders>
              <w:top w:val="single" w:sz="8" w:color="F5F5F5"/>
              <w:bottom w:val="single" w:sz="8" w:color="F5F5F5"/>
            </w:tcBorders>
            <w:shd w:val="clear" w:color="auto" w:fill="F5F5F5"/>
          </w:tcPr>
          <w:p>
            <w:pPr>
              <w:spacing w:after="0"/>
              <w:rPr>
                <w:sz w:val="11"/>
                <w:szCs w:val="11"/>
                <w:color w:val="auto"/>
              </w:rPr>
            </w:pPr>
          </w:p>
        </w:tc>
        <w:tc>
          <w:tcPr>
            <w:tcW w:w="320" w:type="dxa"/>
            <w:vAlign w:val="bottom"/>
            <w:tcBorders>
              <w:top w:val="single" w:sz="8" w:color="F5F5F5"/>
              <w:bottom w:val="single" w:sz="8" w:color="F5F5F5"/>
            </w:tcBorders>
            <w:shd w:val="clear" w:color="auto" w:fill="F5F5F5"/>
          </w:tcPr>
          <w:p>
            <w:pPr>
              <w:spacing w:after="0"/>
              <w:rPr>
                <w:sz w:val="11"/>
                <w:szCs w:val="11"/>
                <w:color w:val="auto"/>
              </w:rPr>
            </w:pPr>
          </w:p>
        </w:tc>
        <w:tc>
          <w:tcPr>
            <w:tcW w:w="120" w:type="dxa"/>
            <w:vAlign w:val="bottom"/>
            <w:tcBorders>
              <w:top w:val="single" w:sz="8" w:color="F5F5F5"/>
              <w:bottom w:val="single" w:sz="8" w:color="F5F5F5"/>
              <w:right w:val="single" w:sz="8" w:color="F5F5F5"/>
            </w:tcBorders>
            <w:shd w:val="clear" w:color="auto" w:fill="F5F5F5"/>
          </w:tcPr>
          <w:p>
            <w:pPr>
              <w:spacing w:after="0"/>
              <w:rPr>
                <w:sz w:val="11"/>
                <w:szCs w:val="11"/>
                <w:color w:val="auto"/>
              </w:rPr>
            </w:pPr>
          </w:p>
        </w:tc>
        <w:tc>
          <w:tcPr>
            <w:tcW w:w="10280" w:type="dxa"/>
            <w:vAlign w:val="bottom"/>
            <w:tcBorders>
              <w:top w:val="single" w:sz="8" w:color="0000FF"/>
              <w:bottom w:val="single" w:sz="8" w:color="0000FF"/>
            </w:tcBorders>
            <w:gridSpan w:val="26"/>
            <w:shd w:val="clear" w:color="auto" w:fill="F5F5F5"/>
          </w:tcPr>
          <w:p>
            <w:pPr>
              <w:spacing w:after="0" w:line="129" w:lineRule="exact"/>
              <w:rPr>
                <w:rFonts w:ascii="Arial" w:cs="Arial" w:eastAsia="Arial" w:hAnsi="Arial"/>
                <w:sz w:val="14"/>
                <w:szCs w:val="14"/>
                <w:color w:val="0000FF"/>
              </w:rPr>
            </w:pPr>
            <w:hyperlink r:id="rId130">
              <w:r>
                <w:rPr>
                  <w:rFonts w:ascii="Arial" w:cs="Arial" w:eastAsia="Arial" w:hAnsi="Arial"/>
                  <w:sz w:val="14"/>
                  <w:szCs w:val="14"/>
                  <w:color w:val="0000FF"/>
                </w:rPr>
                <w:t>Abercrombie &amp; Fitch Co. and certain of its wholly-owned subsidiaries, in their respective capacities as a guarantor, and the other borrowers and guarantors from</w:t>
              </w:r>
            </w:hyperlink>
          </w:p>
        </w:tc>
        <w:tc>
          <w:tcPr>
            <w:tcW w:w="60" w:type="dxa"/>
            <w:vAlign w:val="bottom"/>
            <w:tcBorders>
              <w:top w:val="single" w:sz="8" w:color="F5F5F5"/>
              <w:bottom w:val="single" w:sz="8" w:color="0000FF"/>
            </w:tcBorders>
            <w:gridSpan w:val="3"/>
            <w:shd w:val="clear" w:color="auto" w:fill="F5F5F5"/>
          </w:tcPr>
          <w:p>
            <w:pPr>
              <w:spacing w:after="0"/>
              <w:rPr>
                <w:sz w:val="11"/>
                <w:szCs w:val="11"/>
                <w:color w:val="auto"/>
              </w:rPr>
            </w:pPr>
          </w:p>
        </w:tc>
        <w:tc>
          <w:tcPr>
            <w:tcW w:w="160" w:type="dxa"/>
            <w:vAlign w:val="bottom"/>
            <w:tcBorders>
              <w:top w:val="single" w:sz="8" w:color="F5F5F5"/>
              <w:bottom w:val="single" w:sz="8" w:color="F5F5F5"/>
            </w:tcBorders>
            <w:gridSpan w:val="8"/>
            <w:shd w:val="clear" w:color="auto" w:fill="F5F5F5"/>
          </w:tcPr>
          <w:p>
            <w:pPr>
              <w:spacing w:after="0"/>
              <w:rPr>
                <w:sz w:val="11"/>
                <w:szCs w:val="11"/>
                <w:color w:val="auto"/>
              </w:rPr>
            </w:pPr>
          </w:p>
        </w:tc>
        <w:tc>
          <w:tcPr>
            <w:tcW w:w="60" w:type="dxa"/>
            <w:vAlign w:val="bottom"/>
            <w:tcBorders>
              <w:top w:val="single" w:sz="8" w:color="F5F5F5"/>
              <w:bottom w:val="single" w:sz="8" w:color="F5F5F5"/>
            </w:tcBorders>
            <w:gridSpan w:val="3"/>
            <w:shd w:val="clear" w:color="auto" w:fill="F5F5F5"/>
          </w:tcPr>
          <w:p>
            <w:pPr>
              <w:spacing w:after="0"/>
              <w:rPr>
                <w:sz w:val="11"/>
                <w:szCs w:val="11"/>
                <w:color w:val="auto"/>
              </w:rPr>
            </w:pPr>
          </w:p>
        </w:tc>
      </w:tr>
      <w:tr>
        <w:trPr>
          <w:trHeight w:val="129"/>
        </w:trPr>
        <w:tc>
          <w:tcPr>
            <w:tcW w:w="600" w:type="dxa"/>
            <w:vAlign w:val="bottom"/>
            <w:tcBorders>
              <w:bottom w:val="single" w:sz="8" w:color="F5F5F5"/>
            </w:tcBorders>
            <w:shd w:val="clear" w:color="auto" w:fill="F5F5F5"/>
          </w:tcPr>
          <w:p>
            <w:pPr>
              <w:spacing w:after="0"/>
              <w:rPr>
                <w:sz w:val="11"/>
                <w:szCs w:val="11"/>
                <w:color w:val="auto"/>
              </w:rPr>
            </w:pPr>
          </w:p>
        </w:tc>
        <w:tc>
          <w:tcPr>
            <w:tcW w:w="320" w:type="dxa"/>
            <w:vAlign w:val="bottom"/>
            <w:tcBorders>
              <w:bottom w:val="single" w:sz="8" w:color="F5F5F5"/>
            </w:tcBorders>
            <w:shd w:val="clear" w:color="auto" w:fill="F5F5F5"/>
          </w:tcPr>
          <w:p>
            <w:pPr>
              <w:spacing w:after="0"/>
              <w:rPr>
                <w:sz w:val="11"/>
                <w:szCs w:val="11"/>
                <w:color w:val="auto"/>
              </w:rPr>
            </w:pPr>
          </w:p>
        </w:tc>
        <w:tc>
          <w:tcPr>
            <w:tcW w:w="120" w:type="dxa"/>
            <w:vAlign w:val="bottom"/>
            <w:tcBorders>
              <w:bottom w:val="single" w:sz="8" w:color="F5F5F5"/>
              <w:right w:val="single" w:sz="8" w:color="F5F5F5"/>
            </w:tcBorders>
            <w:shd w:val="clear" w:color="auto" w:fill="F5F5F5"/>
          </w:tcPr>
          <w:p>
            <w:pPr>
              <w:spacing w:after="0"/>
              <w:rPr>
                <w:sz w:val="11"/>
                <w:szCs w:val="11"/>
                <w:color w:val="auto"/>
              </w:rPr>
            </w:pPr>
          </w:p>
        </w:tc>
        <w:tc>
          <w:tcPr>
            <w:tcW w:w="10340" w:type="dxa"/>
            <w:vAlign w:val="bottom"/>
            <w:tcBorders>
              <w:bottom w:val="single" w:sz="8" w:color="0000FF"/>
            </w:tcBorders>
            <w:gridSpan w:val="29"/>
            <w:shd w:val="clear" w:color="auto" w:fill="F5F5F5"/>
          </w:tcPr>
          <w:p>
            <w:pPr>
              <w:spacing w:after="0" w:line="129" w:lineRule="exact"/>
              <w:rPr>
                <w:rFonts w:ascii="Arial" w:cs="Arial" w:eastAsia="Arial" w:hAnsi="Arial"/>
                <w:sz w:val="14"/>
                <w:szCs w:val="14"/>
                <w:color w:val="0000FF"/>
              </w:rPr>
            </w:pPr>
            <w:hyperlink r:id="rId130">
              <w:r>
                <w:rPr>
                  <w:rFonts w:ascii="Arial" w:cs="Arial" w:eastAsia="Arial" w:hAnsi="Arial"/>
                  <w:sz w:val="14"/>
                  <w:szCs w:val="14"/>
                  <w:color w:val="0000FF"/>
                </w:rPr>
                <w:t>time to time party thereto, in favor of Wells Fargo Bank, National Association, as administrative agent and collateral agent for the Credit Parties, incorporated</w:t>
              </w:r>
            </w:hyperlink>
          </w:p>
        </w:tc>
        <w:tc>
          <w:tcPr>
            <w:tcW w:w="160" w:type="dxa"/>
            <w:vAlign w:val="bottom"/>
            <w:tcBorders>
              <w:bottom w:val="single" w:sz="8" w:color="0000FF"/>
            </w:tcBorders>
            <w:gridSpan w:val="8"/>
            <w:shd w:val="clear" w:color="auto" w:fill="F5F5F5"/>
          </w:tcPr>
          <w:p>
            <w:pPr>
              <w:spacing w:after="0"/>
              <w:rPr>
                <w:sz w:val="11"/>
                <w:szCs w:val="11"/>
                <w:color w:val="auto"/>
              </w:rPr>
            </w:pPr>
          </w:p>
        </w:tc>
        <w:tc>
          <w:tcPr>
            <w:tcW w:w="60" w:type="dxa"/>
            <w:vAlign w:val="bottom"/>
            <w:tcBorders>
              <w:bottom w:val="single" w:sz="8" w:color="F5F5F5"/>
            </w:tcBorders>
            <w:gridSpan w:val="3"/>
            <w:shd w:val="clear" w:color="auto" w:fill="F5F5F5"/>
          </w:tcPr>
          <w:p>
            <w:pPr>
              <w:spacing w:after="0"/>
              <w:rPr>
                <w:sz w:val="11"/>
                <w:szCs w:val="11"/>
                <w:color w:val="auto"/>
              </w:rPr>
            </w:pPr>
          </w:p>
        </w:tc>
      </w:tr>
      <w:tr>
        <w:trPr>
          <w:trHeight w:val="115"/>
        </w:trPr>
        <w:tc>
          <w:tcPr>
            <w:tcW w:w="600" w:type="dxa"/>
            <w:vAlign w:val="bottom"/>
            <w:shd w:val="clear" w:color="auto" w:fill="F5F5F5"/>
          </w:tcPr>
          <w:p>
            <w:pPr>
              <w:spacing w:after="0"/>
              <w:rPr>
                <w:sz w:val="10"/>
                <w:szCs w:val="10"/>
                <w:color w:val="auto"/>
              </w:rPr>
            </w:pPr>
          </w:p>
        </w:tc>
        <w:tc>
          <w:tcPr>
            <w:tcW w:w="320" w:type="dxa"/>
            <w:vAlign w:val="bottom"/>
            <w:shd w:val="clear" w:color="auto" w:fill="F5F5F5"/>
          </w:tcPr>
          <w:p>
            <w:pPr>
              <w:spacing w:after="0"/>
              <w:rPr>
                <w:sz w:val="10"/>
                <w:szCs w:val="10"/>
                <w:color w:val="auto"/>
              </w:rPr>
            </w:pPr>
          </w:p>
        </w:tc>
        <w:tc>
          <w:tcPr>
            <w:tcW w:w="120" w:type="dxa"/>
            <w:vAlign w:val="bottom"/>
            <w:tcBorders>
              <w:right w:val="single" w:sz="8" w:color="F5F5F5"/>
            </w:tcBorders>
            <w:shd w:val="clear" w:color="auto" w:fill="F5F5F5"/>
          </w:tcPr>
          <w:p>
            <w:pPr>
              <w:spacing w:after="0"/>
              <w:rPr>
                <w:sz w:val="10"/>
                <w:szCs w:val="10"/>
                <w:color w:val="auto"/>
              </w:rPr>
            </w:pPr>
          </w:p>
        </w:tc>
        <w:tc>
          <w:tcPr>
            <w:tcW w:w="10500" w:type="dxa"/>
            <w:vAlign w:val="bottom"/>
            <w:gridSpan w:val="37"/>
            <w:shd w:val="clear" w:color="auto" w:fill="F5F5F5"/>
          </w:tcPr>
          <w:p>
            <w:pPr>
              <w:spacing w:after="0" w:line="115" w:lineRule="exact"/>
              <w:rPr>
                <w:rFonts w:ascii="Arial" w:cs="Arial" w:eastAsia="Arial" w:hAnsi="Arial"/>
                <w:sz w:val="13"/>
                <w:szCs w:val="13"/>
                <w:color w:val="0000FF"/>
              </w:rPr>
            </w:pPr>
            <w:hyperlink r:id="rId130">
              <w:r>
                <w:rPr>
                  <w:rFonts w:ascii="Arial" w:cs="Arial" w:eastAsia="Arial" w:hAnsi="Arial"/>
                  <w:sz w:val="13"/>
                  <w:szCs w:val="13"/>
                  <w:color w:val="0000FF"/>
                </w:rPr>
                <w:t>herein by reference to Exhibit 10.7 to A&amp;F’s Quarterly Report on Form 10-Q for the quarterly period ended August 2, 2014 (File No. 001-12107).††</w:t>
              </w:r>
            </w:hyperlink>
          </w:p>
        </w:tc>
        <w:tc>
          <w:tcPr>
            <w:tcW w:w="60" w:type="dxa"/>
            <w:vAlign w:val="bottom"/>
            <w:gridSpan w:val="3"/>
            <w:shd w:val="clear" w:color="auto" w:fill="F5F5F5"/>
          </w:tcPr>
          <w:p>
            <w:pPr>
              <w:spacing w:after="0"/>
              <w:rPr>
                <w:sz w:val="10"/>
                <w:szCs w:val="10"/>
                <w:color w:val="auto"/>
              </w:rPr>
            </w:pPr>
          </w:p>
        </w:tc>
      </w:tr>
      <w:tr>
        <w:trPr>
          <w:trHeight w:val="20"/>
        </w:trPr>
        <w:tc>
          <w:tcPr>
            <w:tcW w:w="600" w:type="dxa"/>
            <w:vAlign w:val="bottom"/>
            <w:tcBorders>
              <w:top w:val="single" w:sz="8" w:color="F5F5F5"/>
            </w:tcBorders>
            <w:shd w:val="clear" w:color="auto" w:fill="F5F5F5"/>
          </w:tcPr>
          <w:p>
            <w:pPr>
              <w:spacing w:after="0" w:line="20" w:lineRule="exact"/>
              <w:rPr>
                <w:sz w:val="1"/>
                <w:szCs w:val="1"/>
                <w:color w:val="auto"/>
              </w:rPr>
            </w:pPr>
          </w:p>
        </w:tc>
        <w:tc>
          <w:tcPr>
            <w:tcW w:w="320" w:type="dxa"/>
            <w:vAlign w:val="bottom"/>
            <w:tcBorders>
              <w:top w:val="single" w:sz="8" w:color="F5F5F5"/>
            </w:tcBorders>
            <w:shd w:val="clear" w:color="auto" w:fill="F5F5F5"/>
          </w:tcPr>
          <w:p>
            <w:pPr>
              <w:spacing w:after="0" w:line="20" w:lineRule="exact"/>
              <w:rPr>
                <w:sz w:val="1"/>
                <w:szCs w:val="1"/>
                <w:color w:val="auto"/>
              </w:rPr>
            </w:pPr>
          </w:p>
        </w:tc>
        <w:tc>
          <w:tcPr>
            <w:tcW w:w="120" w:type="dxa"/>
            <w:vAlign w:val="bottom"/>
            <w:tcBorders>
              <w:top w:val="single" w:sz="8" w:color="F5F5F5"/>
              <w:right w:val="single" w:sz="8" w:color="F5F5F5"/>
            </w:tcBorders>
            <w:shd w:val="clear" w:color="auto" w:fill="F5F5F5"/>
          </w:tcPr>
          <w:p>
            <w:pPr>
              <w:spacing w:after="0" w:line="20" w:lineRule="exact"/>
              <w:rPr>
                <w:sz w:val="1"/>
                <w:szCs w:val="1"/>
                <w:color w:val="auto"/>
              </w:rPr>
            </w:pPr>
          </w:p>
        </w:tc>
        <w:tc>
          <w:tcPr>
            <w:tcW w:w="480" w:type="dxa"/>
            <w:vAlign w:val="bottom"/>
            <w:tcBorders>
              <w:top w:val="single" w:sz="8" w:color="0000FF"/>
            </w:tcBorders>
            <w:shd w:val="clear" w:color="auto" w:fill="F5F5F5"/>
          </w:tcPr>
          <w:p>
            <w:pPr>
              <w:spacing w:after="0" w:line="20" w:lineRule="exact"/>
              <w:rPr>
                <w:sz w:val="1"/>
                <w:szCs w:val="1"/>
                <w:color w:val="auto"/>
              </w:rPr>
            </w:pPr>
          </w:p>
        </w:tc>
        <w:tc>
          <w:tcPr>
            <w:tcW w:w="80" w:type="dxa"/>
            <w:vAlign w:val="bottom"/>
            <w:tcBorders>
              <w:top w:val="single" w:sz="8" w:color="0000FF"/>
            </w:tcBorders>
            <w:shd w:val="clear" w:color="auto" w:fill="F5F5F5"/>
          </w:tcPr>
          <w:p>
            <w:pPr>
              <w:spacing w:after="0" w:line="20" w:lineRule="exact"/>
              <w:rPr>
                <w:sz w:val="1"/>
                <w:szCs w:val="1"/>
                <w:color w:val="auto"/>
              </w:rPr>
            </w:pPr>
          </w:p>
        </w:tc>
        <w:tc>
          <w:tcPr>
            <w:tcW w:w="480" w:type="dxa"/>
            <w:vAlign w:val="bottom"/>
            <w:tcBorders>
              <w:top w:val="single" w:sz="8" w:color="0000FF"/>
            </w:tcBorders>
            <w:shd w:val="clear" w:color="auto" w:fill="F5F5F5"/>
          </w:tcPr>
          <w:p>
            <w:pPr>
              <w:spacing w:after="0" w:line="20" w:lineRule="exact"/>
              <w:rPr>
                <w:sz w:val="1"/>
                <w:szCs w:val="1"/>
                <w:color w:val="auto"/>
              </w:rPr>
            </w:pPr>
          </w:p>
        </w:tc>
        <w:tc>
          <w:tcPr>
            <w:tcW w:w="320" w:type="dxa"/>
            <w:vAlign w:val="bottom"/>
            <w:tcBorders>
              <w:top w:val="single" w:sz="8" w:color="0000FF"/>
            </w:tcBorders>
            <w:shd w:val="clear" w:color="auto" w:fill="F5F5F5"/>
          </w:tcPr>
          <w:p>
            <w:pPr>
              <w:spacing w:after="0" w:line="20" w:lineRule="exact"/>
              <w:rPr>
                <w:sz w:val="1"/>
                <w:szCs w:val="1"/>
                <w:color w:val="auto"/>
              </w:rPr>
            </w:pPr>
          </w:p>
        </w:tc>
        <w:tc>
          <w:tcPr>
            <w:tcW w:w="2300" w:type="dxa"/>
            <w:vAlign w:val="bottom"/>
            <w:tcBorders>
              <w:top w:val="single" w:sz="8" w:color="0000FF"/>
            </w:tcBorders>
            <w:shd w:val="clear" w:color="auto" w:fill="F5F5F5"/>
          </w:tcPr>
          <w:p>
            <w:pPr>
              <w:spacing w:after="0" w:line="20" w:lineRule="exact"/>
              <w:rPr>
                <w:sz w:val="1"/>
                <w:szCs w:val="1"/>
                <w:color w:val="auto"/>
              </w:rPr>
            </w:pPr>
          </w:p>
        </w:tc>
        <w:tc>
          <w:tcPr>
            <w:tcW w:w="420" w:type="dxa"/>
            <w:vAlign w:val="bottom"/>
            <w:tcBorders>
              <w:top w:val="single" w:sz="8" w:color="0000FF"/>
            </w:tcBorders>
            <w:shd w:val="clear" w:color="auto" w:fill="F5F5F5"/>
          </w:tcPr>
          <w:p>
            <w:pPr>
              <w:spacing w:after="0" w:line="20" w:lineRule="exact"/>
              <w:rPr>
                <w:sz w:val="1"/>
                <w:szCs w:val="1"/>
                <w:color w:val="auto"/>
              </w:rPr>
            </w:pPr>
          </w:p>
        </w:tc>
        <w:tc>
          <w:tcPr>
            <w:tcW w:w="800" w:type="dxa"/>
            <w:vAlign w:val="bottom"/>
            <w:tcBorders>
              <w:top w:val="single" w:sz="8" w:color="0000FF"/>
            </w:tcBorders>
            <w:shd w:val="clear" w:color="auto" w:fill="F5F5F5"/>
          </w:tcPr>
          <w:p>
            <w:pPr>
              <w:spacing w:after="0" w:line="20" w:lineRule="exact"/>
              <w:rPr>
                <w:sz w:val="1"/>
                <w:szCs w:val="1"/>
                <w:color w:val="auto"/>
              </w:rPr>
            </w:pPr>
          </w:p>
        </w:tc>
        <w:tc>
          <w:tcPr>
            <w:tcW w:w="60" w:type="dxa"/>
            <w:vAlign w:val="bottom"/>
            <w:tcBorders>
              <w:top w:val="single" w:sz="8" w:color="0000FF"/>
            </w:tcBorders>
            <w:shd w:val="clear" w:color="auto" w:fill="F5F5F5"/>
          </w:tcPr>
          <w:p>
            <w:pPr>
              <w:spacing w:after="0" w:line="20" w:lineRule="exact"/>
              <w:rPr>
                <w:sz w:val="1"/>
                <w:szCs w:val="1"/>
                <w:color w:val="auto"/>
              </w:rPr>
            </w:pPr>
          </w:p>
        </w:tc>
        <w:tc>
          <w:tcPr>
            <w:tcW w:w="380" w:type="dxa"/>
            <w:vAlign w:val="bottom"/>
            <w:tcBorders>
              <w:top w:val="single" w:sz="8" w:color="0000FF"/>
            </w:tcBorders>
            <w:shd w:val="clear" w:color="auto" w:fill="F5F5F5"/>
          </w:tcPr>
          <w:p>
            <w:pPr>
              <w:spacing w:after="0" w:line="20" w:lineRule="exact"/>
              <w:rPr>
                <w:sz w:val="1"/>
                <w:szCs w:val="1"/>
                <w:color w:val="auto"/>
              </w:rPr>
            </w:pPr>
          </w:p>
        </w:tc>
        <w:tc>
          <w:tcPr>
            <w:tcW w:w="640" w:type="dxa"/>
            <w:vAlign w:val="bottom"/>
            <w:tcBorders>
              <w:top w:val="single" w:sz="8" w:color="0000FF"/>
              <w:right w:val="single" w:sz="8" w:color="F5F5F5"/>
            </w:tcBorders>
            <w:shd w:val="clear" w:color="auto" w:fill="F5F5F5"/>
          </w:tcPr>
          <w:p>
            <w:pPr>
              <w:spacing w:after="0" w:line="20" w:lineRule="exact"/>
              <w:rPr>
                <w:sz w:val="1"/>
                <w:szCs w:val="1"/>
                <w:color w:val="auto"/>
              </w:rPr>
            </w:pPr>
          </w:p>
        </w:tc>
        <w:tc>
          <w:tcPr>
            <w:tcW w:w="920" w:type="dxa"/>
            <w:vAlign w:val="bottom"/>
            <w:tcBorders>
              <w:top w:val="single" w:sz="8" w:color="0000FF"/>
              <w:left w:val="single" w:sz="8" w:color="F5F5F5"/>
            </w:tcBorders>
            <w:shd w:val="clear" w:color="auto" w:fill="F5F5F5"/>
          </w:tcPr>
          <w:p>
            <w:pPr>
              <w:spacing w:after="0" w:line="20" w:lineRule="exact"/>
              <w:rPr>
                <w:sz w:val="1"/>
                <w:szCs w:val="1"/>
                <w:color w:val="auto"/>
              </w:rPr>
            </w:pPr>
          </w:p>
        </w:tc>
        <w:tc>
          <w:tcPr>
            <w:tcW w:w="360" w:type="dxa"/>
            <w:vAlign w:val="bottom"/>
            <w:tcBorders>
              <w:top w:val="single" w:sz="8" w:color="0000FF"/>
            </w:tcBorders>
            <w:shd w:val="clear" w:color="auto" w:fill="F5F5F5"/>
          </w:tcPr>
          <w:p>
            <w:pPr>
              <w:spacing w:after="0" w:line="20" w:lineRule="exact"/>
              <w:rPr>
                <w:sz w:val="1"/>
                <w:szCs w:val="1"/>
                <w:color w:val="auto"/>
              </w:rPr>
            </w:pPr>
          </w:p>
        </w:tc>
        <w:tc>
          <w:tcPr>
            <w:tcW w:w="900" w:type="dxa"/>
            <w:vAlign w:val="bottom"/>
            <w:tcBorders>
              <w:top w:val="single" w:sz="8" w:color="0000FF"/>
            </w:tcBorders>
            <w:shd w:val="clear" w:color="auto" w:fill="F5F5F5"/>
          </w:tcPr>
          <w:p>
            <w:pPr>
              <w:spacing w:after="0" w:line="20" w:lineRule="exact"/>
              <w:rPr>
                <w:sz w:val="1"/>
                <w:szCs w:val="1"/>
                <w:color w:val="auto"/>
              </w:rPr>
            </w:pPr>
          </w:p>
        </w:tc>
        <w:tc>
          <w:tcPr>
            <w:tcW w:w="140" w:type="dxa"/>
            <w:vAlign w:val="bottom"/>
            <w:tcBorders>
              <w:top w:val="single" w:sz="8" w:color="0000FF"/>
            </w:tcBorders>
            <w:shd w:val="clear" w:color="auto" w:fill="F5F5F5"/>
          </w:tcPr>
          <w:p>
            <w:pPr>
              <w:spacing w:after="0" w:line="20" w:lineRule="exact"/>
              <w:rPr>
                <w:sz w:val="1"/>
                <w:szCs w:val="1"/>
                <w:color w:val="auto"/>
              </w:rPr>
            </w:pPr>
          </w:p>
        </w:tc>
        <w:tc>
          <w:tcPr>
            <w:tcW w:w="700" w:type="dxa"/>
            <w:vAlign w:val="bottom"/>
            <w:tcBorders>
              <w:top w:val="single" w:sz="8" w:color="0000FF"/>
            </w:tcBorders>
            <w:shd w:val="clear" w:color="auto" w:fill="F5F5F5"/>
          </w:tcPr>
          <w:p>
            <w:pPr>
              <w:spacing w:after="0" w:line="20" w:lineRule="exact"/>
              <w:rPr>
                <w:sz w:val="1"/>
                <w:szCs w:val="1"/>
                <w:color w:val="auto"/>
              </w:rPr>
            </w:pPr>
          </w:p>
        </w:tc>
        <w:tc>
          <w:tcPr>
            <w:tcW w:w="320" w:type="dxa"/>
            <w:vAlign w:val="bottom"/>
            <w:tcBorders>
              <w:top w:val="single" w:sz="8" w:color="0000FF"/>
            </w:tcBorders>
            <w:shd w:val="clear" w:color="auto" w:fill="F5F5F5"/>
          </w:tcPr>
          <w:p>
            <w:pPr>
              <w:spacing w:after="0" w:line="20" w:lineRule="exact"/>
              <w:rPr>
                <w:sz w:val="1"/>
                <w:szCs w:val="1"/>
                <w:color w:val="auto"/>
              </w:rPr>
            </w:pPr>
          </w:p>
        </w:tc>
        <w:tc>
          <w:tcPr>
            <w:tcW w:w="380" w:type="dxa"/>
            <w:vAlign w:val="bottom"/>
            <w:tcBorders>
              <w:top w:val="single" w:sz="8" w:color="F5F5F5"/>
            </w:tcBorders>
            <w:shd w:val="clear" w:color="auto" w:fill="F5F5F5"/>
          </w:tcPr>
          <w:p>
            <w:pPr>
              <w:spacing w:after="0" w:line="20" w:lineRule="exact"/>
              <w:rPr>
                <w:sz w:val="1"/>
                <w:szCs w:val="1"/>
                <w:color w:val="auto"/>
              </w:rPr>
            </w:pPr>
          </w:p>
        </w:tc>
        <w:tc>
          <w:tcPr>
            <w:tcW w:w="38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8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r>
      <w:tr>
        <w:trPr>
          <w:trHeight w:val="748"/>
        </w:trPr>
        <w:tc>
          <w:tcPr>
            <w:tcW w:w="600" w:type="dxa"/>
            <w:vAlign w:val="bottom"/>
          </w:tcPr>
          <w:p>
            <w:pPr>
              <w:spacing w:after="0"/>
              <w:rPr>
                <w:sz w:val="24"/>
                <w:szCs w:val="24"/>
                <w:color w:val="auto"/>
              </w:rPr>
            </w:pPr>
          </w:p>
        </w:tc>
        <w:tc>
          <w:tcPr>
            <w:tcW w:w="4520" w:type="dxa"/>
            <w:vAlign w:val="bottom"/>
            <w:gridSpan w:val="8"/>
          </w:tcPr>
          <w:p>
            <w:pPr>
              <w:ind w:left="120"/>
              <w:spacing w:after="0"/>
              <w:rPr>
                <w:sz w:val="20"/>
                <w:szCs w:val="20"/>
                <w:color w:val="auto"/>
              </w:rPr>
            </w:pPr>
            <w:r>
              <w:rPr>
                <w:rFonts w:ascii="Arial" w:cs="Arial" w:eastAsia="Arial" w:hAnsi="Arial"/>
                <w:sz w:val="14"/>
                <w:szCs w:val="14"/>
                <w:color w:val="auto"/>
              </w:rPr>
              <w:t>Abercrombie &amp; Fitch Co.</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87</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80" w:type="dxa"/>
            <w:vAlign w:val="bottom"/>
            <w:gridSpan w:val="26"/>
          </w:tcPr>
          <w:p>
            <w:pPr>
              <w:ind w:left="160"/>
              <w:spacing w:after="0"/>
              <w:rPr>
                <w:sz w:val="20"/>
                <w:szCs w:val="20"/>
                <w:color w:val="auto"/>
              </w:rPr>
            </w:pPr>
            <w:r>
              <w:rPr>
                <w:rFonts w:ascii="Arial" w:cs="Arial" w:eastAsia="Arial" w:hAnsi="Arial"/>
                <w:sz w:val="14"/>
                <w:szCs w:val="14"/>
                <w:color w:val="auto"/>
              </w:rPr>
              <w:t>2024 Form 10-K</w:t>
            </w:r>
          </w:p>
        </w:tc>
      </w:tr>
      <w:tr>
        <w:trPr>
          <w:trHeight w:val="231"/>
        </w:trPr>
        <w:tc>
          <w:tcPr>
            <w:tcW w:w="600" w:type="dxa"/>
            <w:vAlign w:val="bottom"/>
            <w:tcBorders>
              <w:bottom w:val="single" w:sz="8" w:color="9A9A9A"/>
            </w:tcBorders>
          </w:tcPr>
          <w:p>
            <w:pPr>
              <w:spacing w:after="0"/>
              <w:rPr>
                <w:sz w:val="20"/>
                <w:szCs w:val="20"/>
                <w:color w:val="auto"/>
              </w:rPr>
            </w:pPr>
          </w:p>
        </w:tc>
        <w:tc>
          <w:tcPr>
            <w:tcW w:w="32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48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480" w:type="dxa"/>
            <w:vAlign w:val="bottom"/>
            <w:tcBorders>
              <w:bottom w:val="single" w:sz="8" w:color="9A9A9A"/>
            </w:tcBorders>
          </w:tcPr>
          <w:p>
            <w:pPr>
              <w:spacing w:after="0"/>
              <w:rPr>
                <w:sz w:val="20"/>
                <w:szCs w:val="20"/>
                <w:color w:val="auto"/>
              </w:rPr>
            </w:pPr>
          </w:p>
        </w:tc>
        <w:tc>
          <w:tcPr>
            <w:tcW w:w="320" w:type="dxa"/>
            <w:vAlign w:val="bottom"/>
            <w:tcBorders>
              <w:bottom w:val="single" w:sz="8" w:color="9A9A9A"/>
            </w:tcBorders>
          </w:tcPr>
          <w:p>
            <w:pPr>
              <w:spacing w:after="0"/>
              <w:rPr>
                <w:sz w:val="20"/>
                <w:szCs w:val="20"/>
                <w:color w:val="auto"/>
              </w:rPr>
            </w:pPr>
          </w:p>
        </w:tc>
        <w:tc>
          <w:tcPr>
            <w:tcW w:w="2300" w:type="dxa"/>
            <w:vAlign w:val="bottom"/>
            <w:tcBorders>
              <w:bottom w:val="single" w:sz="8" w:color="9A9A9A"/>
            </w:tcBorders>
          </w:tcPr>
          <w:p>
            <w:pPr>
              <w:spacing w:after="0"/>
              <w:rPr>
                <w:sz w:val="20"/>
                <w:szCs w:val="20"/>
                <w:color w:val="auto"/>
              </w:rPr>
            </w:pPr>
          </w:p>
        </w:tc>
        <w:tc>
          <w:tcPr>
            <w:tcW w:w="420" w:type="dxa"/>
            <w:vAlign w:val="bottom"/>
            <w:tcBorders>
              <w:bottom w:val="single" w:sz="8" w:color="9A9A9A"/>
            </w:tcBorders>
          </w:tcPr>
          <w:p>
            <w:pPr>
              <w:spacing w:after="0"/>
              <w:rPr>
                <w:sz w:val="20"/>
                <w:szCs w:val="20"/>
                <w:color w:val="auto"/>
              </w:rPr>
            </w:pPr>
          </w:p>
        </w:tc>
        <w:tc>
          <w:tcPr>
            <w:tcW w:w="800" w:type="dxa"/>
            <w:vAlign w:val="bottom"/>
            <w:tcBorders>
              <w:bottom w:val="single" w:sz="8" w:color="9A9A9A"/>
            </w:tcBorders>
          </w:tcPr>
          <w:p>
            <w:pPr>
              <w:spacing w:after="0"/>
              <w:rPr>
                <w:sz w:val="20"/>
                <w:szCs w:val="20"/>
                <w:color w:val="auto"/>
              </w:rPr>
            </w:pPr>
          </w:p>
        </w:tc>
        <w:tc>
          <w:tcPr>
            <w:tcW w:w="60" w:type="dxa"/>
            <w:vAlign w:val="bottom"/>
            <w:tcBorders>
              <w:bottom w:val="single" w:sz="8" w:color="9A9A9A"/>
            </w:tcBorders>
          </w:tcPr>
          <w:p>
            <w:pPr>
              <w:spacing w:after="0"/>
              <w:rPr>
                <w:sz w:val="20"/>
                <w:szCs w:val="20"/>
                <w:color w:val="auto"/>
              </w:rPr>
            </w:pPr>
          </w:p>
        </w:tc>
        <w:tc>
          <w:tcPr>
            <w:tcW w:w="380" w:type="dxa"/>
            <w:vAlign w:val="bottom"/>
            <w:tcBorders>
              <w:bottom w:val="single" w:sz="8" w:color="9A9A9A"/>
            </w:tcBorders>
          </w:tcPr>
          <w:p>
            <w:pPr>
              <w:spacing w:after="0"/>
              <w:rPr>
                <w:sz w:val="20"/>
                <w:szCs w:val="20"/>
                <w:color w:val="auto"/>
              </w:rPr>
            </w:pPr>
          </w:p>
        </w:tc>
        <w:tc>
          <w:tcPr>
            <w:tcW w:w="640" w:type="dxa"/>
            <w:vAlign w:val="bottom"/>
            <w:tcBorders>
              <w:bottom w:val="single" w:sz="8" w:color="9A9A9A"/>
            </w:tcBorders>
          </w:tcPr>
          <w:p>
            <w:pPr>
              <w:spacing w:after="0"/>
              <w:rPr>
                <w:sz w:val="20"/>
                <w:szCs w:val="20"/>
                <w:color w:val="auto"/>
              </w:rPr>
            </w:pPr>
          </w:p>
        </w:tc>
        <w:tc>
          <w:tcPr>
            <w:tcW w:w="920" w:type="dxa"/>
            <w:vAlign w:val="bottom"/>
            <w:tcBorders>
              <w:bottom w:val="single" w:sz="8" w:color="9A9A9A"/>
            </w:tcBorders>
          </w:tcPr>
          <w:p>
            <w:pPr>
              <w:spacing w:after="0"/>
              <w:rPr>
                <w:sz w:val="20"/>
                <w:szCs w:val="20"/>
                <w:color w:val="auto"/>
              </w:rPr>
            </w:pPr>
          </w:p>
        </w:tc>
        <w:tc>
          <w:tcPr>
            <w:tcW w:w="360" w:type="dxa"/>
            <w:vAlign w:val="bottom"/>
            <w:tcBorders>
              <w:bottom w:val="single" w:sz="8" w:color="9A9A9A"/>
            </w:tcBorders>
          </w:tcPr>
          <w:p>
            <w:pPr>
              <w:spacing w:after="0"/>
              <w:rPr>
                <w:sz w:val="20"/>
                <w:szCs w:val="20"/>
                <w:color w:val="auto"/>
              </w:rPr>
            </w:pPr>
          </w:p>
        </w:tc>
        <w:tc>
          <w:tcPr>
            <w:tcW w:w="90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700" w:type="dxa"/>
            <w:vAlign w:val="bottom"/>
            <w:tcBorders>
              <w:bottom w:val="single" w:sz="8" w:color="9A9A9A"/>
            </w:tcBorders>
          </w:tcPr>
          <w:p>
            <w:pPr>
              <w:spacing w:after="0"/>
              <w:rPr>
                <w:sz w:val="20"/>
                <w:szCs w:val="20"/>
                <w:color w:val="auto"/>
              </w:rPr>
            </w:pPr>
          </w:p>
        </w:tc>
        <w:tc>
          <w:tcPr>
            <w:tcW w:w="320" w:type="dxa"/>
            <w:vAlign w:val="bottom"/>
            <w:tcBorders>
              <w:bottom w:val="single" w:sz="8" w:color="9A9A9A"/>
            </w:tcBorders>
          </w:tcPr>
          <w:p>
            <w:pPr>
              <w:spacing w:after="0"/>
              <w:rPr>
                <w:sz w:val="20"/>
                <w:szCs w:val="20"/>
                <w:color w:val="auto"/>
              </w:rPr>
            </w:pPr>
          </w:p>
        </w:tc>
        <w:tc>
          <w:tcPr>
            <w:tcW w:w="380" w:type="dxa"/>
            <w:vAlign w:val="bottom"/>
            <w:tcBorders>
              <w:bottom w:val="single" w:sz="8" w:color="9A9A9A"/>
            </w:tcBorders>
          </w:tcPr>
          <w:p>
            <w:pPr>
              <w:spacing w:after="0"/>
              <w:rPr>
                <w:sz w:val="20"/>
                <w:szCs w:val="20"/>
                <w:color w:val="auto"/>
              </w:rPr>
            </w:pPr>
          </w:p>
        </w:tc>
        <w:tc>
          <w:tcPr>
            <w:tcW w:w="38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040" w:right="200" w:hanging="1011"/>
        <w:spacing w:after="0" w:line="251" w:lineRule="auto"/>
        <w:tabs>
          <w:tab w:leader="none" w:pos="1020" w:val="left"/>
        </w:tabs>
        <w:rPr>
          <w:rFonts w:ascii="Arial" w:cs="Arial" w:eastAsia="Arial" w:hAnsi="Arial"/>
          <w:sz w:val="14"/>
          <w:szCs w:val="14"/>
          <w:u w:val="single" w:color="auto"/>
          <w:color w:val="0000FF"/>
        </w:rPr>
      </w:pPr>
      <w:r>
        <w:rPr>
          <w:rFonts w:ascii="Arial" w:cs="Arial" w:eastAsia="Arial" w:hAnsi="Arial"/>
          <w:sz w:val="14"/>
          <w:szCs w:val="14"/>
          <w:color w:val="auto"/>
        </w:rPr>
        <w:t>10.16</w:t>
      </w:r>
      <w:r>
        <w:rPr>
          <w:sz w:val="20"/>
          <w:szCs w:val="20"/>
          <w:color w:val="auto"/>
        </w:rPr>
        <w:tab/>
      </w:r>
      <w:hyperlink r:id="rId133">
        <w:r>
          <w:rPr>
            <w:rFonts w:ascii="Arial" w:cs="Arial" w:eastAsia="Arial" w:hAnsi="Arial"/>
            <w:sz w:val="14"/>
            <w:szCs w:val="14"/>
            <w:u w:val="single" w:color="auto"/>
            <w:color w:val="0000FF"/>
          </w:rPr>
          <w:t>Confirmation, Ratification and Amendment of Ancillary Loan Documents, made as of April 29, 2021, among Abercrombie &amp; Fitch Co., for itself and as Lead</w:t>
        </w:r>
      </w:hyperlink>
      <w:r>
        <w:rPr>
          <w:rFonts w:ascii="Arial" w:cs="Arial" w:eastAsia="Arial" w:hAnsi="Arial"/>
          <w:sz w:val="14"/>
          <w:szCs w:val="14"/>
          <w:u w:val="single" w:color="auto"/>
          <w:color w:val="0000FF"/>
        </w:rPr>
        <w:t xml:space="preserve"> </w:t>
      </w:r>
      <w:hyperlink r:id="rId133">
        <w:r>
          <w:rPr>
            <w:rFonts w:ascii="Arial" w:cs="Arial" w:eastAsia="Arial" w:hAnsi="Arial"/>
            <w:sz w:val="14"/>
            <w:szCs w:val="14"/>
            <w:u w:val="single" w:color="auto"/>
            <w:color w:val="0000FF"/>
          </w:rPr>
          <w:t>Borrower; the other Borrowers from time to time party thereto; the Guarantors from time to time party thereto; and Wells Fargo Bank, National Association, as</w:t>
        </w:r>
      </w:hyperlink>
    </w:p>
    <w:p>
      <w:pPr>
        <w:spacing w:after="0" w:line="1" w:lineRule="exact"/>
        <w:rPr>
          <w:sz w:val="20"/>
          <w:szCs w:val="20"/>
          <w:color w:val="auto"/>
        </w:rPr>
      </w:pPr>
    </w:p>
    <w:p>
      <w:pPr>
        <w:ind w:left="1040" w:right="100"/>
        <w:spacing w:after="0" w:line="244" w:lineRule="auto"/>
        <w:rPr>
          <w:rFonts w:ascii="Arial" w:cs="Arial" w:eastAsia="Arial" w:hAnsi="Arial"/>
          <w:sz w:val="14"/>
          <w:szCs w:val="14"/>
          <w:u w:val="single" w:color="auto"/>
          <w:color w:val="0000FF"/>
        </w:rPr>
      </w:pPr>
      <w:hyperlink r:id="rId133">
        <w:r>
          <w:rPr>
            <w:rFonts w:ascii="Arial" w:cs="Arial" w:eastAsia="Arial" w:hAnsi="Arial"/>
            <w:sz w:val="14"/>
            <w:szCs w:val="14"/>
            <w:u w:val="single" w:color="auto"/>
            <w:color w:val="0000FF"/>
          </w:rPr>
          <w:t>Administrative Agent and Collateral Agent , incorporated herein by reference to Exhibit 10.19 to A&amp;F’s Annual Report on 10-K for the fiscal year ended January</w:t>
        </w:r>
      </w:hyperlink>
      <w:r>
        <w:rPr>
          <w:rFonts w:ascii="Arial" w:cs="Arial" w:eastAsia="Arial" w:hAnsi="Arial"/>
          <w:sz w:val="14"/>
          <w:szCs w:val="14"/>
          <w:u w:val="single" w:color="auto"/>
          <w:color w:val="0000FF"/>
        </w:rPr>
        <w:t xml:space="preserve"> </w:t>
      </w:r>
      <w:hyperlink r:id="rId133">
        <w:r>
          <w:rPr>
            <w:rFonts w:ascii="Arial" w:cs="Arial" w:eastAsia="Arial" w:hAnsi="Arial"/>
            <w:sz w:val="14"/>
            <w:szCs w:val="14"/>
            <w:u w:val="single" w:color="auto"/>
            <w:color w:val="0000FF"/>
          </w:rPr>
          <w:t>29, 2022 (File No. 001-12107).†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2146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17" w:lineRule="exact"/>
        <w:rPr>
          <w:sz w:val="20"/>
          <w:szCs w:val="20"/>
          <w:color w:val="auto"/>
        </w:rPr>
      </w:pPr>
    </w:p>
    <w:p>
      <w:pPr>
        <w:ind w:left="1040" w:right="20" w:hanging="1011"/>
        <w:spacing w:after="0" w:line="244" w:lineRule="auto"/>
        <w:tabs>
          <w:tab w:leader="none" w:pos="1020" w:val="left"/>
        </w:tabs>
        <w:rPr>
          <w:rFonts w:ascii="Arial" w:cs="Arial" w:eastAsia="Arial" w:hAnsi="Arial"/>
          <w:sz w:val="14"/>
          <w:szCs w:val="14"/>
          <w:u w:val="single" w:color="auto"/>
          <w:color w:val="0000FF"/>
        </w:rPr>
      </w:pPr>
      <w:r>
        <w:rPr>
          <w:rFonts w:ascii="Arial" w:cs="Arial" w:eastAsia="Arial" w:hAnsi="Arial"/>
          <w:sz w:val="14"/>
          <w:szCs w:val="14"/>
          <w:color w:val="auto"/>
        </w:rPr>
        <w:t>10.17*</w:t>
      </w:r>
      <w:r>
        <w:rPr>
          <w:sz w:val="20"/>
          <w:szCs w:val="20"/>
          <w:color w:val="auto"/>
        </w:rPr>
        <w:tab/>
      </w:r>
      <w:hyperlink r:id="rId135">
        <w:r>
          <w:rPr>
            <w:rFonts w:ascii="Arial" w:cs="Arial" w:eastAsia="Arial" w:hAnsi="Arial"/>
            <w:sz w:val="14"/>
            <w:szCs w:val="14"/>
            <w:u w:val="single" w:color="auto"/>
            <w:color w:val="0000FF"/>
          </w:rPr>
          <w:t>Retirement Agreement, dated December 8, 2014, between Michael S. Jeffries and A&amp;F, incorporated herein by reference to Exhibit 10.1 to A&amp;F’s Current</w:t>
        </w:r>
      </w:hyperlink>
      <w:r>
        <w:rPr>
          <w:rFonts w:ascii="Arial" w:cs="Arial" w:eastAsia="Arial" w:hAnsi="Arial"/>
          <w:sz w:val="14"/>
          <w:szCs w:val="14"/>
          <w:u w:val="single" w:color="auto"/>
          <w:color w:val="0000FF"/>
        </w:rPr>
        <w:t xml:space="preserve"> </w:t>
      </w:r>
      <w:hyperlink r:id="rId135">
        <w:r>
          <w:rPr>
            <w:rFonts w:ascii="Arial" w:cs="Arial" w:eastAsia="Arial" w:hAnsi="Arial"/>
            <w:sz w:val="14"/>
            <w:szCs w:val="14"/>
            <w:u w:val="single" w:color="auto"/>
            <w:color w:val="0000FF"/>
          </w:rPr>
          <w:t>Report on Form 8-K dated and filed December 9, 2014 (File No. 001-12107).</w:t>
        </w:r>
      </w:hyperlink>
    </w:p>
    <w:p>
      <w:pPr>
        <w:ind w:left="20"/>
        <w:spacing w:after="0" w:line="237" w:lineRule="auto"/>
        <w:tabs>
          <w:tab w:leader="none" w:pos="1020" w:val="left"/>
        </w:tabs>
        <w:rPr>
          <w:rFonts w:ascii="Arial" w:cs="Arial" w:eastAsia="Arial" w:hAnsi="Arial"/>
          <w:sz w:val="14"/>
          <w:szCs w:val="14"/>
          <w:u w:val="single" w:color="auto"/>
          <w:color w:val="0000FF"/>
        </w:rPr>
      </w:pPr>
      <w:r>
        <w:rPr>
          <w:rFonts w:ascii="Arial" w:cs="Arial" w:eastAsia="Arial" w:hAnsi="Arial"/>
          <w:sz w:val="14"/>
          <w:szCs w:val="14"/>
          <w:color w:val="auto"/>
        </w:rPr>
        <w:t>10.18*</w:t>
      </w:r>
      <w:r>
        <w:rPr>
          <w:sz w:val="20"/>
          <w:szCs w:val="20"/>
          <w:color w:val="auto"/>
        </w:rPr>
        <w:tab/>
      </w:r>
      <w:hyperlink r:id="rId136">
        <w:r>
          <w:rPr>
            <w:rFonts w:ascii="Arial" w:cs="Arial" w:eastAsia="Arial" w:hAnsi="Arial"/>
            <w:sz w:val="14"/>
            <w:szCs w:val="14"/>
            <w:u w:val="single" w:color="auto"/>
            <w:color w:val="0000FF"/>
          </w:rPr>
          <w:t>Employment Offer, dated October 8, 2014, between Fran Horowitz and A&amp;F, incorporated herein by reference to Exhibit 10.1 to A&amp;F’s Current Report on Form</w:t>
        </w:r>
      </w:hyperlink>
    </w:p>
    <w:p>
      <w:pPr>
        <w:ind w:left="1040"/>
        <w:spacing w:after="0"/>
        <w:rPr>
          <w:rFonts w:ascii="Arial" w:cs="Arial" w:eastAsia="Arial" w:hAnsi="Arial"/>
          <w:sz w:val="14"/>
          <w:szCs w:val="14"/>
          <w:u w:val="single" w:color="auto"/>
          <w:color w:val="0000FF"/>
        </w:rPr>
      </w:pPr>
      <w:hyperlink r:id="rId136">
        <w:r>
          <w:rPr>
            <w:rFonts w:ascii="Arial" w:cs="Arial" w:eastAsia="Arial" w:hAnsi="Arial"/>
            <w:sz w:val="14"/>
            <w:szCs w:val="14"/>
            <w:u w:val="single" w:color="auto"/>
            <w:color w:val="0000FF"/>
          </w:rPr>
          <w:t>8-K dated and filed October 15, 2014 (File No. 001-12107).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3086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7">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8" w:lineRule="exact"/>
        <w:rPr>
          <w:sz w:val="20"/>
          <w:szCs w:val="20"/>
          <w:color w:val="auto"/>
        </w:rPr>
      </w:pPr>
    </w:p>
    <w:p>
      <w:pPr>
        <w:jc w:val="right"/>
        <w:ind w:left="20" w:right="20"/>
        <w:spacing w:after="0" w:line="218" w:lineRule="auto"/>
        <w:rPr>
          <w:rFonts w:ascii="Arial" w:cs="Arial" w:eastAsia="Arial" w:hAnsi="Arial"/>
          <w:sz w:val="14"/>
          <w:szCs w:val="14"/>
          <w:color w:val="0000FF"/>
        </w:rPr>
      </w:pPr>
      <w:r>
        <w:rPr>
          <w:rFonts w:ascii="Arial" w:cs="Arial" w:eastAsia="Arial" w:hAnsi="Arial"/>
          <w:sz w:val="14"/>
          <w:szCs w:val="14"/>
          <w:color w:val="auto"/>
        </w:rPr>
        <w:t xml:space="preserve">10.19*        </w:t>
      </w:r>
      <w:hyperlink r:id="rId138">
        <w:r>
          <w:rPr>
            <w:rFonts w:ascii="Arial" w:cs="Arial" w:eastAsia="Arial" w:hAnsi="Arial"/>
            <w:sz w:val="14"/>
            <w:szCs w:val="14"/>
            <w:u w:val="single" w:color="auto"/>
            <w:color w:val="0000FF"/>
          </w:rPr>
          <w:t>Letter, dated December 16, 2015, between A&amp;F Management and Fran Horowitz setting forth terms of employment as President and Chief Merchandising</w:t>
        </w:r>
      </w:hyperlink>
      <w:r>
        <w:rPr>
          <w:rFonts w:ascii="Arial" w:cs="Arial" w:eastAsia="Arial" w:hAnsi="Arial"/>
          <w:sz w:val="14"/>
          <w:szCs w:val="14"/>
          <w:color w:val="auto"/>
        </w:rPr>
        <w:t xml:space="preserve"> </w:t>
      </w:r>
      <w:hyperlink r:id="rId138">
        <w:r>
          <w:rPr>
            <w:rFonts w:ascii="Arial" w:cs="Arial" w:eastAsia="Arial" w:hAnsi="Arial"/>
            <w:sz w:val="14"/>
            <w:szCs w:val="14"/>
            <w:color w:val="0000FF"/>
          </w:rPr>
          <w:t>Officer, incorporated herein by reference to Exhibit 10.74 to A&amp;F’s Annual Report on Form 10-K for the fiscal year ended January 30, 2016 (File No. 001-</w:t>
        </w:r>
      </w:hyperlink>
    </w:p>
    <w:tbl>
      <w:tblPr>
        <w:tblLayout w:type="fixed"/>
        <w:tblInd w:w="0" w:type="dxa"/>
        <w:tblCellMar>
          <w:top w:w="0" w:type="dxa"/>
          <w:left w:w="0" w:type="dxa"/>
          <w:bottom w:w="0" w:type="dxa"/>
          <w:right w:w="0" w:type="dxa"/>
        </w:tblCellMar>
      </w:tblPr>
      <w:tr>
        <w:trPr>
          <w:trHeight w:val="129"/>
        </w:trPr>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Borders>
              <w:top w:val="single" w:sz="8" w:color="0000FF"/>
              <w:bottom w:val="single" w:sz="8" w:color="0000FF"/>
            </w:tcBorders>
          </w:tcPr>
          <w:p>
            <w:pPr>
              <w:spacing w:after="0" w:line="129" w:lineRule="exact"/>
              <w:rPr>
                <w:rFonts w:ascii="Arial" w:cs="Arial" w:eastAsia="Arial" w:hAnsi="Arial"/>
                <w:sz w:val="14"/>
                <w:szCs w:val="14"/>
                <w:color w:val="0000FF"/>
                <w:w w:val="96"/>
              </w:rPr>
            </w:pPr>
            <w:hyperlink r:id="rId138">
              <w:r>
                <w:rPr>
                  <w:rFonts w:ascii="Arial" w:cs="Arial" w:eastAsia="Arial" w:hAnsi="Arial"/>
                  <w:sz w:val="14"/>
                  <w:szCs w:val="14"/>
                  <w:color w:val="0000FF"/>
                  <w:w w:val="96"/>
                </w:rPr>
                <w:t>12107).</w:t>
              </w:r>
            </w:hyperlink>
          </w:p>
        </w:tc>
        <w:tc>
          <w:tcPr>
            <w:tcW w:w="300" w:type="dxa"/>
            <w:vAlign w:val="bottom"/>
            <w:tcBorders>
              <w:top w:val="single" w:sz="8" w:color="0000FF"/>
            </w:tcBorders>
          </w:tcPr>
          <w:p>
            <w:pPr>
              <w:spacing w:after="0"/>
              <w:rPr>
                <w:sz w:val="11"/>
                <w:szCs w:val="11"/>
                <w:color w:val="auto"/>
              </w:rPr>
            </w:pPr>
          </w:p>
        </w:tc>
        <w:tc>
          <w:tcPr>
            <w:tcW w:w="118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400" w:type="dxa"/>
            <w:vAlign w:val="bottom"/>
            <w:tcBorders>
              <w:top w:val="single" w:sz="8" w:color="0000FF"/>
            </w:tcBorders>
          </w:tcPr>
          <w:p>
            <w:pPr>
              <w:spacing w:after="0"/>
              <w:rPr>
                <w:sz w:val="11"/>
                <w:szCs w:val="11"/>
                <w:color w:val="auto"/>
              </w:rPr>
            </w:pPr>
          </w:p>
        </w:tc>
        <w:tc>
          <w:tcPr>
            <w:tcW w:w="560" w:type="dxa"/>
            <w:vAlign w:val="bottom"/>
            <w:tcBorders>
              <w:top w:val="single" w:sz="8" w:color="0000FF"/>
            </w:tcBorders>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88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500" w:type="dxa"/>
            <w:vAlign w:val="bottom"/>
            <w:tcBorders>
              <w:top w:val="single" w:sz="8" w:color="0000FF"/>
            </w:tcBorders>
          </w:tcPr>
          <w:p>
            <w:pPr>
              <w:spacing w:after="0"/>
              <w:rPr>
                <w:sz w:val="11"/>
                <w:szCs w:val="11"/>
                <w:color w:val="auto"/>
              </w:rPr>
            </w:pPr>
          </w:p>
        </w:tc>
        <w:tc>
          <w:tcPr>
            <w:tcW w:w="740" w:type="dxa"/>
            <w:vAlign w:val="bottom"/>
            <w:tcBorders>
              <w:top w:val="single" w:sz="8" w:color="0000FF"/>
            </w:tcBorders>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740" w:type="dxa"/>
            <w:vAlign w:val="bottom"/>
            <w:tcBorders>
              <w:top w:val="single" w:sz="8" w:color="0000FF"/>
            </w:tcBorders>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780" w:type="dxa"/>
            <w:vAlign w:val="bottom"/>
            <w:tcBorders>
              <w:top w:val="single" w:sz="8" w:color="0000FF"/>
            </w:tcBorders>
          </w:tcPr>
          <w:p>
            <w:pPr>
              <w:spacing w:after="0"/>
              <w:rPr>
                <w:sz w:val="11"/>
                <w:szCs w:val="11"/>
                <w:color w:val="auto"/>
              </w:rPr>
            </w:pPr>
          </w:p>
        </w:tc>
        <w:tc>
          <w:tcPr>
            <w:tcW w:w="13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83"/>
        </w:trPr>
        <w:tc>
          <w:tcPr>
            <w:tcW w:w="580" w:type="dxa"/>
            <w:vAlign w:val="bottom"/>
          </w:tcPr>
          <w:p>
            <w:pPr>
              <w:jc w:val="right"/>
              <w:ind w:right="68"/>
              <w:spacing w:after="0"/>
              <w:rPr>
                <w:sz w:val="20"/>
                <w:szCs w:val="20"/>
                <w:color w:val="auto"/>
              </w:rPr>
            </w:pPr>
            <w:r>
              <w:rPr>
                <w:rFonts w:ascii="Arial" w:cs="Arial" w:eastAsia="Arial" w:hAnsi="Arial"/>
                <w:sz w:val="14"/>
                <w:szCs w:val="14"/>
                <w:color w:val="auto"/>
              </w:rPr>
              <w:t>10.20*</w:t>
            </w:r>
          </w:p>
        </w:tc>
        <w:tc>
          <w:tcPr>
            <w:tcW w:w="460" w:type="dxa"/>
            <w:vAlign w:val="bottom"/>
          </w:tcPr>
          <w:p>
            <w:pPr>
              <w:spacing w:after="0"/>
              <w:rPr>
                <w:sz w:val="15"/>
                <w:szCs w:val="15"/>
                <w:color w:val="auto"/>
              </w:rPr>
            </w:pPr>
          </w:p>
        </w:tc>
        <w:tc>
          <w:tcPr>
            <w:tcW w:w="10380" w:type="dxa"/>
            <w:vAlign w:val="bottom"/>
            <w:gridSpan w:val="32"/>
          </w:tcPr>
          <w:p>
            <w:pPr>
              <w:spacing w:after="0"/>
              <w:rPr>
                <w:rFonts w:ascii="Arial" w:cs="Arial" w:eastAsia="Arial" w:hAnsi="Arial"/>
                <w:sz w:val="14"/>
                <w:szCs w:val="14"/>
                <w:color w:val="0000FF"/>
              </w:rPr>
            </w:pPr>
            <w:hyperlink r:id="rId139">
              <w:r>
                <w:rPr>
                  <w:rFonts w:ascii="Arial" w:cs="Arial" w:eastAsia="Arial" w:hAnsi="Arial"/>
                  <w:sz w:val="14"/>
                  <w:szCs w:val="14"/>
                  <w:color w:val="0000FF"/>
                </w:rPr>
                <w:t>Form of Agreement entered into between A&amp;F Management and Fran Horowitz as of May 10, 2017, incorporated herein by reference to Exhibit 10.1 to A&amp;F’s</w:t>
              </w:r>
            </w:hyperlink>
          </w:p>
        </w:tc>
      </w:tr>
      <w:tr>
        <w:trPr>
          <w:trHeight w:val="115"/>
        </w:trPr>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80" w:type="dxa"/>
            <w:vAlign w:val="bottom"/>
            <w:tcBorders>
              <w:top w:val="single" w:sz="8" w:color="0000FF"/>
            </w:tcBorders>
            <w:gridSpan w:val="19"/>
          </w:tcPr>
          <w:p>
            <w:pPr>
              <w:spacing w:after="0" w:line="115" w:lineRule="exact"/>
              <w:rPr>
                <w:rFonts w:ascii="Arial" w:cs="Arial" w:eastAsia="Arial" w:hAnsi="Arial"/>
                <w:sz w:val="13"/>
                <w:szCs w:val="13"/>
                <w:color w:val="0000FF"/>
              </w:rPr>
            </w:pPr>
            <w:hyperlink r:id="rId139">
              <w:r>
                <w:rPr>
                  <w:rFonts w:ascii="Arial" w:cs="Arial" w:eastAsia="Arial" w:hAnsi="Arial"/>
                  <w:sz w:val="13"/>
                  <w:szCs w:val="13"/>
                  <w:color w:val="0000FF"/>
                </w:rPr>
                <w:t>Current Report on Form 8-K dated and filed May 12, 2017 (File No. 001-12107).</w:t>
              </w:r>
            </w:hyperlink>
          </w:p>
        </w:tc>
        <w:tc>
          <w:tcPr>
            <w:tcW w:w="780" w:type="dxa"/>
            <w:vAlign w:val="bottom"/>
            <w:tcBorders>
              <w:top w:val="single" w:sz="8" w:color="0000FF"/>
            </w:tcBorders>
          </w:tcPr>
          <w:p>
            <w:pPr>
              <w:spacing w:after="0"/>
              <w:rPr>
                <w:sz w:val="10"/>
                <w:szCs w:val="10"/>
                <w:color w:val="auto"/>
              </w:rPr>
            </w:pPr>
          </w:p>
        </w:tc>
        <w:tc>
          <w:tcPr>
            <w:tcW w:w="13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580" w:type="dxa"/>
            <w:vAlign w:val="bottom"/>
            <w:shd w:val="clear" w:color="auto" w:fill="F5F5F5"/>
          </w:tcPr>
          <w:p>
            <w:pPr>
              <w:jc w:val="right"/>
              <w:ind w:right="68"/>
              <w:spacing w:after="0"/>
              <w:rPr>
                <w:sz w:val="20"/>
                <w:szCs w:val="20"/>
                <w:color w:val="auto"/>
              </w:rPr>
            </w:pPr>
            <w:r>
              <w:rPr>
                <w:rFonts w:ascii="Arial" w:cs="Arial" w:eastAsia="Arial" w:hAnsi="Arial"/>
                <w:sz w:val="14"/>
                <w:szCs w:val="14"/>
                <w:color w:val="auto"/>
              </w:rPr>
              <w:t>10.21*</w:t>
            </w:r>
          </w:p>
        </w:tc>
        <w:tc>
          <w:tcPr>
            <w:tcW w:w="460" w:type="dxa"/>
            <w:vAlign w:val="bottom"/>
            <w:shd w:val="clear" w:color="auto" w:fill="F5F5F5"/>
          </w:tcPr>
          <w:p>
            <w:pPr>
              <w:spacing w:after="0"/>
              <w:rPr>
                <w:sz w:val="14"/>
                <w:szCs w:val="14"/>
                <w:color w:val="auto"/>
              </w:rPr>
            </w:pPr>
          </w:p>
        </w:tc>
        <w:tc>
          <w:tcPr>
            <w:tcW w:w="10380" w:type="dxa"/>
            <w:vAlign w:val="bottom"/>
            <w:gridSpan w:val="32"/>
            <w:shd w:val="clear" w:color="auto" w:fill="F5F5F5"/>
          </w:tcPr>
          <w:p>
            <w:pPr>
              <w:spacing w:after="0"/>
              <w:rPr>
                <w:rFonts w:ascii="Arial" w:cs="Arial" w:eastAsia="Arial" w:hAnsi="Arial"/>
                <w:sz w:val="14"/>
                <w:szCs w:val="14"/>
                <w:color w:val="0000FF"/>
              </w:rPr>
            </w:pPr>
            <w:hyperlink r:id="rId140">
              <w:r>
                <w:rPr>
                  <w:rFonts w:ascii="Arial" w:cs="Arial" w:eastAsia="Arial" w:hAnsi="Arial"/>
                  <w:sz w:val="14"/>
                  <w:szCs w:val="14"/>
                  <w:color w:val="0000FF"/>
                </w:rPr>
                <w:t>Non-Compete Amendment entered into between A&amp;F Management and Fran Horowitz as of November 5, 2021 (including a schedule identifying executive</w:t>
              </w:r>
            </w:hyperlink>
          </w:p>
        </w:tc>
      </w:tr>
      <w:tr>
        <w:trPr>
          <w:trHeight w:val="115"/>
        </w:trPr>
        <w:tc>
          <w:tcPr>
            <w:tcW w:w="580" w:type="dxa"/>
            <w:vAlign w:val="bottom"/>
            <w:tcBorders>
              <w:top w:val="single" w:sz="8" w:color="F5F5F5"/>
              <w:bottom w:val="single" w:sz="8" w:color="F5F5F5"/>
            </w:tcBorders>
            <w:shd w:val="clear" w:color="auto" w:fill="F5F5F5"/>
          </w:tcPr>
          <w:p>
            <w:pPr>
              <w:spacing w:after="0"/>
              <w:rPr>
                <w:sz w:val="10"/>
                <w:szCs w:val="10"/>
                <w:color w:val="auto"/>
              </w:rPr>
            </w:pPr>
          </w:p>
        </w:tc>
        <w:tc>
          <w:tcPr>
            <w:tcW w:w="460" w:type="dxa"/>
            <w:vAlign w:val="bottom"/>
            <w:tcBorders>
              <w:top w:val="single" w:sz="8" w:color="F5F5F5"/>
              <w:bottom w:val="single" w:sz="8" w:color="F5F5F5"/>
            </w:tcBorders>
            <w:shd w:val="clear" w:color="auto" w:fill="F5F5F5"/>
          </w:tcPr>
          <w:p>
            <w:pPr>
              <w:spacing w:after="0"/>
              <w:rPr>
                <w:sz w:val="10"/>
                <w:szCs w:val="10"/>
                <w:color w:val="auto"/>
              </w:rPr>
            </w:pPr>
          </w:p>
        </w:tc>
        <w:tc>
          <w:tcPr>
            <w:tcW w:w="10240" w:type="dxa"/>
            <w:vAlign w:val="bottom"/>
            <w:tcBorders>
              <w:top w:val="single" w:sz="8" w:color="0000FF"/>
              <w:bottom w:val="single" w:sz="8" w:color="0000FF"/>
            </w:tcBorders>
            <w:gridSpan w:val="25"/>
            <w:shd w:val="clear" w:color="auto" w:fill="F5F5F5"/>
          </w:tcPr>
          <w:p>
            <w:pPr>
              <w:spacing w:after="0" w:line="115" w:lineRule="exact"/>
              <w:rPr>
                <w:rFonts w:ascii="Arial" w:cs="Arial" w:eastAsia="Arial" w:hAnsi="Arial"/>
                <w:sz w:val="13"/>
                <w:szCs w:val="13"/>
                <w:color w:val="0000FF"/>
              </w:rPr>
            </w:pPr>
            <w:hyperlink r:id="rId140">
              <w:r>
                <w:rPr>
                  <w:rFonts w:ascii="Arial" w:cs="Arial" w:eastAsia="Arial" w:hAnsi="Arial"/>
                  <w:sz w:val="13"/>
                  <w:szCs w:val="13"/>
                  <w:color w:val="0000FF"/>
                </w:rPr>
                <w:t>officers of A&amp;F party to substantially identical Non-Compete Agreements with A&amp;F Management, incorporated herein by reference to Exhibit 10.1 to A&amp;F’s</w:t>
              </w:r>
            </w:hyperlink>
          </w:p>
        </w:tc>
        <w:tc>
          <w:tcPr>
            <w:tcW w:w="20" w:type="dxa"/>
            <w:vAlign w:val="bottom"/>
            <w:tcBorders>
              <w:top w:val="single" w:sz="8" w:color="F5F5F5"/>
              <w:bottom w:val="single" w:sz="8" w:color="F5F5F5"/>
            </w:tcBorders>
            <w:shd w:val="clear" w:color="auto" w:fill="F5F5F5"/>
          </w:tcPr>
          <w:p>
            <w:pPr>
              <w:spacing w:after="0"/>
              <w:rPr>
                <w:sz w:val="10"/>
                <w:szCs w:val="10"/>
                <w:color w:val="auto"/>
              </w:rPr>
            </w:pPr>
          </w:p>
        </w:tc>
        <w:tc>
          <w:tcPr>
            <w:tcW w:w="20" w:type="dxa"/>
            <w:vAlign w:val="bottom"/>
            <w:tcBorders>
              <w:top w:val="single" w:sz="8" w:color="F5F5F5"/>
              <w:bottom w:val="single" w:sz="8" w:color="F5F5F5"/>
            </w:tcBorders>
            <w:shd w:val="clear" w:color="auto" w:fill="F5F5F5"/>
          </w:tcPr>
          <w:p>
            <w:pPr>
              <w:spacing w:after="0"/>
              <w:rPr>
                <w:sz w:val="10"/>
                <w:szCs w:val="10"/>
                <w:color w:val="auto"/>
              </w:rPr>
            </w:pPr>
          </w:p>
        </w:tc>
        <w:tc>
          <w:tcPr>
            <w:tcW w:w="20" w:type="dxa"/>
            <w:vAlign w:val="bottom"/>
            <w:tcBorders>
              <w:top w:val="single" w:sz="8" w:color="F5F5F5"/>
              <w:bottom w:val="single" w:sz="8" w:color="F5F5F5"/>
            </w:tcBorders>
            <w:shd w:val="clear" w:color="auto" w:fill="F5F5F5"/>
          </w:tcPr>
          <w:p>
            <w:pPr>
              <w:spacing w:after="0"/>
              <w:rPr>
                <w:sz w:val="10"/>
                <w:szCs w:val="10"/>
                <w:color w:val="auto"/>
              </w:rPr>
            </w:pPr>
          </w:p>
        </w:tc>
        <w:tc>
          <w:tcPr>
            <w:tcW w:w="20" w:type="dxa"/>
            <w:vAlign w:val="bottom"/>
            <w:tcBorders>
              <w:top w:val="single" w:sz="8" w:color="F5F5F5"/>
              <w:bottom w:val="single" w:sz="8" w:color="F5F5F5"/>
            </w:tcBorders>
            <w:shd w:val="clear" w:color="auto" w:fill="F5F5F5"/>
          </w:tcPr>
          <w:p>
            <w:pPr>
              <w:spacing w:after="0"/>
              <w:rPr>
                <w:sz w:val="10"/>
                <w:szCs w:val="10"/>
                <w:color w:val="auto"/>
              </w:rPr>
            </w:pPr>
          </w:p>
        </w:tc>
        <w:tc>
          <w:tcPr>
            <w:tcW w:w="20" w:type="dxa"/>
            <w:vAlign w:val="bottom"/>
            <w:tcBorders>
              <w:top w:val="single" w:sz="8" w:color="F5F5F5"/>
              <w:bottom w:val="single" w:sz="8" w:color="F5F5F5"/>
            </w:tcBorders>
            <w:shd w:val="clear" w:color="auto" w:fill="F5F5F5"/>
          </w:tcPr>
          <w:p>
            <w:pPr>
              <w:spacing w:after="0"/>
              <w:rPr>
                <w:sz w:val="10"/>
                <w:szCs w:val="10"/>
                <w:color w:val="auto"/>
              </w:rPr>
            </w:pPr>
          </w:p>
        </w:tc>
        <w:tc>
          <w:tcPr>
            <w:tcW w:w="20" w:type="dxa"/>
            <w:vAlign w:val="bottom"/>
            <w:tcBorders>
              <w:top w:val="single" w:sz="8" w:color="F5F5F5"/>
              <w:bottom w:val="single" w:sz="8" w:color="F5F5F5"/>
            </w:tcBorders>
            <w:shd w:val="clear" w:color="auto" w:fill="F5F5F5"/>
          </w:tcPr>
          <w:p>
            <w:pPr>
              <w:spacing w:after="0"/>
              <w:rPr>
                <w:sz w:val="10"/>
                <w:szCs w:val="10"/>
                <w:color w:val="auto"/>
              </w:rPr>
            </w:pPr>
          </w:p>
        </w:tc>
        <w:tc>
          <w:tcPr>
            <w:tcW w:w="20" w:type="dxa"/>
            <w:vAlign w:val="bottom"/>
            <w:tcBorders>
              <w:top w:val="single" w:sz="8" w:color="F5F5F5"/>
              <w:bottom w:val="single" w:sz="8" w:color="F5F5F5"/>
            </w:tcBorders>
            <w:shd w:val="clear" w:color="auto" w:fill="F5F5F5"/>
          </w:tcPr>
          <w:p>
            <w:pPr>
              <w:spacing w:after="0"/>
              <w:rPr>
                <w:sz w:val="10"/>
                <w:szCs w:val="10"/>
                <w:color w:val="auto"/>
              </w:rPr>
            </w:pPr>
          </w:p>
        </w:tc>
      </w:tr>
      <w:tr>
        <w:trPr>
          <w:trHeight w:val="128"/>
        </w:trPr>
        <w:tc>
          <w:tcPr>
            <w:tcW w:w="580" w:type="dxa"/>
            <w:vAlign w:val="bottom"/>
            <w:shd w:val="clear" w:color="auto" w:fill="F5F5F5"/>
          </w:tcPr>
          <w:p>
            <w:pPr>
              <w:spacing w:after="0"/>
              <w:rPr>
                <w:sz w:val="11"/>
                <w:szCs w:val="11"/>
                <w:color w:val="auto"/>
              </w:rPr>
            </w:pPr>
          </w:p>
        </w:tc>
        <w:tc>
          <w:tcPr>
            <w:tcW w:w="460" w:type="dxa"/>
            <w:vAlign w:val="bottom"/>
            <w:shd w:val="clear" w:color="auto" w:fill="F5F5F5"/>
          </w:tcPr>
          <w:p>
            <w:pPr>
              <w:spacing w:after="0"/>
              <w:rPr>
                <w:sz w:val="11"/>
                <w:szCs w:val="11"/>
                <w:color w:val="auto"/>
              </w:rPr>
            </w:pPr>
          </w:p>
        </w:tc>
        <w:tc>
          <w:tcPr>
            <w:tcW w:w="8080" w:type="dxa"/>
            <w:vAlign w:val="bottom"/>
            <w:gridSpan w:val="19"/>
            <w:shd w:val="clear" w:color="auto" w:fill="F5F5F5"/>
          </w:tcPr>
          <w:p>
            <w:pPr>
              <w:spacing w:after="0" w:line="129" w:lineRule="exact"/>
              <w:rPr>
                <w:rFonts w:ascii="Arial" w:cs="Arial" w:eastAsia="Arial" w:hAnsi="Arial"/>
                <w:sz w:val="14"/>
                <w:szCs w:val="14"/>
                <w:color w:val="0000FF"/>
              </w:rPr>
            </w:pPr>
            <w:hyperlink r:id="rId140">
              <w:r>
                <w:rPr>
                  <w:rFonts w:ascii="Arial" w:cs="Arial" w:eastAsia="Arial" w:hAnsi="Arial"/>
                  <w:sz w:val="14"/>
                  <w:szCs w:val="14"/>
                  <w:color w:val="0000FF"/>
                </w:rPr>
                <w:t>Quarterly Report on Form 10</w:t>
              </w:r>
              <w:r>
                <w:rPr>
                  <w:rFonts w:ascii="MS PGothic" w:cs="MS PGothic" w:eastAsia="MS PGothic" w:hAnsi="MS PGothic"/>
                  <w:sz w:val="14"/>
                  <w:szCs w:val="14"/>
                  <w:color w:val="0000FF"/>
                </w:rPr>
                <w:t>‑</w:t>
              </w:r>
              <w:r>
                <w:rPr>
                  <w:rFonts w:ascii="Arial" w:cs="Arial" w:eastAsia="Arial" w:hAnsi="Arial"/>
                  <w:sz w:val="14"/>
                  <w:szCs w:val="14"/>
                  <w:color w:val="0000FF"/>
                </w:rPr>
                <w:t>Q for the quarterly period ended October 30, 2021 (File No. 001</w:t>
              </w:r>
              <w:r>
                <w:rPr>
                  <w:rFonts w:ascii="MS PGothic" w:cs="MS PGothic" w:eastAsia="MS PGothic" w:hAnsi="MS PGothic"/>
                  <w:sz w:val="14"/>
                  <w:szCs w:val="14"/>
                  <w:color w:val="0000FF"/>
                </w:rPr>
                <w:t>‑</w:t>
              </w:r>
              <w:r>
                <w:rPr>
                  <w:rFonts w:ascii="Arial" w:cs="Arial" w:eastAsia="Arial" w:hAnsi="Arial"/>
                  <w:sz w:val="14"/>
                  <w:szCs w:val="14"/>
                  <w:color w:val="0000FF"/>
                </w:rPr>
                <w:t>12107).</w:t>
              </w:r>
            </w:hyperlink>
          </w:p>
        </w:tc>
        <w:tc>
          <w:tcPr>
            <w:tcW w:w="780" w:type="dxa"/>
            <w:vAlign w:val="bottom"/>
            <w:shd w:val="clear" w:color="auto" w:fill="F5F5F5"/>
          </w:tcPr>
          <w:p>
            <w:pPr>
              <w:spacing w:after="0"/>
              <w:rPr>
                <w:sz w:val="11"/>
                <w:szCs w:val="11"/>
                <w:color w:val="auto"/>
              </w:rPr>
            </w:pPr>
          </w:p>
        </w:tc>
        <w:tc>
          <w:tcPr>
            <w:tcW w:w="1300" w:type="dxa"/>
            <w:vAlign w:val="bottom"/>
            <w:shd w:val="clear" w:color="auto" w:fill="F5F5F5"/>
          </w:tcPr>
          <w:p>
            <w:pPr>
              <w:spacing w:after="0"/>
              <w:rPr>
                <w:sz w:val="11"/>
                <w:szCs w:val="11"/>
                <w:color w:val="auto"/>
              </w:rPr>
            </w:pPr>
          </w:p>
        </w:tc>
        <w:tc>
          <w:tcPr>
            <w:tcW w:w="20" w:type="dxa"/>
            <w:vAlign w:val="bottom"/>
            <w:shd w:val="clear" w:color="auto" w:fill="F5F5F5"/>
          </w:tcPr>
          <w:p>
            <w:pPr>
              <w:spacing w:after="0"/>
              <w:rPr>
                <w:sz w:val="11"/>
                <w:szCs w:val="11"/>
                <w:color w:val="auto"/>
              </w:rPr>
            </w:pPr>
          </w:p>
        </w:tc>
        <w:tc>
          <w:tcPr>
            <w:tcW w:w="20" w:type="dxa"/>
            <w:vAlign w:val="bottom"/>
            <w:shd w:val="clear" w:color="auto" w:fill="F5F5F5"/>
          </w:tcPr>
          <w:p>
            <w:pPr>
              <w:spacing w:after="0"/>
              <w:rPr>
                <w:sz w:val="11"/>
                <w:szCs w:val="11"/>
                <w:color w:val="auto"/>
              </w:rPr>
            </w:pPr>
          </w:p>
        </w:tc>
        <w:tc>
          <w:tcPr>
            <w:tcW w:w="20" w:type="dxa"/>
            <w:vAlign w:val="bottom"/>
            <w:shd w:val="clear" w:color="auto" w:fill="F5F5F5"/>
          </w:tcPr>
          <w:p>
            <w:pPr>
              <w:spacing w:after="0"/>
              <w:rPr>
                <w:sz w:val="11"/>
                <w:szCs w:val="11"/>
                <w:color w:val="auto"/>
              </w:rPr>
            </w:pPr>
          </w:p>
        </w:tc>
        <w:tc>
          <w:tcPr>
            <w:tcW w:w="20" w:type="dxa"/>
            <w:vAlign w:val="bottom"/>
            <w:shd w:val="clear" w:color="auto" w:fill="F5F5F5"/>
          </w:tcPr>
          <w:p>
            <w:pPr>
              <w:spacing w:after="0"/>
              <w:rPr>
                <w:sz w:val="11"/>
                <w:szCs w:val="11"/>
                <w:color w:val="auto"/>
              </w:rPr>
            </w:pPr>
          </w:p>
        </w:tc>
        <w:tc>
          <w:tcPr>
            <w:tcW w:w="20" w:type="dxa"/>
            <w:vAlign w:val="bottom"/>
            <w:shd w:val="clear" w:color="auto" w:fill="F5F5F5"/>
          </w:tcPr>
          <w:p>
            <w:pPr>
              <w:spacing w:after="0"/>
              <w:rPr>
                <w:sz w:val="11"/>
                <w:szCs w:val="11"/>
                <w:color w:val="auto"/>
              </w:rPr>
            </w:pPr>
          </w:p>
        </w:tc>
        <w:tc>
          <w:tcPr>
            <w:tcW w:w="20" w:type="dxa"/>
            <w:vAlign w:val="bottom"/>
            <w:shd w:val="clear" w:color="auto" w:fill="F5F5F5"/>
          </w:tcPr>
          <w:p>
            <w:pPr>
              <w:spacing w:after="0"/>
              <w:rPr>
                <w:sz w:val="11"/>
                <w:szCs w:val="11"/>
                <w:color w:val="auto"/>
              </w:rPr>
            </w:pPr>
          </w:p>
        </w:tc>
        <w:tc>
          <w:tcPr>
            <w:tcW w:w="20" w:type="dxa"/>
            <w:vAlign w:val="bottom"/>
            <w:shd w:val="clear" w:color="auto" w:fill="F5F5F5"/>
          </w:tcPr>
          <w:p>
            <w:pPr>
              <w:spacing w:after="0"/>
              <w:rPr>
                <w:sz w:val="11"/>
                <w:szCs w:val="11"/>
                <w:color w:val="auto"/>
              </w:rPr>
            </w:pPr>
          </w:p>
        </w:tc>
        <w:tc>
          <w:tcPr>
            <w:tcW w:w="20" w:type="dxa"/>
            <w:vAlign w:val="bottom"/>
            <w:shd w:val="clear" w:color="auto" w:fill="F5F5F5"/>
          </w:tcPr>
          <w:p>
            <w:pPr>
              <w:spacing w:after="0"/>
              <w:rPr>
                <w:sz w:val="11"/>
                <w:szCs w:val="11"/>
                <w:color w:val="auto"/>
              </w:rPr>
            </w:pPr>
          </w:p>
        </w:tc>
        <w:tc>
          <w:tcPr>
            <w:tcW w:w="20" w:type="dxa"/>
            <w:vAlign w:val="bottom"/>
            <w:shd w:val="clear" w:color="auto" w:fill="F5F5F5"/>
          </w:tcPr>
          <w:p>
            <w:pPr>
              <w:spacing w:after="0"/>
              <w:rPr>
                <w:sz w:val="11"/>
                <w:szCs w:val="11"/>
                <w:color w:val="auto"/>
              </w:rPr>
            </w:pPr>
          </w:p>
        </w:tc>
        <w:tc>
          <w:tcPr>
            <w:tcW w:w="20" w:type="dxa"/>
            <w:vAlign w:val="bottom"/>
            <w:shd w:val="clear" w:color="auto" w:fill="F5F5F5"/>
          </w:tcPr>
          <w:p>
            <w:pPr>
              <w:spacing w:after="0"/>
              <w:rPr>
                <w:sz w:val="11"/>
                <w:szCs w:val="11"/>
                <w:color w:val="auto"/>
              </w:rPr>
            </w:pPr>
          </w:p>
        </w:tc>
        <w:tc>
          <w:tcPr>
            <w:tcW w:w="20" w:type="dxa"/>
            <w:vAlign w:val="bottom"/>
            <w:shd w:val="clear" w:color="auto" w:fill="F5F5F5"/>
          </w:tcPr>
          <w:p>
            <w:pPr>
              <w:spacing w:after="0"/>
              <w:rPr>
                <w:sz w:val="11"/>
                <w:szCs w:val="11"/>
                <w:color w:val="auto"/>
              </w:rPr>
            </w:pPr>
          </w:p>
        </w:tc>
      </w:tr>
      <w:tr>
        <w:trPr>
          <w:trHeight w:val="21"/>
        </w:trPr>
        <w:tc>
          <w:tcPr>
            <w:tcW w:w="580" w:type="dxa"/>
            <w:vAlign w:val="bottom"/>
            <w:tcBorders>
              <w:top w:val="single" w:sz="8" w:color="F5F5F5"/>
            </w:tcBorders>
            <w:shd w:val="clear" w:color="auto" w:fill="F5F5F5"/>
          </w:tcPr>
          <w:p>
            <w:pPr>
              <w:spacing w:after="0" w:line="20" w:lineRule="exact"/>
              <w:rPr>
                <w:sz w:val="1"/>
                <w:szCs w:val="1"/>
                <w:color w:val="auto"/>
              </w:rPr>
            </w:pPr>
          </w:p>
        </w:tc>
        <w:tc>
          <w:tcPr>
            <w:tcW w:w="460" w:type="dxa"/>
            <w:vAlign w:val="bottom"/>
            <w:tcBorders>
              <w:top w:val="single" w:sz="8" w:color="F5F5F5"/>
            </w:tcBorders>
            <w:shd w:val="clear" w:color="auto" w:fill="F5F5F5"/>
          </w:tcPr>
          <w:p>
            <w:pPr>
              <w:spacing w:after="0" w:line="20" w:lineRule="exact"/>
              <w:rPr>
                <w:sz w:val="1"/>
                <w:szCs w:val="1"/>
                <w:color w:val="auto"/>
              </w:rPr>
            </w:pPr>
          </w:p>
        </w:tc>
        <w:tc>
          <w:tcPr>
            <w:tcW w:w="480" w:type="dxa"/>
            <w:vAlign w:val="bottom"/>
            <w:tcBorders>
              <w:top w:val="single" w:sz="8" w:color="0000FF"/>
            </w:tcBorders>
            <w:shd w:val="clear" w:color="auto" w:fill="F5F5F5"/>
          </w:tcPr>
          <w:p>
            <w:pPr>
              <w:spacing w:after="0" w:line="20" w:lineRule="exact"/>
              <w:rPr>
                <w:sz w:val="1"/>
                <w:szCs w:val="1"/>
                <w:color w:val="auto"/>
              </w:rPr>
            </w:pPr>
          </w:p>
        </w:tc>
        <w:tc>
          <w:tcPr>
            <w:tcW w:w="300" w:type="dxa"/>
            <w:vAlign w:val="bottom"/>
            <w:tcBorders>
              <w:top w:val="single" w:sz="8" w:color="0000FF"/>
            </w:tcBorders>
            <w:shd w:val="clear" w:color="auto" w:fill="F5F5F5"/>
          </w:tcPr>
          <w:p>
            <w:pPr>
              <w:spacing w:after="0" w:line="20" w:lineRule="exact"/>
              <w:rPr>
                <w:sz w:val="1"/>
                <w:szCs w:val="1"/>
                <w:color w:val="auto"/>
              </w:rPr>
            </w:pPr>
          </w:p>
        </w:tc>
        <w:tc>
          <w:tcPr>
            <w:tcW w:w="1180" w:type="dxa"/>
            <w:vAlign w:val="bottom"/>
            <w:tcBorders>
              <w:top w:val="single" w:sz="8" w:color="0000FF"/>
            </w:tcBorders>
            <w:shd w:val="clear" w:color="auto" w:fill="F5F5F5"/>
          </w:tcPr>
          <w:p>
            <w:pPr>
              <w:spacing w:after="0" w:line="20" w:lineRule="exact"/>
              <w:rPr>
                <w:sz w:val="1"/>
                <w:szCs w:val="1"/>
                <w:color w:val="auto"/>
              </w:rPr>
            </w:pPr>
          </w:p>
        </w:tc>
        <w:tc>
          <w:tcPr>
            <w:tcW w:w="340" w:type="dxa"/>
            <w:vAlign w:val="bottom"/>
            <w:tcBorders>
              <w:top w:val="single" w:sz="8" w:color="0000FF"/>
            </w:tcBorders>
            <w:shd w:val="clear" w:color="auto" w:fill="F5F5F5"/>
          </w:tcPr>
          <w:p>
            <w:pPr>
              <w:spacing w:after="0" w:line="20" w:lineRule="exact"/>
              <w:rPr>
                <w:sz w:val="1"/>
                <w:szCs w:val="1"/>
                <w:color w:val="auto"/>
              </w:rPr>
            </w:pPr>
          </w:p>
        </w:tc>
        <w:tc>
          <w:tcPr>
            <w:tcW w:w="400" w:type="dxa"/>
            <w:vAlign w:val="bottom"/>
            <w:tcBorders>
              <w:top w:val="single" w:sz="8" w:color="0000FF"/>
            </w:tcBorders>
            <w:shd w:val="clear" w:color="auto" w:fill="F5F5F5"/>
          </w:tcPr>
          <w:p>
            <w:pPr>
              <w:spacing w:after="0" w:line="20" w:lineRule="exact"/>
              <w:rPr>
                <w:sz w:val="1"/>
                <w:szCs w:val="1"/>
                <w:color w:val="auto"/>
              </w:rPr>
            </w:pPr>
          </w:p>
        </w:tc>
        <w:tc>
          <w:tcPr>
            <w:tcW w:w="560" w:type="dxa"/>
            <w:vAlign w:val="bottom"/>
            <w:tcBorders>
              <w:top w:val="single" w:sz="8" w:color="0000FF"/>
            </w:tcBorders>
            <w:shd w:val="clear" w:color="auto" w:fill="F5F5F5"/>
          </w:tcPr>
          <w:p>
            <w:pPr>
              <w:spacing w:after="0" w:line="20" w:lineRule="exact"/>
              <w:rPr>
                <w:sz w:val="1"/>
                <w:szCs w:val="1"/>
                <w:color w:val="auto"/>
              </w:rPr>
            </w:pPr>
          </w:p>
        </w:tc>
        <w:tc>
          <w:tcPr>
            <w:tcW w:w="480" w:type="dxa"/>
            <w:vAlign w:val="bottom"/>
            <w:tcBorders>
              <w:top w:val="single" w:sz="8" w:color="0000FF"/>
            </w:tcBorders>
            <w:shd w:val="clear" w:color="auto" w:fill="F5F5F5"/>
          </w:tcPr>
          <w:p>
            <w:pPr>
              <w:spacing w:after="0" w:line="20" w:lineRule="exact"/>
              <w:rPr>
                <w:sz w:val="1"/>
                <w:szCs w:val="1"/>
                <w:color w:val="auto"/>
              </w:rPr>
            </w:pPr>
          </w:p>
        </w:tc>
        <w:tc>
          <w:tcPr>
            <w:tcW w:w="20" w:type="dxa"/>
            <w:vAlign w:val="bottom"/>
            <w:tcBorders>
              <w:top w:val="single" w:sz="8" w:color="0000FF"/>
            </w:tcBorders>
            <w:shd w:val="clear" w:color="auto" w:fill="F5F5F5"/>
          </w:tcPr>
          <w:p>
            <w:pPr>
              <w:spacing w:after="0" w:line="20" w:lineRule="exact"/>
              <w:rPr>
                <w:sz w:val="1"/>
                <w:szCs w:val="1"/>
                <w:color w:val="auto"/>
              </w:rPr>
            </w:pPr>
          </w:p>
        </w:tc>
        <w:tc>
          <w:tcPr>
            <w:tcW w:w="100" w:type="dxa"/>
            <w:vAlign w:val="bottom"/>
            <w:tcBorders>
              <w:top w:val="single" w:sz="8" w:color="0000FF"/>
            </w:tcBorders>
            <w:shd w:val="clear" w:color="auto" w:fill="F5F5F5"/>
          </w:tcPr>
          <w:p>
            <w:pPr>
              <w:spacing w:after="0" w:line="20" w:lineRule="exact"/>
              <w:rPr>
                <w:sz w:val="1"/>
                <w:szCs w:val="1"/>
                <w:color w:val="auto"/>
              </w:rPr>
            </w:pPr>
          </w:p>
        </w:tc>
        <w:tc>
          <w:tcPr>
            <w:tcW w:w="60" w:type="dxa"/>
            <w:vAlign w:val="bottom"/>
            <w:tcBorders>
              <w:top w:val="single" w:sz="8" w:color="0000FF"/>
            </w:tcBorders>
            <w:shd w:val="clear" w:color="auto" w:fill="F5F5F5"/>
          </w:tcPr>
          <w:p>
            <w:pPr>
              <w:spacing w:after="0" w:line="20" w:lineRule="exact"/>
              <w:rPr>
                <w:sz w:val="1"/>
                <w:szCs w:val="1"/>
                <w:color w:val="auto"/>
              </w:rPr>
            </w:pPr>
          </w:p>
        </w:tc>
        <w:tc>
          <w:tcPr>
            <w:tcW w:w="280" w:type="dxa"/>
            <w:vAlign w:val="bottom"/>
            <w:tcBorders>
              <w:top w:val="single" w:sz="8" w:color="0000FF"/>
            </w:tcBorders>
            <w:shd w:val="clear" w:color="auto" w:fill="F5F5F5"/>
          </w:tcPr>
          <w:p>
            <w:pPr>
              <w:spacing w:after="0" w:line="20" w:lineRule="exact"/>
              <w:rPr>
                <w:sz w:val="1"/>
                <w:szCs w:val="1"/>
                <w:color w:val="auto"/>
              </w:rPr>
            </w:pPr>
          </w:p>
        </w:tc>
        <w:tc>
          <w:tcPr>
            <w:tcW w:w="880" w:type="dxa"/>
            <w:vAlign w:val="bottom"/>
            <w:tcBorders>
              <w:top w:val="single" w:sz="8" w:color="0000FF"/>
            </w:tcBorders>
            <w:shd w:val="clear" w:color="auto" w:fill="F5F5F5"/>
          </w:tcPr>
          <w:p>
            <w:pPr>
              <w:spacing w:after="0" w:line="20" w:lineRule="exact"/>
              <w:rPr>
                <w:sz w:val="1"/>
                <w:szCs w:val="1"/>
                <w:color w:val="auto"/>
              </w:rPr>
            </w:pPr>
          </w:p>
        </w:tc>
        <w:tc>
          <w:tcPr>
            <w:tcW w:w="160" w:type="dxa"/>
            <w:vAlign w:val="bottom"/>
            <w:tcBorders>
              <w:top w:val="single" w:sz="8" w:color="0000FF"/>
            </w:tcBorders>
            <w:shd w:val="clear" w:color="auto" w:fill="F5F5F5"/>
          </w:tcPr>
          <w:p>
            <w:pPr>
              <w:spacing w:after="0" w:line="20" w:lineRule="exact"/>
              <w:rPr>
                <w:sz w:val="1"/>
                <w:szCs w:val="1"/>
                <w:color w:val="auto"/>
              </w:rPr>
            </w:pPr>
          </w:p>
        </w:tc>
        <w:tc>
          <w:tcPr>
            <w:tcW w:w="500" w:type="dxa"/>
            <w:vAlign w:val="bottom"/>
            <w:tcBorders>
              <w:top w:val="single" w:sz="8" w:color="0000FF"/>
            </w:tcBorders>
            <w:shd w:val="clear" w:color="auto" w:fill="F5F5F5"/>
          </w:tcPr>
          <w:p>
            <w:pPr>
              <w:spacing w:after="0" w:line="20" w:lineRule="exact"/>
              <w:rPr>
                <w:sz w:val="1"/>
                <w:szCs w:val="1"/>
                <w:color w:val="auto"/>
              </w:rPr>
            </w:pPr>
          </w:p>
        </w:tc>
        <w:tc>
          <w:tcPr>
            <w:tcW w:w="740" w:type="dxa"/>
            <w:vAlign w:val="bottom"/>
            <w:tcBorders>
              <w:top w:val="single" w:sz="8" w:color="0000FF"/>
            </w:tcBorders>
            <w:shd w:val="clear" w:color="auto" w:fill="F5F5F5"/>
          </w:tcPr>
          <w:p>
            <w:pPr>
              <w:spacing w:after="0" w:line="20" w:lineRule="exact"/>
              <w:rPr>
                <w:sz w:val="1"/>
                <w:szCs w:val="1"/>
                <w:color w:val="auto"/>
              </w:rPr>
            </w:pPr>
          </w:p>
        </w:tc>
        <w:tc>
          <w:tcPr>
            <w:tcW w:w="420" w:type="dxa"/>
            <w:vAlign w:val="bottom"/>
            <w:tcBorders>
              <w:top w:val="single" w:sz="8" w:color="F5F5F5"/>
            </w:tcBorders>
            <w:shd w:val="clear" w:color="auto" w:fill="F5F5F5"/>
          </w:tcPr>
          <w:p>
            <w:pPr>
              <w:spacing w:after="0" w:line="20" w:lineRule="exact"/>
              <w:rPr>
                <w:sz w:val="1"/>
                <w:szCs w:val="1"/>
                <w:color w:val="auto"/>
              </w:rPr>
            </w:pPr>
          </w:p>
        </w:tc>
        <w:tc>
          <w:tcPr>
            <w:tcW w:w="60" w:type="dxa"/>
            <w:vAlign w:val="bottom"/>
            <w:tcBorders>
              <w:top w:val="single" w:sz="8" w:color="F5F5F5"/>
            </w:tcBorders>
            <w:shd w:val="clear" w:color="auto" w:fill="F5F5F5"/>
          </w:tcPr>
          <w:p>
            <w:pPr>
              <w:spacing w:after="0" w:line="20" w:lineRule="exact"/>
              <w:rPr>
                <w:sz w:val="1"/>
                <w:szCs w:val="1"/>
                <w:color w:val="auto"/>
              </w:rPr>
            </w:pPr>
          </w:p>
        </w:tc>
        <w:tc>
          <w:tcPr>
            <w:tcW w:w="740" w:type="dxa"/>
            <w:vAlign w:val="bottom"/>
            <w:tcBorders>
              <w:top w:val="single" w:sz="8" w:color="F5F5F5"/>
            </w:tcBorders>
            <w:shd w:val="clear" w:color="auto" w:fill="F5F5F5"/>
          </w:tcPr>
          <w:p>
            <w:pPr>
              <w:spacing w:after="0" w:line="20" w:lineRule="exact"/>
              <w:rPr>
                <w:sz w:val="1"/>
                <w:szCs w:val="1"/>
                <w:color w:val="auto"/>
              </w:rPr>
            </w:pPr>
          </w:p>
        </w:tc>
        <w:tc>
          <w:tcPr>
            <w:tcW w:w="380" w:type="dxa"/>
            <w:vAlign w:val="bottom"/>
            <w:tcBorders>
              <w:top w:val="single" w:sz="8" w:color="F5F5F5"/>
            </w:tcBorders>
            <w:shd w:val="clear" w:color="auto" w:fill="F5F5F5"/>
          </w:tcPr>
          <w:p>
            <w:pPr>
              <w:spacing w:after="0" w:line="20" w:lineRule="exact"/>
              <w:rPr>
                <w:sz w:val="1"/>
                <w:szCs w:val="1"/>
                <w:color w:val="auto"/>
              </w:rPr>
            </w:pPr>
          </w:p>
        </w:tc>
        <w:tc>
          <w:tcPr>
            <w:tcW w:w="780" w:type="dxa"/>
            <w:vAlign w:val="bottom"/>
            <w:tcBorders>
              <w:top w:val="single" w:sz="8" w:color="F5F5F5"/>
            </w:tcBorders>
            <w:shd w:val="clear" w:color="auto" w:fill="F5F5F5"/>
          </w:tcPr>
          <w:p>
            <w:pPr>
              <w:spacing w:after="0" w:line="20" w:lineRule="exact"/>
              <w:rPr>
                <w:sz w:val="1"/>
                <w:szCs w:val="1"/>
                <w:color w:val="auto"/>
              </w:rPr>
            </w:pPr>
          </w:p>
        </w:tc>
        <w:tc>
          <w:tcPr>
            <w:tcW w:w="130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r>
      <w:tr>
        <w:trPr>
          <w:trHeight w:val="162"/>
        </w:trPr>
        <w:tc>
          <w:tcPr>
            <w:tcW w:w="580" w:type="dxa"/>
            <w:vAlign w:val="bottom"/>
          </w:tcPr>
          <w:p>
            <w:pPr>
              <w:jc w:val="right"/>
              <w:ind w:right="68"/>
              <w:spacing w:after="0"/>
              <w:rPr>
                <w:sz w:val="20"/>
                <w:szCs w:val="20"/>
                <w:color w:val="auto"/>
              </w:rPr>
            </w:pPr>
            <w:r>
              <w:rPr>
                <w:rFonts w:ascii="Arial" w:cs="Arial" w:eastAsia="Arial" w:hAnsi="Arial"/>
                <w:sz w:val="14"/>
                <w:szCs w:val="14"/>
                <w:color w:val="auto"/>
              </w:rPr>
              <w:t>10.22*</w:t>
            </w:r>
          </w:p>
        </w:tc>
        <w:tc>
          <w:tcPr>
            <w:tcW w:w="460" w:type="dxa"/>
            <w:vAlign w:val="bottom"/>
          </w:tcPr>
          <w:p>
            <w:pPr>
              <w:spacing w:after="0"/>
              <w:rPr>
                <w:sz w:val="14"/>
                <w:szCs w:val="14"/>
                <w:color w:val="auto"/>
              </w:rPr>
            </w:pPr>
          </w:p>
        </w:tc>
        <w:tc>
          <w:tcPr>
            <w:tcW w:w="10380" w:type="dxa"/>
            <w:vAlign w:val="bottom"/>
            <w:gridSpan w:val="32"/>
          </w:tcPr>
          <w:p>
            <w:pPr>
              <w:spacing w:after="0"/>
              <w:rPr>
                <w:rFonts w:ascii="Arial" w:cs="Arial" w:eastAsia="Arial" w:hAnsi="Arial"/>
                <w:sz w:val="14"/>
                <w:szCs w:val="14"/>
                <w:color w:val="0000FF"/>
              </w:rPr>
            </w:pPr>
            <w:hyperlink r:id="rId141">
              <w:r>
                <w:rPr>
                  <w:rFonts w:ascii="Arial" w:cs="Arial" w:eastAsia="Arial" w:hAnsi="Arial"/>
                  <w:sz w:val="14"/>
                  <w:szCs w:val="14"/>
                  <w:color w:val="0000FF"/>
                </w:rPr>
                <w:t>Employment Offer, dated May 6, 2016, between Kristin Scott and A&amp;F, incorporated herein by reference to Exhibit 10.3 to A&amp;F’s Current Report on Form 8-K</w:t>
              </w:r>
            </w:hyperlink>
          </w:p>
        </w:tc>
      </w:tr>
      <w:tr>
        <w:trPr>
          <w:trHeight w:val="115"/>
        </w:trPr>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0" w:type="dxa"/>
            <w:vAlign w:val="bottom"/>
            <w:tcBorders>
              <w:top w:val="single" w:sz="8" w:color="0000FF"/>
            </w:tcBorders>
            <w:gridSpan w:val="11"/>
          </w:tcPr>
          <w:p>
            <w:pPr>
              <w:spacing w:after="0" w:line="115" w:lineRule="exact"/>
              <w:rPr>
                <w:rFonts w:ascii="Arial" w:cs="Arial" w:eastAsia="Arial" w:hAnsi="Arial"/>
                <w:sz w:val="13"/>
                <w:szCs w:val="13"/>
                <w:color w:val="0000FF"/>
              </w:rPr>
            </w:pPr>
            <w:hyperlink r:id="rId141">
              <w:r>
                <w:rPr>
                  <w:rFonts w:ascii="Arial" w:cs="Arial" w:eastAsia="Arial" w:hAnsi="Arial"/>
                  <w:sz w:val="13"/>
                  <w:szCs w:val="13"/>
                  <w:color w:val="0000FF"/>
                </w:rPr>
                <w:t>dated and filed May 23, 2016 (File No. 001-12107).</w:t>
              </w:r>
            </w:hyperlink>
          </w:p>
        </w:tc>
        <w:tc>
          <w:tcPr>
            <w:tcW w:w="88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740" w:type="dxa"/>
            <w:vAlign w:val="bottom"/>
            <w:tcBorders>
              <w:top w:val="single" w:sz="8" w:color="0000FF"/>
            </w:tcBorders>
          </w:tcPr>
          <w:p>
            <w:pPr>
              <w:spacing w:after="0"/>
              <w:rPr>
                <w:sz w:val="10"/>
                <w:szCs w:val="10"/>
                <w:color w:val="auto"/>
              </w:rPr>
            </w:pPr>
          </w:p>
        </w:tc>
        <w:tc>
          <w:tcPr>
            <w:tcW w:w="4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740" w:type="dxa"/>
            <w:vAlign w:val="bottom"/>
            <w:tcBorders>
              <w:top w:val="single" w:sz="8" w:color="0000FF"/>
            </w:tcBorders>
          </w:tcPr>
          <w:p>
            <w:pPr>
              <w:spacing w:after="0"/>
              <w:rPr>
                <w:sz w:val="10"/>
                <w:szCs w:val="10"/>
                <w:color w:val="auto"/>
              </w:rPr>
            </w:pPr>
          </w:p>
        </w:tc>
        <w:tc>
          <w:tcPr>
            <w:tcW w:w="380" w:type="dxa"/>
            <w:vAlign w:val="bottom"/>
            <w:tcBorders>
              <w:top w:val="single" w:sz="8" w:color="0000FF"/>
            </w:tcBorders>
          </w:tcPr>
          <w:p>
            <w:pPr>
              <w:spacing w:after="0"/>
              <w:rPr>
                <w:sz w:val="10"/>
                <w:szCs w:val="10"/>
                <w:color w:val="auto"/>
              </w:rPr>
            </w:pPr>
          </w:p>
        </w:tc>
        <w:tc>
          <w:tcPr>
            <w:tcW w:w="780" w:type="dxa"/>
            <w:vAlign w:val="bottom"/>
            <w:tcBorders>
              <w:top w:val="single" w:sz="8" w:color="0000FF"/>
            </w:tcBorders>
          </w:tcPr>
          <w:p>
            <w:pPr>
              <w:spacing w:after="0"/>
              <w:rPr>
                <w:sz w:val="10"/>
                <w:szCs w:val="10"/>
                <w:color w:val="auto"/>
              </w:rPr>
            </w:pPr>
          </w:p>
        </w:tc>
        <w:tc>
          <w:tcPr>
            <w:tcW w:w="13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1"/>
        </w:trPr>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580" w:type="dxa"/>
            <w:vAlign w:val="bottom"/>
            <w:shd w:val="clear" w:color="auto" w:fill="F5F5F5"/>
          </w:tcPr>
          <w:p>
            <w:pPr>
              <w:jc w:val="right"/>
              <w:ind w:right="68"/>
              <w:spacing w:after="0"/>
              <w:rPr>
                <w:sz w:val="20"/>
                <w:szCs w:val="20"/>
                <w:color w:val="auto"/>
              </w:rPr>
            </w:pPr>
            <w:r>
              <w:rPr>
                <w:rFonts w:ascii="Arial" w:cs="Arial" w:eastAsia="Arial" w:hAnsi="Arial"/>
                <w:sz w:val="14"/>
                <w:szCs w:val="14"/>
                <w:color w:val="auto"/>
              </w:rPr>
              <w:t>10.23*</w:t>
            </w:r>
          </w:p>
        </w:tc>
        <w:tc>
          <w:tcPr>
            <w:tcW w:w="460" w:type="dxa"/>
            <w:vAlign w:val="bottom"/>
            <w:shd w:val="clear" w:color="auto" w:fill="F5F5F5"/>
          </w:tcPr>
          <w:p>
            <w:pPr>
              <w:spacing w:after="0"/>
              <w:rPr>
                <w:sz w:val="14"/>
                <w:szCs w:val="14"/>
                <w:color w:val="auto"/>
              </w:rPr>
            </w:pPr>
          </w:p>
        </w:tc>
        <w:tc>
          <w:tcPr>
            <w:tcW w:w="10380" w:type="dxa"/>
            <w:vAlign w:val="bottom"/>
            <w:gridSpan w:val="32"/>
            <w:shd w:val="clear" w:color="auto" w:fill="F5F5F5"/>
          </w:tcPr>
          <w:p>
            <w:pPr>
              <w:spacing w:after="0"/>
              <w:rPr>
                <w:rFonts w:ascii="Arial" w:cs="Arial" w:eastAsia="Arial" w:hAnsi="Arial"/>
                <w:sz w:val="14"/>
                <w:szCs w:val="14"/>
                <w:color w:val="0000FF"/>
              </w:rPr>
            </w:pPr>
            <w:hyperlink r:id="rId142">
              <w:r>
                <w:rPr>
                  <w:rFonts w:ascii="Arial" w:cs="Arial" w:eastAsia="Arial" w:hAnsi="Arial"/>
                  <w:sz w:val="14"/>
                  <w:szCs w:val="14"/>
                  <w:color w:val="0000FF"/>
                </w:rPr>
                <w:t>Form of Agreement entered into between A&amp;F Management and Kristin Scott as of May 10, 2017, incorporated herein by reference to Exhibit 10.2 to A&amp;F’s</w:t>
              </w:r>
            </w:hyperlink>
          </w:p>
        </w:tc>
      </w:tr>
      <w:tr>
        <w:trPr>
          <w:trHeight w:val="115"/>
        </w:trPr>
        <w:tc>
          <w:tcPr>
            <w:tcW w:w="580" w:type="dxa"/>
            <w:vAlign w:val="bottom"/>
            <w:tcBorders>
              <w:top w:val="single" w:sz="8" w:color="F5F5F5"/>
            </w:tcBorders>
            <w:shd w:val="clear" w:color="auto" w:fill="F5F5F5"/>
          </w:tcPr>
          <w:p>
            <w:pPr>
              <w:spacing w:after="0"/>
              <w:rPr>
                <w:sz w:val="10"/>
                <w:szCs w:val="10"/>
                <w:color w:val="auto"/>
              </w:rPr>
            </w:pPr>
          </w:p>
        </w:tc>
        <w:tc>
          <w:tcPr>
            <w:tcW w:w="460" w:type="dxa"/>
            <w:vAlign w:val="bottom"/>
            <w:tcBorders>
              <w:top w:val="single" w:sz="8" w:color="F5F5F5"/>
            </w:tcBorders>
            <w:shd w:val="clear" w:color="auto" w:fill="F5F5F5"/>
          </w:tcPr>
          <w:p>
            <w:pPr>
              <w:spacing w:after="0"/>
              <w:rPr>
                <w:sz w:val="10"/>
                <w:szCs w:val="10"/>
                <w:color w:val="auto"/>
              </w:rPr>
            </w:pPr>
          </w:p>
        </w:tc>
        <w:tc>
          <w:tcPr>
            <w:tcW w:w="8080" w:type="dxa"/>
            <w:vAlign w:val="bottom"/>
            <w:tcBorders>
              <w:top w:val="single" w:sz="8" w:color="0000FF"/>
            </w:tcBorders>
            <w:gridSpan w:val="19"/>
            <w:shd w:val="clear" w:color="auto" w:fill="F5F5F5"/>
          </w:tcPr>
          <w:p>
            <w:pPr>
              <w:spacing w:after="0" w:line="115" w:lineRule="exact"/>
              <w:rPr>
                <w:rFonts w:ascii="Arial" w:cs="Arial" w:eastAsia="Arial" w:hAnsi="Arial"/>
                <w:sz w:val="13"/>
                <w:szCs w:val="13"/>
                <w:color w:val="0000FF"/>
              </w:rPr>
            </w:pPr>
            <w:hyperlink r:id="rId142">
              <w:r>
                <w:rPr>
                  <w:rFonts w:ascii="Arial" w:cs="Arial" w:eastAsia="Arial" w:hAnsi="Arial"/>
                  <w:sz w:val="13"/>
                  <w:szCs w:val="13"/>
                  <w:color w:val="0000FF"/>
                </w:rPr>
                <w:t>Current Report on Form 8-K dated and filed May 12, 2017 (File No. 001-12107).</w:t>
              </w:r>
            </w:hyperlink>
          </w:p>
        </w:tc>
        <w:tc>
          <w:tcPr>
            <w:tcW w:w="780" w:type="dxa"/>
            <w:vAlign w:val="bottom"/>
            <w:tcBorders>
              <w:top w:val="single" w:sz="8" w:color="0000FF"/>
            </w:tcBorders>
            <w:shd w:val="clear" w:color="auto" w:fill="F5F5F5"/>
          </w:tcPr>
          <w:p>
            <w:pPr>
              <w:spacing w:after="0"/>
              <w:rPr>
                <w:sz w:val="10"/>
                <w:szCs w:val="10"/>
                <w:color w:val="auto"/>
              </w:rPr>
            </w:pPr>
          </w:p>
        </w:tc>
        <w:tc>
          <w:tcPr>
            <w:tcW w:w="1300" w:type="dxa"/>
            <w:vAlign w:val="bottom"/>
            <w:tcBorders>
              <w:top w:val="single" w:sz="8" w:color="0000FF"/>
            </w:tcBorders>
            <w:shd w:val="clear" w:color="auto" w:fill="F5F5F5"/>
          </w:tcPr>
          <w:p>
            <w:pPr>
              <w:spacing w:after="0"/>
              <w:rPr>
                <w:sz w:val="10"/>
                <w:szCs w:val="10"/>
                <w:color w:val="auto"/>
              </w:rPr>
            </w:pPr>
          </w:p>
        </w:tc>
        <w:tc>
          <w:tcPr>
            <w:tcW w:w="20" w:type="dxa"/>
            <w:vAlign w:val="bottom"/>
            <w:tcBorders>
              <w:top w:val="single" w:sz="8" w:color="0000FF"/>
            </w:tcBorders>
            <w:shd w:val="clear" w:color="auto" w:fill="F5F5F5"/>
          </w:tcPr>
          <w:p>
            <w:pPr>
              <w:spacing w:after="0"/>
              <w:rPr>
                <w:sz w:val="10"/>
                <w:szCs w:val="10"/>
                <w:color w:val="auto"/>
              </w:rPr>
            </w:pPr>
          </w:p>
        </w:tc>
        <w:tc>
          <w:tcPr>
            <w:tcW w:w="20" w:type="dxa"/>
            <w:vAlign w:val="bottom"/>
            <w:tcBorders>
              <w:top w:val="single" w:sz="8" w:color="0000FF"/>
            </w:tcBorders>
            <w:shd w:val="clear" w:color="auto" w:fill="F5F5F5"/>
          </w:tcPr>
          <w:p>
            <w:pPr>
              <w:spacing w:after="0"/>
              <w:rPr>
                <w:sz w:val="10"/>
                <w:szCs w:val="10"/>
                <w:color w:val="auto"/>
              </w:rPr>
            </w:pPr>
          </w:p>
        </w:tc>
        <w:tc>
          <w:tcPr>
            <w:tcW w:w="20" w:type="dxa"/>
            <w:vAlign w:val="bottom"/>
            <w:tcBorders>
              <w:top w:val="single" w:sz="8" w:color="0000FF"/>
            </w:tcBorders>
            <w:shd w:val="clear" w:color="auto" w:fill="F5F5F5"/>
          </w:tcPr>
          <w:p>
            <w:pPr>
              <w:spacing w:after="0"/>
              <w:rPr>
                <w:sz w:val="10"/>
                <w:szCs w:val="10"/>
                <w:color w:val="auto"/>
              </w:rPr>
            </w:pPr>
          </w:p>
        </w:tc>
        <w:tc>
          <w:tcPr>
            <w:tcW w:w="20" w:type="dxa"/>
            <w:vAlign w:val="bottom"/>
            <w:tcBorders>
              <w:top w:val="single" w:sz="8" w:color="0000FF"/>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r>
      <w:tr>
        <w:trPr>
          <w:trHeight w:val="21"/>
        </w:trPr>
        <w:tc>
          <w:tcPr>
            <w:tcW w:w="580" w:type="dxa"/>
            <w:vAlign w:val="bottom"/>
            <w:tcBorders>
              <w:top w:val="single" w:sz="8" w:color="F5F5F5"/>
            </w:tcBorders>
            <w:shd w:val="clear" w:color="auto" w:fill="F5F5F5"/>
          </w:tcPr>
          <w:p>
            <w:pPr>
              <w:spacing w:after="0" w:line="20" w:lineRule="exact"/>
              <w:rPr>
                <w:sz w:val="1"/>
                <w:szCs w:val="1"/>
                <w:color w:val="auto"/>
              </w:rPr>
            </w:pPr>
          </w:p>
        </w:tc>
        <w:tc>
          <w:tcPr>
            <w:tcW w:w="460" w:type="dxa"/>
            <w:vAlign w:val="bottom"/>
            <w:tcBorders>
              <w:top w:val="single" w:sz="8" w:color="F5F5F5"/>
            </w:tcBorders>
            <w:shd w:val="clear" w:color="auto" w:fill="F5F5F5"/>
          </w:tcPr>
          <w:p>
            <w:pPr>
              <w:spacing w:after="0" w:line="20" w:lineRule="exact"/>
              <w:rPr>
                <w:sz w:val="1"/>
                <w:szCs w:val="1"/>
                <w:color w:val="auto"/>
              </w:rPr>
            </w:pPr>
          </w:p>
        </w:tc>
        <w:tc>
          <w:tcPr>
            <w:tcW w:w="480" w:type="dxa"/>
            <w:vAlign w:val="bottom"/>
            <w:tcBorders>
              <w:top w:val="single" w:sz="8" w:color="0000FF"/>
            </w:tcBorders>
            <w:shd w:val="clear" w:color="auto" w:fill="F5F5F5"/>
          </w:tcPr>
          <w:p>
            <w:pPr>
              <w:spacing w:after="0" w:line="20" w:lineRule="exact"/>
              <w:rPr>
                <w:sz w:val="1"/>
                <w:szCs w:val="1"/>
                <w:color w:val="auto"/>
              </w:rPr>
            </w:pPr>
          </w:p>
        </w:tc>
        <w:tc>
          <w:tcPr>
            <w:tcW w:w="300" w:type="dxa"/>
            <w:vAlign w:val="bottom"/>
            <w:tcBorders>
              <w:top w:val="single" w:sz="8" w:color="0000FF"/>
            </w:tcBorders>
            <w:shd w:val="clear" w:color="auto" w:fill="F5F5F5"/>
          </w:tcPr>
          <w:p>
            <w:pPr>
              <w:spacing w:after="0" w:line="20" w:lineRule="exact"/>
              <w:rPr>
                <w:sz w:val="1"/>
                <w:szCs w:val="1"/>
                <w:color w:val="auto"/>
              </w:rPr>
            </w:pPr>
          </w:p>
        </w:tc>
        <w:tc>
          <w:tcPr>
            <w:tcW w:w="1180" w:type="dxa"/>
            <w:vAlign w:val="bottom"/>
            <w:tcBorders>
              <w:top w:val="single" w:sz="8" w:color="0000FF"/>
            </w:tcBorders>
            <w:shd w:val="clear" w:color="auto" w:fill="F5F5F5"/>
          </w:tcPr>
          <w:p>
            <w:pPr>
              <w:spacing w:after="0" w:line="20" w:lineRule="exact"/>
              <w:rPr>
                <w:sz w:val="1"/>
                <w:szCs w:val="1"/>
                <w:color w:val="auto"/>
              </w:rPr>
            </w:pPr>
          </w:p>
        </w:tc>
        <w:tc>
          <w:tcPr>
            <w:tcW w:w="340" w:type="dxa"/>
            <w:vAlign w:val="bottom"/>
            <w:tcBorders>
              <w:top w:val="single" w:sz="8" w:color="0000FF"/>
            </w:tcBorders>
            <w:shd w:val="clear" w:color="auto" w:fill="F5F5F5"/>
          </w:tcPr>
          <w:p>
            <w:pPr>
              <w:spacing w:after="0" w:line="20" w:lineRule="exact"/>
              <w:rPr>
                <w:sz w:val="1"/>
                <w:szCs w:val="1"/>
                <w:color w:val="auto"/>
              </w:rPr>
            </w:pPr>
          </w:p>
        </w:tc>
        <w:tc>
          <w:tcPr>
            <w:tcW w:w="400" w:type="dxa"/>
            <w:vAlign w:val="bottom"/>
            <w:tcBorders>
              <w:top w:val="single" w:sz="8" w:color="0000FF"/>
            </w:tcBorders>
            <w:shd w:val="clear" w:color="auto" w:fill="F5F5F5"/>
          </w:tcPr>
          <w:p>
            <w:pPr>
              <w:spacing w:after="0" w:line="20" w:lineRule="exact"/>
              <w:rPr>
                <w:sz w:val="1"/>
                <w:szCs w:val="1"/>
                <w:color w:val="auto"/>
              </w:rPr>
            </w:pPr>
          </w:p>
        </w:tc>
        <w:tc>
          <w:tcPr>
            <w:tcW w:w="560" w:type="dxa"/>
            <w:vAlign w:val="bottom"/>
            <w:tcBorders>
              <w:top w:val="single" w:sz="8" w:color="0000FF"/>
            </w:tcBorders>
            <w:shd w:val="clear" w:color="auto" w:fill="F5F5F5"/>
          </w:tcPr>
          <w:p>
            <w:pPr>
              <w:spacing w:after="0" w:line="20" w:lineRule="exact"/>
              <w:rPr>
                <w:sz w:val="1"/>
                <w:szCs w:val="1"/>
                <w:color w:val="auto"/>
              </w:rPr>
            </w:pPr>
          </w:p>
        </w:tc>
        <w:tc>
          <w:tcPr>
            <w:tcW w:w="480" w:type="dxa"/>
            <w:vAlign w:val="bottom"/>
            <w:tcBorders>
              <w:top w:val="single" w:sz="8" w:color="0000FF"/>
            </w:tcBorders>
            <w:shd w:val="clear" w:color="auto" w:fill="F5F5F5"/>
          </w:tcPr>
          <w:p>
            <w:pPr>
              <w:spacing w:after="0" w:line="20" w:lineRule="exact"/>
              <w:rPr>
                <w:sz w:val="1"/>
                <w:szCs w:val="1"/>
                <w:color w:val="auto"/>
              </w:rPr>
            </w:pPr>
          </w:p>
        </w:tc>
        <w:tc>
          <w:tcPr>
            <w:tcW w:w="20" w:type="dxa"/>
            <w:vAlign w:val="bottom"/>
            <w:tcBorders>
              <w:top w:val="single" w:sz="8" w:color="0000FF"/>
            </w:tcBorders>
            <w:shd w:val="clear" w:color="auto" w:fill="F5F5F5"/>
          </w:tcPr>
          <w:p>
            <w:pPr>
              <w:spacing w:after="0" w:line="20" w:lineRule="exact"/>
              <w:rPr>
                <w:sz w:val="1"/>
                <w:szCs w:val="1"/>
                <w:color w:val="auto"/>
              </w:rPr>
            </w:pPr>
          </w:p>
        </w:tc>
        <w:tc>
          <w:tcPr>
            <w:tcW w:w="100" w:type="dxa"/>
            <w:vAlign w:val="bottom"/>
            <w:tcBorders>
              <w:top w:val="single" w:sz="8" w:color="0000FF"/>
            </w:tcBorders>
            <w:shd w:val="clear" w:color="auto" w:fill="F5F5F5"/>
          </w:tcPr>
          <w:p>
            <w:pPr>
              <w:spacing w:after="0" w:line="20" w:lineRule="exact"/>
              <w:rPr>
                <w:sz w:val="1"/>
                <w:szCs w:val="1"/>
                <w:color w:val="auto"/>
              </w:rPr>
            </w:pPr>
          </w:p>
        </w:tc>
        <w:tc>
          <w:tcPr>
            <w:tcW w:w="60" w:type="dxa"/>
            <w:vAlign w:val="bottom"/>
            <w:tcBorders>
              <w:top w:val="single" w:sz="8" w:color="0000FF"/>
            </w:tcBorders>
            <w:shd w:val="clear" w:color="auto" w:fill="F5F5F5"/>
          </w:tcPr>
          <w:p>
            <w:pPr>
              <w:spacing w:after="0" w:line="20" w:lineRule="exact"/>
              <w:rPr>
                <w:sz w:val="1"/>
                <w:szCs w:val="1"/>
                <w:color w:val="auto"/>
              </w:rPr>
            </w:pPr>
          </w:p>
        </w:tc>
        <w:tc>
          <w:tcPr>
            <w:tcW w:w="280" w:type="dxa"/>
            <w:vAlign w:val="bottom"/>
            <w:tcBorders>
              <w:top w:val="single" w:sz="8" w:color="0000FF"/>
            </w:tcBorders>
            <w:shd w:val="clear" w:color="auto" w:fill="F5F5F5"/>
          </w:tcPr>
          <w:p>
            <w:pPr>
              <w:spacing w:after="0" w:line="20" w:lineRule="exact"/>
              <w:rPr>
                <w:sz w:val="1"/>
                <w:szCs w:val="1"/>
                <w:color w:val="auto"/>
              </w:rPr>
            </w:pPr>
          </w:p>
        </w:tc>
        <w:tc>
          <w:tcPr>
            <w:tcW w:w="880" w:type="dxa"/>
            <w:vAlign w:val="bottom"/>
            <w:tcBorders>
              <w:top w:val="single" w:sz="8" w:color="0000FF"/>
            </w:tcBorders>
            <w:shd w:val="clear" w:color="auto" w:fill="F5F5F5"/>
          </w:tcPr>
          <w:p>
            <w:pPr>
              <w:spacing w:after="0" w:line="20" w:lineRule="exact"/>
              <w:rPr>
                <w:sz w:val="1"/>
                <w:szCs w:val="1"/>
                <w:color w:val="auto"/>
              </w:rPr>
            </w:pPr>
          </w:p>
        </w:tc>
        <w:tc>
          <w:tcPr>
            <w:tcW w:w="160" w:type="dxa"/>
            <w:vAlign w:val="bottom"/>
            <w:tcBorders>
              <w:top w:val="single" w:sz="8" w:color="F5F5F5"/>
            </w:tcBorders>
            <w:shd w:val="clear" w:color="auto" w:fill="F5F5F5"/>
          </w:tcPr>
          <w:p>
            <w:pPr>
              <w:spacing w:after="0" w:line="20" w:lineRule="exact"/>
              <w:rPr>
                <w:sz w:val="1"/>
                <w:szCs w:val="1"/>
                <w:color w:val="auto"/>
              </w:rPr>
            </w:pPr>
          </w:p>
        </w:tc>
        <w:tc>
          <w:tcPr>
            <w:tcW w:w="500" w:type="dxa"/>
            <w:vAlign w:val="bottom"/>
            <w:tcBorders>
              <w:top w:val="single" w:sz="8" w:color="F5F5F5"/>
            </w:tcBorders>
            <w:shd w:val="clear" w:color="auto" w:fill="F5F5F5"/>
          </w:tcPr>
          <w:p>
            <w:pPr>
              <w:spacing w:after="0" w:line="20" w:lineRule="exact"/>
              <w:rPr>
                <w:sz w:val="1"/>
                <w:szCs w:val="1"/>
                <w:color w:val="auto"/>
              </w:rPr>
            </w:pPr>
          </w:p>
        </w:tc>
        <w:tc>
          <w:tcPr>
            <w:tcW w:w="740" w:type="dxa"/>
            <w:vAlign w:val="bottom"/>
            <w:tcBorders>
              <w:top w:val="single" w:sz="8" w:color="F5F5F5"/>
            </w:tcBorders>
            <w:shd w:val="clear" w:color="auto" w:fill="F5F5F5"/>
          </w:tcPr>
          <w:p>
            <w:pPr>
              <w:spacing w:after="0" w:line="20" w:lineRule="exact"/>
              <w:rPr>
                <w:sz w:val="1"/>
                <w:szCs w:val="1"/>
                <w:color w:val="auto"/>
              </w:rPr>
            </w:pPr>
          </w:p>
        </w:tc>
        <w:tc>
          <w:tcPr>
            <w:tcW w:w="420" w:type="dxa"/>
            <w:vAlign w:val="bottom"/>
            <w:tcBorders>
              <w:top w:val="single" w:sz="8" w:color="F5F5F5"/>
            </w:tcBorders>
            <w:shd w:val="clear" w:color="auto" w:fill="F5F5F5"/>
          </w:tcPr>
          <w:p>
            <w:pPr>
              <w:spacing w:after="0" w:line="20" w:lineRule="exact"/>
              <w:rPr>
                <w:sz w:val="1"/>
                <w:szCs w:val="1"/>
                <w:color w:val="auto"/>
              </w:rPr>
            </w:pPr>
          </w:p>
        </w:tc>
        <w:tc>
          <w:tcPr>
            <w:tcW w:w="60" w:type="dxa"/>
            <w:vAlign w:val="bottom"/>
            <w:tcBorders>
              <w:top w:val="single" w:sz="8" w:color="F5F5F5"/>
            </w:tcBorders>
            <w:shd w:val="clear" w:color="auto" w:fill="F5F5F5"/>
          </w:tcPr>
          <w:p>
            <w:pPr>
              <w:spacing w:after="0" w:line="20" w:lineRule="exact"/>
              <w:rPr>
                <w:sz w:val="1"/>
                <w:szCs w:val="1"/>
                <w:color w:val="auto"/>
              </w:rPr>
            </w:pPr>
          </w:p>
        </w:tc>
        <w:tc>
          <w:tcPr>
            <w:tcW w:w="740" w:type="dxa"/>
            <w:vAlign w:val="bottom"/>
            <w:tcBorders>
              <w:top w:val="single" w:sz="8" w:color="F5F5F5"/>
            </w:tcBorders>
            <w:shd w:val="clear" w:color="auto" w:fill="F5F5F5"/>
          </w:tcPr>
          <w:p>
            <w:pPr>
              <w:spacing w:after="0" w:line="20" w:lineRule="exact"/>
              <w:rPr>
                <w:sz w:val="1"/>
                <w:szCs w:val="1"/>
                <w:color w:val="auto"/>
              </w:rPr>
            </w:pPr>
          </w:p>
        </w:tc>
        <w:tc>
          <w:tcPr>
            <w:tcW w:w="380" w:type="dxa"/>
            <w:vAlign w:val="bottom"/>
            <w:tcBorders>
              <w:top w:val="single" w:sz="8" w:color="F5F5F5"/>
            </w:tcBorders>
            <w:shd w:val="clear" w:color="auto" w:fill="F5F5F5"/>
          </w:tcPr>
          <w:p>
            <w:pPr>
              <w:spacing w:after="0" w:line="20" w:lineRule="exact"/>
              <w:rPr>
                <w:sz w:val="1"/>
                <w:szCs w:val="1"/>
                <w:color w:val="auto"/>
              </w:rPr>
            </w:pPr>
          </w:p>
        </w:tc>
        <w:tc>
          <w:tcPr>
            <w:tcW w:w="780" w:type="dxa"/>
            <w:vAlign w:val="bottom"/>
            <w:tcBorders>
              <w:top w:val="single" w:sz="8" w:color="F5F5F5"/>
            </w:tcBorders>
            <w:shd w:val="clear" w:color="auto" w:fill="F5F5F5"/>
          </w:tcPr>
          <w:p>
            <w:pPr>
              <w:spacing w:after="0" w:line="20" w:lineRule="exact"/>
              <w:rPr>
                <w:sz w:val="1"/>
                <w:szCs w:val="1"/>
                <w:color w:val="auto"/>
              </w:rPr>
            </w:pPr>
          </w:p>
        </w:tc>
        <w:tc>
          <w:tcPr>
            <w:tcW w:w="130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r>
      <w:tr>
        <w:trPr>
          <w:trHeight w:val="162"/>
        </w:trPr>
        <w:tc>
          <w:tcPr>
            <w:tcW w:w="580" w:type="dxa"/>
            <w:vAlign w:val="bottom"/>
          </w:tcPr>
          <w:p>
            <w:pPr>
              <w:jc w:val="right"/>
              <w:ind w:right="68"/>
              <w:spacing w:after="0"/>
              <w:rPr>
                <w:sz w:val="20"/>
                <w:szCs w:val="20"/>
                <w:color w:val="auto"/>
              </w:rPr>
            </w:pPr>
            <w:r>
              <w:rPr>
                <w:rFonts w:ascii="Arial" w:cs="Arial" w:eastAsia="Arial" w:hAnsi="Arial"/>
                <w:sz w:val="14"/>
                <w:szCs w:val="14"/>
                <w:color w:val="auto"/>
              </w:rPr>
              <w:t>10.24*</w:t>
            </w:r>
          </w:p>
        </w:tc>
        <w:tc>
          <w:tcPr>
            <w:tcW w:w="460" w:type="dxa"/>
            <w:vAlign w:val="bottom"/>
          </w:tcPr>
          <w:p>
            <w:pPr>
              <w:spacing w:after="0"/>
              <w:rPr>
                <w:sz w:val="14"/>
                <w:szCs w:val="14"/>
                <w:color w:val="auto"/>
              </w:rPr>
            </w:pPr>
          </w:p>
        </w:tc>
        <w:tc>
          <w:tcPr>
            <w:tcW w:w="10380" w:type="dxa"/>
            <w:vAlign w:val="bottom"/>
            <w:gridSpan w:val="32"/>
          </w:tcPr>
          <w:p>
            <w:pPr>
              <w:spacing w:after="0"/>
              <w:rPr>
                <w:rFonts w:ascii="Arial" w:cs="Arial" w:eastAsia="Arial" w:hAnsi="Arial"/>
                <w:sz w:val="14"/>
                <w:szCs w:val="14"/>
                <w:color w:val="0000FF"/>
              </w:rPr>
            </w:pPr>
            <w:hyperlink r:id="rId143">
              <w:r>
                <w:rPr>
                  <w:rFonts w:ascii="Arial" w:cs="Arial" w:eastAsia="Arial" w:hAnsi="Arial"/>
                  <w:sz w:val="14"/>
                  <w:szCs w:val="14"/>
                  <w:color w:val="0000FF"/>
                </w:rPr>
                <w:t>Separation Agreement entered into by and between A&amp;F Management and Kristin Scott, effective February 13, 2024 (filed herewith), incorporated herein by</w:t>
              </w:r>
            </w:hyperlink>
          </w:p>
        </w:tc>
      </w:tr>
      <w:tr>
        <w:trPr>
          <w:trHeight w:val="115"/>
        </w:trPr>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80" w:type="dxa"/>
            <w:vAlign w:val="bottom"/>
            <w:tcBorders>
              <w:top w:val="single" w:sz="8" w:color="0000FF"/>
            </w:tcBorders>
            <w:gridSpan w:val="19"/>
          </w:tcPr>
          <w:p>
            <w:pPr>
              <w:spacing w:after="0" w:line="115" w:lineRule="exact"/>
              <w:rPr>
                <w:rFonts w:ascii="Arial" w:cs="Arial" w:eastAsia="Arial" w:hAnsi="Arial"/>
                <w:sz w:val="13"/>
                <w:szCs w:val="13"/>
                <w:color w:val="0000FF"/>
              </w:rPr>
            </w:pPr>
            <w:hyperlink r:id="rId143">
              <w:r>
                <w:rPr>
                  <w:rFonts w:ascii="Arial" w:cs="Arial" w:eastAsia="Arial" w:hAnsi="Arial"/>
                  <w:sz w:val="13"/>
                  <w:szCs w:val="13"/>
                  <w:color w:val="0000FF"/>
                </w:rPr>
                <w:t>reference to Exhibit 10.1 to A&amp;F’s Current Report on Form 8-K/A dated and filed February 16, 2024 (File No. 001-12107).</w:t>
              </w:r>
            </w:hyperlink>
          </w:p>
        </w:tc>
        <w:tc>
          <w:tcPr>
            <w:tcW w:w="780" w:type="dxa"/>
            <w:vAlign w:val="bottom"/>
            <w:tcBorders>
              <w:top w:val="single" w:sz="8" w:color="0000FF"/>
            </w:tcBorders>
          </w:tcPr>
          <w:p>
            <w:pPr>
              <w:spacing w:after="0"/>
              <w:rPr>
                <w:sz w:val="10"/>
                <w:szCs w:val="10"/>
                <w:color w:val="auto"/>
              </w:rPr>
            </w:pPr>
          </w:p>
        </w:tc>
        <w:tc>
          <w:tcPr>
            <w:tcW w:w="13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1"/>
        </w:trPr>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580" w:type="dxa"/>
            <w:vAlign w:val="bottom"/>
            <w:shd w:val="clear" w:color="auto" w:fill="F5F5F5"/>
          </w:tcPr>
          <w:p>
            <w:pPr>
              <w:jc w:val="right"/>
              <w:ind w:right="68"/>
              <w:spacing w:after="0"/>
              <w:rPr>
                <w:sz w:val="20"/>
                <w:szCs w:val="20"/>
                <w:color w:val="auto"/>
              </w:rPr>
            </w:pPr>
            <w:r>
              <w:rPr>
                <w:rFonts w:ascii="Arial" w:cs="Arial" w:eastAsia="Arial" w:hAnsi="Arial"/>
                <w:sz w:val="14"/>
                <w:szCs w:val="14"/>
                <w:color w:val="auto"/>
              </w:rPr>
              <w:t>10.25*</w:t>
            </w:r>
          </w:p>
        </w:tc>
        <w:tc>
          <w:tcPr>
            <w:tcW w:w="460" w:type="dxa"/>
            <w:vAlign w:val="bottom"/>
            <w:shd w:val="clear" w:color="auto" w:fill="F5F5F5"/>
          </w:tcPr>
          <w:p>
            <w:pPr>
              <w:spacing w:after="0"/>
              <w:rPr>
                <w:sz w:val="14"/>
                <w:szCs w:val="14"/>
                <w:color w:val="auto"/>
              </w:rPr>
            </w:pPr>
          </w:p>
        </w:tc>
        <w:tc>
          <w:tcPr>
            <w:tcW w:w="10380" w:type="dxa"/>
            <w:vAlign w:val="bottom"/>
            <w:gridSpan w:val="32"/>
            <w:shd w:val="clear" w:color="auto" w:fill="F5F5F5"/>
          </w:tcPr>
          <w:p>
            <w:pPr>
              <w:spacing w:after="0"/>
              <w:rPr>
                <w:rFonts w:ascii="Arial" w:cs="Arial" w:eastAsia="Arial" w:hAnsi="Arial"/>
                <w:sz w:val="14"/>
                <w:szCs w:val="14"/>
                <w:color w:val="0000FF"/>
              </w:rPr>
            </w:pPr>
            <w:hyperlink r:id="rId144">
              <w:r>
                <w:rPr>
                  <w:rFonts w:ascii="Arial" w:cs="Arial" w:eastAsia="Arial" w:hAnsi="Arial"/>
                  <w:sz w:val="14"/>
                  <w:szCs w:val="14"/>
                  <w:color w:val="0000FF"/>
                </w:rPr>
                <w:t>Employment Offer, dated August 17, 2017, between Scott Lipesky and A&amp;F, incorporated herein by reference to Exhibit 10.1 to A&amp;F's Current Report on Form</w:t>
              </w:r>
            </w:hyperlink>
          </w:p>
        </w:tc>
      </w:tr>
      <w:tr>
        <w:trPr>
          <w:trHeight w:val="115"/>
        </w:trPr>
        <w:tc>
          <w:tcPr>
            <w:tcW w:w="580" w:type="dxa"/>
            <w:vAlign w:val="bottom"/>
            <w:tcBorders>
              <w:top w:val="single" w:sz="8" w:color="F5F5F5"/>
            </w:tcBorders>
            <w:shd w:val="clear" w:color="auto" w:fill="F5F5F5"/>
          </w:tcPr>
          <w:p>
            <w:pPr>
              <w:spacing w:after="0"/>
              <w:rPr>
                <w:sz w:val="10"/>
                <w:szCs w:val="10"/>
                <w:color w:val="auto"/>
              </w:rPr>
            </w:pPr>
          </w:p>
        </w:tc>
        <w:tc>
          <w:tcPr>
            <w:tcW w:w="460" w:type="dxa"/>
            <w:vAlign w:val="bottom"/>
            <w:tcBorders>
              <w:top w:val="single" w:sz="8" w:color="F5F5F5"/>
            </w:tcBorders>
            <w:shd w:val="clear" w:color="auto" w:fill="F5F5F5"/>
          </w:tcPr>
          <w:p>
            <w:pPr>
              <w:spacing w:after="0"/>
              <w:rPr>
                <w:sz w:val="10"/>
                <w:szCs w:val="10"/>
                <w:color w:val="auto"/>
              </w:rPr>
            </w:pPr>
          </w:p>
        </w:tc>
        <w:tc>
          <w:tcPr>
            <w:tcW w:w="4200" w:type="dxa"/>
            <w:vAlign w:val="bottom"/>
            <w:tcBorders>
              <w:top w:val="single" w:sz="8" w:color="0000FF"/>
            </w:tcBorders>
            <w:gridSpan w:val="11"/>
            <w:shd w:val="clear" w:color="auto" w:fill="F5F5F5"/>
          </w:tcPr>
          <w:p>
            <w:pPr>
              <w:spacing w:after="0" w:line="115" w:lineRule="exact"/>
              <w:rPr>
                <w:rFonts w:ascii="Arial" w:cs="Arial" w:eastAsia="Arial" w:hAnsi="Arial"/>
                <w:sz w:val="13"/>
                <w:szCs w:val="13"/>
                <w:color w:val="0000FF"/>
              </w:rPr>
            </w:pPr>
            <w:hyperlink r:id="rId144">
              <w:r>
                <w:rPr>
                  <w:rFonts w:ascii="Arial" w:cs="Arial" w:eastAsia="Arial" w:hAnsi="Arial"/>
                  <w:sz w:val="13"/>
                  <w:szCs w:val="13"/>
                  <w:color w:val="0000FF"/>
                </w:rPr>
                <w:t>8-K dated and filed September 6, 2017 (File No. 001-12107).</w:t>
              </w:r>
            </w:hyperlink>
          </w:p>
        </w:tc>
        <w:tc>
          <w:tcPr>
            <w:tcW w:w="880" w:type="dxa"/>
            <w:vAlign w:val="bottom"/>
            <w:tcBorders>
              <w:top w:val="single" w:sz="8" w:color="0000FF"/>
            </w:tcBorders>
            <w:shd w:val="clear" w:color="auto" w:fill="F5F5F5"/>
          </w:tcPr>
          <w:p>
            <w:pPr>
              <w:spacing w:after="0"/>
              <w:rPr>
                <w:sz w:val="10"/>
                <w:szCs w:val="10"/>
                <w:color w:val="auto"/>
              </w:rPr>
            </w:pPr>
          </w:p>
        </w:tc>
        <w:tc>
          <w:tcPr>
            <w:tcW w:w="160" w:type="dxa"/>
            <w:vAlign w:val="bottom"/>
            <w:tcBorders>
              <w:top w:val="single" w:sz="8" w:color="0000FF"/>
            </w:tcBorders>
            <w:shd w:val="clear" w:color="auto" w:fill="F5F5F5"/>
          </w:tcPr>
          <w:p>
            <w:pPr>
              <w:spacing w:after="0"/>
              <w:rPr>
                <w:sz w:val="10"/>
                <w:szCs w:val="10"/>
                <w:color w:val="auto"/>
              </w:rPr>
            </w:pPr>
          </w:p>
        </w:tc>
        <w:tc>
          <w:tcPr>
            <w:tcW w:w="500" w:type="dxa"/>
            <w:vAlign w:val="bottom"/>
            <w:tcBorders>
              <w:top w:val="single" w:sz="8" w:color="0000FF"/>
            </w:tcBorders>
            <w:shd w:val="clear" w:color="auto" w:fill="F5F5F5"/>
          </w:tcPr>
          <w:p>
            <w:pPr>
              <w:spacing w:after="0"/>
              <w:rPr>
                <w:sz w:val="10"/>
                <w:szCs w:val="10"/>
                <w:color w:val="auto"/>
              </w:rPr>
            </w:pPr>
          </w:p>
        </w:tc>
        <w:tc>
          <w:tcPr>
            <w:tcW w:w="740" w:type="dxa"/>
            <w:vAlign w:val="bottom"/>
            <w:tcBorders>
              <w:top w:val="single" w:sz="8" w:color="0000FF"/>
            </w:tcBorders>
            <w:shd w:val="clear" w:color="auto" w:fill="F5F5F5"/>
          </w:tcPr>
          <w:p>
            <w:pPr>
              <w:spacing w:after="0"/>
              <w:rPr>
                <w:sz w:val="10"/>
                <w:szCs w:val="10"/>
                <w:color w:val="auto"/>
              </w:rPr>
            </w:pPr>
          </w:p>
        </w:tc>
        <w:tc>
          <w:tcPr>
            <w:tcW w:w="420" w:type="dxa"/>
            <w:vAlign w:val="bottom"/>
            <w:tcBorders>
              <w:top w:val="single" w:sz="8" w:color="0000FF"/>
            </w:tcBorders>
            <w:shd w:val="clear" w:color="auto" w:fill="F5F5F5"/>
          </w:tcPr>
          <w:p>
            <w:pPr>
              <w:spacing w:after="0"/>
              <w:rPr>
                <w:sz w:val="10"/>
                <w:szCs w:val="10"/>
                <w:color w:val="auto"/>
              </w:rPr>
            </w:pPr>
          </w:p>
        </w:tc>
        <w:tc>
          <w:tcPr>
            <w:tcW w:w="60" w:type="dxa"/>
            <w:vAlign w:val="bottom"/>
            <w:tcBorders>
              <w:top w:val="single" w:sz="8" w:color="0000FF"/>
            </w:tcBorders>
            <w:shd w:val="clear" w:color="auto" w:fill="F5F5F5"/>
          </w:tcPr>
          <w:p>
            <w:pPr>
              <w:spacing w:after="0"/>
              <w:rPr>
                <w:sz w:val="10"/>
                <w:szCs w:val="10"/>
                <w:color w:val="auto"/>
              </w:rPr>
            </w:pPr>
          </w:p>
        </w:tc>
        <w:tc>
          <w:tcPr>
            <w:tcW w:w="740" w:type="dxa"/>
            <w:vAlign w:val="bottom"/>
            <w:tcBorders>
              <w:top w:val="single" w:sz="8" w:color="0000FF"/>
            </w:tcBorders>
            <w:shd w:val="clear" w:color="auto" w:fill="F5F5F5"/>
          </w:tcPr>
          <w:p>
            <w:pPr>
              <w:spacing w:after="0"/>
              <w:rPr>
                <w:sz w:val="10"/>
                <w:szCs w:val="10"/>
                <w:color w:val="auto"/>
              </w:rPr>
            </w:pPr>
          </w:p>
        </w:tc>
        <w:tc>
          <w:tcPr>
            <w:tcW w:w="380" w:type="dxa"/>
            <w:vAlign w:val="bottom"/>
            <w:tcBorders>
              <w:top w:val="single" w:sz="8" w:color="0000FF"/>
            </w:tcBorders>
            <w:shd w:val="clear" w:color="auto" w:fill="F5F5F5"/>
          </w:tcPr>
          <w:p>
            <w:pPr>
              <w:spacing w:after="0"/>
              <w:rPr>
                <w:sz w:val="10"/>
                <w:szCs w:val="10"/>
                <w:color w:val="auto"/>
              </w:rPr>
            </w:pPr>
          </w:p>
        </w:tc>
        <w:tc>
          <w:tcPr>
            <w:tcW w:w="780" w:type="dxa"/>
            <w:vAlign w:val="bottom"/>
            <w:tcBorders>
              <w:top w:val="single" w:sz="8" w:color="0000FF"/>
            </w:tcBorders>
            <w:shd w:val="clear" w:color="auto" w:fill="F5F5F5"/>
          </w:tcPr>
          <w:p>
            <w:pPr>
              <w:spacing w:after="0"/>
              <w:rPr>
                <w:sz w:val="10"/>
                <w:szCs w:val="10"/>
                <w:color w:val="auto"/>
              </w:rPr>
            </w:pPr>
          </w:p>
        </w:tc>
        <w:tc>
          <w:tcPr>
            <w:tcW w:w="1300" w:type="dxa"/>
            <w:vAlign w:val="bottom"/>
            <w:tcBorders>
              <w:top w:val="single" w:sz="8" w:color="0000FF"/>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r>
      <w:tr>
        <w:trPr>
          <w:trHeight w:val="21"/>
        </w:trPr>
        <w:tc>
          <w:tcPr>
            <w:tcW w:w="580" w:type="dxa"/>
            <w:vAlign w:val="bottom"/>
            <w:tcBorders>
              <w:top w:val="single" w:sz="8" w:color="F5F5F5"/>
            </w:tcBorders>
            <w:shd w:val="clear" w:color="auto" w:fill="F5F5F5"/>
          </w:tcPr>
          <w:p>
            <w:pPr>
              <w:spacing w:after="0" w:line="20" w:lineRule="exact"/>
              <w:rPr>
                <w:sz w:val="1"/>
                <w:szCs w:val="1"/>
                <w:color w:val="auto"/>
              </w:rPr>
            </w:pPr>
          </w:p>
        </w:tc>
        <w:tc>
          <w:tcPr>
            <w:tcW w:w="460" w:type="dxa"/>
            <w:vAlign w:val="bottom"/>
            <w:tcBorders>
              <w:top w:val="single" w:sz="8" w:color="F5F5F5"/>
            </w:tcBorders>
            <w:shd w:val="clear" w:color="auto" w:fill="F5F5F5"/>
          </w:tcPr>
          <w:p>
            <w:pPr>
              <w:spacing w:after="0" w:line="20" w:lineRule="exact"/>
              <w:rPr>
                <w:sz w:val="1"/>
                <w:szCs w:val="1"/>
                <w:color w:val="auto"/>
              </w:rPr>
            </w:pPr>
          </w:p>
        </w:tc>
        <w:tc>
          <w:tcPr>
            <w:tcW w:w="480" w:type="dxa"/>
            <w:vAlign w:val="bottom"/>
            <w:tcBorders>
              <w:top w:val="single" w:sz="8" w:color="0000FF"/>
            </w:tcBorders>
            <w:shd w:val="clear" w:color="auto" w:fill="F5F5F5"/>
          </w:tcPr>
          <w:p>
            <w:pPr>
              <w:spacing w:after="0" w:line="20" w:lineRule="exact"/>
              <w:rPr>
                <w:sz w:val="1"/>
                <w:szCs w:val="1"/>
                <w:color w:val="auto"/>
              </w:rPr>
            </w:pPr>
          </w:p>
        </w:tc>
        <w:tc>
          <w:tcPr>
            <w:tcW w:w="300" w:type="dxa"/>
            <w:vAlign w:val="bottom"/>
            <w:tcBorders>
              <w:top w:val="single" w:sz="8" w:color="0000FF"/>
            </w:tcBorders>
            <w:shd w:val="clear" w:color="auto" w:fill="F5F5F5"/>
          </w:tcPr>
          <w:p>
            <w:pPr>
              <w:spacing w:after="0" w:line="20" w:lineRule="exact"/>
              <w:rPr>
                <w:sz w:val="1"/>
                <w:szCs w:val="1"/>
                <w:color w:val="auto"/>
              </w:rPr>
            </w:pPr>
          </w:p>
        </w:tc>
        <w:tc>
          <w:tcPr>
            <w:tcW w:w="1180" w:type="dxa"/>
            <w:vAlign w:val="bottom"/>
            <w:tcBorders>
              <w:top w:val="single" w:sz="8" w:color="0000FF"/>
            </w:tcBorders>
            <w:shd w:val="clear" w:color="auto" w:fill="F5F5F5"/>
          </w:tcPr>
          <w:p>
            <w:pPr>
              <w:spacing w:after="0" w:line="20" w:lineRule="exact"/>
              <w:rPr>
                <w:sz w:val="1"/>
                <w:szCs w:val="1"/>
                <w:color w:val="auto"/>
              </w:rPr>
            </w:pPr>
          </w:p>
        </w:tc>
        <w:tc>
          <w:tcPr>
            <w:tcW w:w="340" w:type="dxa"/>
            <w:vAlign w:val="bottom"/>
            <w:tcBorders>
              <w:top w:val="single" w:sz="8" w:color="0000FF"/>
            </w:tcBorders>
            <w:shd w:val="clear" w:color="auto" w:fill="F5F5F5"/>
          </w:tcPr>
          <w:p>
            <w:pPr>
              <w:spacing w:after="0" w:line="20" w:lineRule="exact"/>
              <w:rPr>
                <w:sz w:val="1"/>
                <w:szCs w:val="1"/>
                <w:color w:val="auto"/>
              </w:rPr>
            </w:pPr>
          </w:p>
        </w:tc>
        <w:tc>
          <w:tcPr>
            <w:tcW w:w="400" w:type="dxa"/>
            <w:vAlign w:val="bottom"/>
            <w:tcBorders>
              <w:top w:val="single" w:sz="8" w:color="0000FF"/>
            </w:tcBorders>
            <w:shd w:val="clear" w:color="auto" w:fill="F5F5F5"/>
          </w:tcPr>
          <w:p>
            <w:pPr>
              <w:spacing w:after="0" w:line="20" w:lineRule="exact"/>
              <w:rPr>
                <w:sz w:val="1"/>
                <w:szCs w:val="1"/>
                <w:color w:val="auto"/>
              </w:rPr>
            </w:pPr>
          </w:p>
        </w:tc>
        <w:tc>
          <w:tcPr>
            <w:tcW w:w="560" w:type="dxa"/>
            <w:vAlign w:val="bottom"/>
            <w:tcBorders>
              <w:top w:val="single" w:sz="8" w:color="0000FF"/>
            </w:tcBorders>
            <w:shd w:val="clear" w:color="auto" w:fill="F5F5F5"/>
          </w:tcPr>
          <w:p>
            <w:pPr>
              <w:spacing w:after="0" w:line="20" w:lineRule="exact"/>
              <w:rPr>
                <w:sz w:val="1"/>
                <w:szCs w:val="1"/>
                <w:color w:val="auto"/>
              </w:rPr>
            </w:pPr>
          </w:p>
        </w:tc>
        <w:tc>
          <w:tcPr>
            <w:tcW w:w="480" w:type="dxa"/>
            <w:vAlign w:val="bottom"/>
            <w:tcBorders>
              <w:top w:val="single" w:sz="8" w:color="0000FF"/>
            </w:tcBorders>
            <w:shd w:val="clear" w:color="auto" w:fill="F5F5F5"/>
          </w:tcPr>
          <w:p>
            <w:pPr>
              <w:spacing w:after="0" w:line="20" w:lineRule="exact"/>
              <w:rPr>
                <w:sz w:val="1"/>
                <w:szCs w:val="1"/>
                <w:color w:val="auto"/>
              </w:rPr>
            </w:pPr>
          </w:p>
        </w:tc>
        <w:tc>
          <w:tcPr>
            <w:tcW w:w="20" w:type="dxa"/>
            <w:vAlign w:val="bottom"/>
            <w:tcBorders>
              <w:top w:val="single" w:sz="8" w:color="0000FF"/>
            </w:tcBorders>
            <w:shd w:val="clear" w:color="auto" w:fill="F5F5F5"/>
          </w:tcPr>
          <w:p>
            <w:pPr>
              <w:spacing w:after="0" w:line="20" w:lineRule="exact"/>
              <w:rPr>
                <w:sz w:val="1"/>
                <w:szCs w:val="1"/>
                <w:color w:val="auto"/>
              </w:rPr>
            </w:pPr>
          </w:p>
        </w:tc>
        <w:tc>
          <w:tcPr>
            <w:tcW w:w="100" w:type="dxa"/>
            <w:vAlign w:val="bottom"/>
            <w:tcBorders>
              <w:top w:val="single" w:sz="8" w:color="0000FF"/>
            </w:tcBorders>
            <w:shd w:val="clear" w:color="auto" w:fill="F5F5F5"/>
          </w:tcPr>
          <w:p>
            <w:pPr>
              <w:spacing w:after="0" w:line="20" w:lineRule="exact"/>
              <w:rPr>
                <w:sz w:val="1"/>
                <w:szCs w:val="1"/>
                <w:color w:val="auto"/>
              </w:rPr>
            </w:pPr>
          </w:p>
        </w:tc>
        <w:tc>
          <w:tcPr>
            <w:tcW w:w="60" w:type="dxa"/>
            <w:vAlign w:val="bottom"/>
            <w:tcBorders>
              <w:top w:val="single" w:sz="8" w:color="F5F5F5"/>
            </w:tcBorders>
            <w:shd w:val="clear" w:color="auto" w:fill="F5F5F5"/>
          </w:tcPr>
          <w:p>
            <w:pPr>
              <w:spacing w:after="0" w:line="20" w:lineRule="exact"/>
              <w:rPr>
                <w:sz w:val="1"/>
                <w:szCs w:val="1"/>
                <w:color w:val="auto"/>
              </w:rPr>
            </w:pPr>
          </w:p>
        </w:tc>
        <w:tc>
          <w:tcPr>
            <w:tcW w:w="280" w:type="dxa"/>
            <w:vAlign w:val="bottom"/>
            <w:tcBorders>
              <w:top w:val="single" w:sz="8" w:color="F5F5F5"/>
            </w:tcBorders>
            <w:shd w:val="clear" w:color="auto" w:fill="F5F5F5"/>
          </w:tcPr>
          <w:p>
            <w:pPr>
              <w:spacing w:after="0" w:line="20" w:lineRule="exact"/>
              <w:rPr>
                <w:sz w:val="1"/>
                <w:szCs w:val="1"/>
                <w:color w:val="auto"/>
              </w:rPr>
            </w:pPr>
          </w:p>
        </w:tc>
        <w:tc>
          <w:tcPr>
            <w:tcW w:w="880" w:type="dxa"/>
            <w:vAlign w:val="bottom"/>
            <w:tcBorders>
              <w:top w:val="single" w:sz="8" w:color="F5F5F5"/>
            </w:tcBorders>
            <w:shd w:val="clear" w:color="auto" w:fill="F5F5F5"/>
          </w:tcPr>
          <w:p>
            <w:pPr>
              <w:spacing w:after="0" w:line="20" w:lineRule="exact"/>
              <w:rPr>
                <w:sz w:val="1"/>
                <w:szCs w:val="1"/>
                <w:color w:val="auto"/>
              </w:rPr>
            </w:pPr>
          </w:p>
        </w:tc>
        <w:tc>
          <w:tcPr>
            <w:tcW w:w="160" w:type="dxa"/>
            <w:vAlign w:val="bottom"/>
            <w:tcBorders>
              <w:top w:val="single" w:sz="8" w:color="F5F5F5"/>
            </w:tcBorders>
            <w:shd w:val="clear" w:color="auto" w:fill="F5F5F5"/>
          </w:tcPr>
          <w:p>
            <w:pPr>
              <w:spacing w:after="0" w:line="20" w:lineRule="exact"/>
              <w:rPr>
                <w:sz w:val="1"/>
                <w:szCs w:val="1"/>
                <w:color w:val="auto"/>
              </w:rPr>
            </w:pPr>
          </w:p>
        </w:tc>
        <w:tc>
          <w:tcPr>
            <w:tcW w:w="500" w:type="dxa"/>
            <w:vAlign w:val="bottom"/>
            <w:tcBorders>
              <w:top w:val="single" w:sz="8" w:color="F5F5F5"/>
            </w:tcBorders>
            <w:shd w:val="clear" w:color="auto" w:fill="F5F5F5"/>
          </w:tcPr>
          <w:p>
            <w:pPr>
              <w:spacing w:after="0" w:line="20" w:lineRule="exact"/>
              <w:rPr>
                <w:sz w:val="1"/>
                <w:szCs w:val="1"/>
                <w:color w:val="auto"/>
              </w:rPr>
            </w:pPr>
          </w:p>
        </w:tc>
        <w:tc>
          <w:tcPr>
            <w:tcW w:w="740" w:type="dxa"/>
            <w:vAlign w:val="bottom"/>
            <w:tcBorders>
              <w:top w:val="single" w:sz="8" w:color="F5F5F5"/>
            </w:tcBorders>
            <w:shd w:val="clear" w:color="auto" w:fill="F5F5F5"/>
          </w:tcPr>
          <w:p>
            <w:pPr>
              <w:spacing w:after="0" w:line="20" w:lineRule="exact"/>
              <w:rPr>
                <w:sz w:val="1"/>
                <w:szCs w:val="1"/>
                <w:color w:val="auto"/>
              </w:rPr>
            </w:pPr>
          </w:p>
        </w:tc>
        <w:tc>
          <w:tcPr>
            <w:tcW w:w="420" w:type="dxa"/>
            <w:vAlign w:val="bottom"/>
            <w:tcBorders>
              <w:top w:val="single" w:sz="8" w:color="F5F5F5"/>
            </w:tcBorders>
            <w:shd w:val="clear" w:color="auto" w:fill="F5F5F5"/>
          </w:tcPr>
          <w:p>
            <w:pPr>
              <w:spacing w:after="0" w:line="20" w:lineRule="exact"/>
              <w:rPr>
                <w:sz w:val="1"/>
                <w:szCs w:val="1"/>
                <w:color w:val="auto"/>
              </w:rPr>
            </w:pPr>
          </w:p>
        </w:tc>
        <w:tc>
          <w:tcPr>
            <w:tcW w:w="60" w:type="dxa"/>
            <w:vAlign w:val="bottom"/>
            <w:tcBorders>
              <w:top w:val="single" w:sz="8" w:color="F5F5F5"/>
            </w:tcBorders>
            <w:shd w:val="clear" w:color="auto" w:fill="F5F5F5"/>
          </w:tcPr>
          <w:p>
            <w:pPr>
              <w:spacing w:after="0" w:line="20" w:lineRule="exact"/>
              <w:rPr>
                <w:sz w:val="1"/>
                <w:szCs w:val="1"/>
                <w:color w:val="auto"/>
              </w:rPr>
            </w:pPr>
          </w:p>
        </w:tc>
        <w:tc>
          <w:tcPr>
            <w:tcW w:w="740" w:type="dxa"/>
            <w:vAlign w:val="bottom"/>
            <w:tcBorders>
              <w:top w:val="single" w:sz="8" w:color="F5F5F5"/>
            </w:tcBorders>
            <w:shd w:val="clear" w:color="auto" w:fill="F5F5F5"/>
          </w:tcPr>
          <w:p>
            <w:pPr>
              <w:spacing w:after="0" w:line="20" w:lineRule="exact"/>
              <w:rPr>
                <w:sz w:val="1"/>
                <w:szCs w:val="1"/>
                <w:color w:val="auto"/>
              </w:rPr>
            </w:pPr>
          </w:p>
        </w:tc>
        <w:tc>
          <w:tcPr>
            <w:tcW w:w="380" w:type="dxa"/>
            <w:vAlign w:val="bottom"/>
            <w:tcBorders>
              <w:top w:val="single" w:sz="8" w:color="F5F5F5"/>
            </w:tcBorders>
            <w:shd w:val="clear" w:color="auto" w:fill="F5F5F5"/>
          </w:tcPr>
          <w:p>
            <w:pPr>
              <w:spacing w:after="0" w:line="20" w:lineRule="exact"/>
              <w:rPr>
                <w:sz w:val="1"/>
                <w:szCs w:val="1"/>
                <w:color w:val="auto"/>
              </w:rPr>
            </w:pPr>
          </w:p>
        </w:tc>
        <w:tc>
          <w:tcPr>
            <w:tcW w:w="780" w:type="dxa"/>
            <w:vAlign w:val="bottom"/>
            <w:tcBorders>
              <w:top w:val="single" w:sz="8" w:color="F5F5F5"/>
            </w:tcBorders>
            <w:shd w:val="clear" w:color="auto" w:fill="F5F5F5"/>
          </w:tcPr>
          <w:p>
            <w:pPr>
              <w:spacing w:after="0" w:line="20" w:lineRule="exact"/>
              <w:rPr>
                <w:sz w:val="1"/>
                <w:szCs w:val="1"/>
                <w:color w:val="auto"/>
              </w:rPr>
            </w:pPr>
          </w:p>
        </w:tc>
        <w:tc>
          <w:tcPr>
            <w:tcW w:w="130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r>
      <w:tr>
        <w:trPr>
          <w:trHeight w:val="162"/>
        </w:trPr>
        <w:tc>
          <w:tcPr>
            <w:tcW w:w="580" w:type="dxa"/>
            <w:vAlign w:val="bottom"/>
          </w:tcPr>
          <w:p>
            <w:pPr>
              <w:jc w:val="right"/>
              <w:ind w:right="68"/>
              <w:spacing w:after="0"/>
              <w:rPr>
                <w:sz w:val="20"/>
                <w:szCs w:val="20"/>
                <w:color w:val="auto"/>
              </w:rPr>
            </w:pPr>
            <w:r>
              <w:rPr>
                <w:rFonts w:ascii="Arial" w:cs="Arial" w:eastAsia="Arial" w:hAnsi="Arial"/>
                <w:sz w:val="14"/>
                <w:szCs w:val="14"/>
                <w:color w:val="auto"/>
              </w:rPr>
              <w:t>10.26*</w:t>
            </w:r>
          </w:p>
        </w:tc>
        <w:tc>
          <w:tcPr>
            <w:tcW w:w="460" w:type="dxa"/>
            <w:vAlign w:val="bottom"/>
          </w:tcPr>
          <w:p>
            <w:pPr>
              <w:spacing w:after="0"/>
              <w:rPr>
                <w:sz w:val="14"/>
                <w:szCs w:val="14"/>
                <w:color w:val="auto"/>
              </w:rPr>
            </w:pPr>
          </w:p>
        </w:tc>
        <w:tc>
          <w:tcPr>
            <w:tcW w:w="10380" w:type="dxa"/>
            <w:vAlign w:val="bottom"/>
            <w:gridSpan w:val="32"/>
          </w:tcPr>
          <w:p>
            <w:pPr>
              <w:spacing w:after="0"/>
              <w:rPr>
                <w:rFonts w:ascii="Arial" w:cs="Arial" w:eastAsia="Arial" w:hAnsi="Arial"/>
                <w:sz w:val="14"/>
                <w:szCs w:val="14"/>
                <w:color w:val="0000FF"/>
              </w:rPr>
            </w:pPr>
            <w:hyperlink r:id="rId145">
              <w:r>
                <w:rPr>
                  <w:rFonts w:ascii="Arial" w:cs="Arial" w:eastAsia="Arial" w:hAnsi="Arial"/>
                  <w:sz w:val="14"/>
                  <w:szCs w:val="14"/>
                  <w:color w:val="0000FF"/>
                </w:rPr>
                <w:t>Form of Agreement entered into between A&amp;F Management and Scott Lipesky as of September 7, 2017, incorporated herein by reference to Exhibit 10.2 to</w:t>
              </w:r>
            </w:hyperlink>
          </w:p>
        </w:tc>
      </w:tr>
      <w:tr>
        <w:trPr>
          <w:trHeight w:val="115"/>
        </w:trPr>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80" w:type="dxa"/>
            <w:vAlign w:val="bottom"/>
            <w:tcBorders>
              <w:top w:val="single" w:sz="8" w:color="0000FF"/>
            </w:tcBorders>
            <w:gridSpan w:val="19"/>
          </w:tcPr>
          <w:p>
            <w:pPr>
              <w:spacing w:after="0" w:line="115" w:lineRule="exact"/>
              <w:rPr>
                <w:rFonts w:ascii="Arial" w:cs="Arial" w:eastAsia="Arial" w:hAnsi="Arial"/>
                <w:sz w:val="13"/>
                <w:szCs w:val="13"/>
                <w:color w:val="0000FF"/>
              </w:rPr>
            </w:pPr>
            <w:hyperlink r:id="rId145">
              <w:r>
                <w:rPr>
                  <w:rFonts w:ascii="Arial" w:cs="Arial" w:eastAsia="Arial" w:hAnsi="Arial"/>
                  <w:sz w:val="13"/>
                  <w:szCs w:val="13"/>
                  <w:color w:val="0000FF"/>
                </w:rPr>
                <w:t>A&amp;F's Quarterly Report on Form 10-Q for the quarterly period ended October 28, 2017 (File No. 001-12107).</w:t>
              </w:r>
            </w:hyperlink>
          </w:p>
        </w:tc>
        <w:tc>
          <w:tcPr>
            <w:tcW w:w="780" w:type="dxa"/>
            <w:vAlign w:val="bottom"/>
            <w:tcBorders>
              <w:top w:val="single" w:sz="8" w:color="0000FF"/>
            </w:tcBorders>
          </w:tcPr>
          <w:p>
            <w:pPr>
              <w:spacing w:after="0"/>
              <w:rPr>
                <w:sz w:val="10"/>
                <w:szCs w:val="10"/>
                <w:color w:val="auto"/>
              </w:rPr>
            </w:pPr>
          </w:p>
        </w:tc>
        <w:tc>
          <w:tcPr>
            <w:tcW w:w="13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1"/>
        </w:trPr>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580" w:type="dxa"/>
            <w:vAlign w:val="bottom"/>
            <w:tcBorders>
              <w:bottom w:val="single" w:sz="8" w:color="F5F5F5"/>
            </w:tcBorders>
            <w:shd w:val="clear" w:color="auto" w:fill="F5F5F5"/>
          </w:tcPr>
          <w:p>
            <w:pPr>
              <w:jc w:val="right"/>
              <w:ind w:right="68"/>
              <w:spacing w:after="0"/>
              <w:rPr>
                <w:sz w:val="20"/>
                <w:szCs w:val="20"/>
                <w:color w:val="auto"/>
              </w:rPr>
            </w:pPr>
            <w:r>
              <w:rPr>
                <w:rFonts w:ascii="Arial" w:cs="Arial" w:eastAsia="Arial" w:hAnsi="Arial"/>
                <w:sz w:val="14"/>
                <w:szCs w:val="14"/>
                <w:color w:val="auto"/>
              </w:rPr>
              <w:t>10.27*</w:t>
            </w:r>
          </w:p>
        </w:tc>
        <w:tc>
          <w:tcPr>
            <w:tcW w:w="460" w:type="dxa"/>
            <w:vAlign w:val="bottom"/>
            <w:tcBorders>
              <w:bottom w:val="single" w:sz="8" w:color="F5F5F5"/>
            </w:tcBorders>
            <w:shd w:val="clear" w:color="auto" w:fill="F5F5F5"/>
          </w:tcPr>
          <w:p>
            <w:pPr>
              <w:spacing w:after="0"/>
              <w:rPr>
                <w:sz w:val="14"/>
                <w:szCs w:val="14"/>
                <w:color w:val="auto"/>
              </w:rPr>
            </w:pPr>
          </w:p>
        </w:tc>
        <w:tc>
          <w:tcPr>
            <w:tcW w:w="10380" w:type="dxa"/>
            <w:vAlign w:val="bottom"/>
            <w:tcBorders>
              <w:bottom w:val="single" w:sz="8" w:color="0000FF"/>
            </w:tcBorders>
            <w:gridSpan w:val="32"/>
            <w:shd w:val="clear" w:color="auto" w:fill="F5F5F5"/>
          </w:tcPr>
          <w:p>
            <w:pPr>
              <w:spacing w:after="0"/>
              <w:rPr>
                <w:rFonts w:ascii="Arial" w:cs="Arial" w:eastAsia="Arial" w:hAnsi="Arial"/>
                <w:sz w:val="14"/>
                <w:szCs w:val="14"/>
                <w:color w:val="0000FF"/>
              </w:rPr>
            </w:pPr>
            <w:hyperlink r:id="rId146">
              <w:r>
                <w:rPr>
                  <w:rFonts w:ascii="Arial" w:cs="Arial" w:eastAsia="Arial" w:hAnsi="Arial"/>
                  <w:sz w:val="14"/>
                  <w:szCs w:val="14"/>
                  <w:color w:val="0000FF"/>
                </w:rPr>
                <w:t>Employment Offer, dated August 24, 2018, between Gregory J. Henchel and A&amp;F, incorporated herein by reference to Exhibit 10.1 to A&amp;F's Quarterly Report on</w:t>
              </w:r>
            </w:hyperlink>
          </w:p>
        </w:tc>
      </w:tr>
      <w:tr>
        <w:trPr>
          <w:trHeight w:val="115"/>
        </w:trPr>
        <w:tc>
          <w:tcPr>
            <w:tcW w:w="580" w:type="dxa"/>
            <w:vAlign w:val="bottom"/>
            <w:shd w:val="clear" w:color="auto" w:fill="F5F5F5"/>
          </w:tcPr>
          <w:p>
            <w:pPr>
              <w:spacing w:after="0"/>
              <w:rPr>
                <w:sz w:val="10"/>
                <w:szCs w:val="10"/>
                <w:color w:val="auto"/>
              </w:rPr>
            </w:pPr>
          </w:p>
        </w:tc>
        <w:tc>
          <w:tcPr>
            <w:tcW w:w="460" w:type="dxa"/>
            <w:vAlign w:val="bottom"/>
            <w:shd w:val="clear" w:color="auto" w:fill="F5F5F5"/>
          </w:tcPr>
          <w:p>
            <w:pPr>
              <w:spacing w:after="0"/>
              <w:rPr>
                <w:sz w:val="10"/>
                <w:szCs w:val="10"/>
                <w:color w:val="auto"/>
              </w:rPr>
            </w:pPr>
          </w:p>
        </w:tc>
        <w:tc>
          <w:tcPr>
            <w:tcW w:w="8080" w:type="dxa"/>
            <w:vAlign w:val="bottom"/>
            <w:gridSpan w:val="19"/>
            <w:shd w:val="clear" w:color="auto" w:fill="F5F5F5"/>
          </w:tcPr>
          <w:p>
            <w:pPr>
              <w:spacing w:after="0" w:line="115" w:lineRule="exact"/>
              <w:rPr>
                <w:rFonts w:ascii="Arial" w:cs="Arial" w:eastAsia="Arial" w:hAnsi="Arial"/>
                <w:sz w:val="13"/>
                <w:szCs w:val="13"/>
                <w:color w:val="0000FF"/>
              </w:rPr>
            </w:pPr>
            <w:hyperlink r:id="rId146">
              <w:r>
                <w:rPr>
                  <w:rFonts w:ascii="Arial" w:cs="Arial" w:eastAsia="Arial" w:hAnsi="Arial"/>
                  <w:sz w:val="13"/>
                  <w:szCs w:val="13"/>
                  <w:color w:val="0000FF"/>
                </w:rPr>
                <w:t>Form 10-Q for the quarterly period ended November 3, 2018 (File No. 001-12107).</w:t>
              </w:r>
            </w:hyperlink>
          </w:p>
        </w:tc>
        <w:tc>
          <w:tcPr>
            <w:tcW w:w="780" w:type="dxa"/>
            <w:vAlign w:val="bottom"/>
            <w:shd w:val="clear" w:color="auto" w:fill="F5F5F5"/>
          </w:tcPr>
          <w:p>
            <w:pPr>
              <w:spacing w:after="0"/>
              <w:rPr>
                <w:sz w:val="10"/>
                <w:szCs w:val="10"/>
                <w:color w:val="auto"/>
              </w:rPr>
            </w:pPr>
          </w:p>
        </w:tc>
        <w:tc>
          <w:tcPr>
            <w:tcW w:w="1300" w:type="dxa"/>
            <w:vAlign w:val="bottom"/>
            <w:shd w:val="clear" w:color="auto" w:fill="F5F5F5"/>
          </w:tcPr>
          <w:p>
            <w:pPr>
              <w:spacing w:after="0"/>
              <w:rPr>
                <w:sz w:val="10"/>
                <w:szCs w:val="10"/>
                <w:color w:val="auto"/>
              </w:rPr>
            </w:pPr>
          </w:p>
        </w:tc>
        <w:tc>
          <w:tcPr>
            <w:tcW w:w="20" w:type="dxa"/>
            <w:vAlign w:val="bottom"/>
            <w:shd w:val="clear" w:color="auto" w:fill="F5F5F5"/>
          </w:tcPr>
          <w:p>
            <w:pPr>
              <w:spacing w:after="0"/>
              <w:rPr>
                <w:sz w:val="10"/>
                <w:szCs w:val="10"/>
                <w:color w:val="auto"/>
              </w:rPr>
            </w:pPr>
          </w:p>
        </w:tc>
        <w:tc>
          <w:tcPr>
            <w:tcW w:w="20" w:type="dxa"/>
            <w:vAlign w:val="bottom"/>
            <w:shd w:val="clear" w:color="auto" w:fill="F5F5F5"/>
          </w:tcPr>
          <w:p>
            <w:pPr>
              <w:spacing w:after="0"/>
              <w:rPr>
                <w:sz w:val="10"/>
                <w:szCs w:val="10"/>
                <w:color w:val="auto"/>
              </w:rPr>
            </w:pPr>
          </w:p>
        </w:tc>
        <w:tc>
          <w:tcPr>
            <w:tcW w:w="20" w:type="dxa"/>
            <w:vAlign w:val="bottom"/>
            <w:shd w:val="clear" w:color="auto" w:fill="F5F5F5"/>
          </w:tcPr>
          <w:p>
            <w:pPr>
              <w:spacing w:after="0"/>
              <w:rPr>
                <w:sz w:val="10"/>
                <w:szCs w:val="10"/>
                <w:color w:val="auto"/>
              </w:rPr>
            </w:pPr>
          </w:p>
        </w:tc>
        <w:tc>
          <w:tcPr>
            <w:tcW w:w="20" w:type="dxa"/>
            <w:vAlign w:val="bottom"/>
            <w:shd w:val="clear" w:color="auto" w:fill="F5F5F5"/>
          </w:tcPr>
          <w:p>
            <w:pPr>
              <w:spacing w:after="0"/>
              <w:rPr>
                <w:sz w:val="10"/>
                <w:szCs w:val="10"/>
                <w:color w:val="auto"/>
              </w:rPr>
            </w:pPr>
          </w:p>
        </w:tc>
        <w:tc>
          <w:tcPr>
            <w:tcW w:w="20" w:type="dxa"/>
            <w:vAlign w:val="bottom"/>
            <w:shd w:val="clear" w:color="auto" w:fill="F5F5F5"/>
          </w:tcPr>
          <w:p>
            <w:pPr>
              <w:spacing w:after="0"/>
              <w:rPr>
                <w:sz w:val="10"/>
                <w:szCs w:val="10"/>
                <w:color w:val="auto"/>
              </w:rPr>
            </w:pPr>
          </w:p>
        </w:tc>
        <w:tc>
          <w:tcPr>
            <w:tcW w:w="20" w:type="dxa"/>
            <w:vAlign w:val="bottom"/>
            <w:shd w:val="clear" w:color="auto" w:fill="F5F5F5"/>
          </w:tcPr>
          <w:p>
            <w:pPr>
              <w:spacing w:after="0"/>
              <w:rPr>
                <w:sz w:val="10"/>
                <w:szCs w:val="10"/>
                <w:color w:val="auto"/>
              </w:rPr>
            </w:pPr>
          </w:p>
        </w:tc>
        <w:tc>
          <w:tcPr>
            <w:tcW w:w="20" w:type="dxa"/>
            <w:vAlign w:val="bottom"/>
            <w:shd w:val="clear" w:color="auto" w:fill="F5F5F5"/>
          </w:tcPr>
          <w:p>
            <w:pPr>
              <w:spacing w:after="0"/>
              <w:rPr>
                <w:sz w:val="10"/>
                <w:szCs w:val="10"/>
                <w:color w:val="auto"/>
              </w:rPr>
            </w:pPr>
          </w:p>
        </w:tc>
        <w:tc>
          <w:tcPr>
            <w:tcW w:w="20" w:type="dxa"/>
            <w:vAlign w:val="bottom"/>
            <w:shd w:val="clear" w:color="auto" w:fill="F5F5F5"/>
          </w:tcPr>
          <w:p>
            <w:pPr>
              <w:spacing w:after="0"/>
              <w:rPr>
                <w:sz w:val="10"/>
                <w:szCs w:val="10"/>
                <w:color w:val="auto"/>
              </w:rPr>
            </w:pPr>
          </w:p>
        </w:tc>
        <w:tc>
          <w:tcPr>
            <w:tcW w:w="20" w:type="dxa"/>
            <w:vAlign w:val="bottom"/>
            <w:shd w:val="clear" w:color="auto" w:fill="F5F5F5"/>
          </w:tcPr>
          <w:p>
            <w:pPr>
              <w:spacing w:after="0"/>
              <w:rPr>
                <w:sz w:val="10"/>
                <w:szCs w:val="10"/>
                <w:color w:val="auto"/>
              </w:rPr>
            </w:pPr>
          </w:p>
        </w:tc>
        <w:tc>
          <w:tcPr>
            <w:tcW w:w="20" w:type="dxa"/>
            <w:vAlign w:val="bottom"/>
            <w:shd w:val="clear" w:color="auto" w:fill="F5F5F5"/>
          </w:tcPr>
          <w:p>
            <w:pPr>
              <w:spacing w:after="0"/>
              <w:rPr>
                <w:sz w:val="10"/>
                <w:szCs w:val="10"/>
                <w:color w:val="auto"/>
              </w:rPr>
            </w:pPr>
          </w:p>
        </w:tc>
        <w:tc>
          <w:tcPr>
            <w:tcW w:w="20" w:type="dxa"/>
            <w:vAlign w:val="bottom"/>
            <w:shd w:val="clear" w:color="auto" w:fill="F5F5F5"/>
          </w:tcPr>
          <w:p>
            <w:pPr>
              <w:spacing w:after="0"/>
              <w:rPr>
                <w:sz w:val="10"/>
                <w:szCs w:val="10"/>
                <w:color w:val="auto"/>
              </w:rPr>
            </w:pPr>
          </w:p>
        </w:tc>
      </w:tr>
      <w:tr>
        <w:trPr>
          <w:trHeight w:val="21"/>
        </w:trPr>
        <w:tc>
          <w:tcPr>
            <w:tcW w:w="580" w:type="dxa"/>
            <w:vAlign w:val="bottom"/>
            <w:tcBorders>
              <w:top w:val="single" w:sz="8" w:color="F5F5F5"/>
            </w:tcBorders>
            <w:shd w:val="clear" w:color="auto" w:fill="F5F5F5"/>
          </w:tcPr>
          <w:p>
            <w:pPr>
              <w:spacing w:after="0" w:line="20" w:lineRule="exact"/>
              <w:rPr>
                <w:sz w:val="1"/>
                <w:szCs w:val="1"/>
                <w:color w:val="auto"/>
              </w:rPr>
            </w:pPr>
          </w:p>
        </w:tc>
        <w:tc>
          <w:tcPr>
            <w:tcW w:w="460" w:type="dxa"/>
            <w:vAlign w:val="bottom"/>
            <w:tcBorders>
              <w:top w:val="single" w:sz="8" w:color="F5F5F5"/>
            </w:tcBorders>
            <w:shd w:val="clear" w:color="auto" w:fill="F5F5F5"/>
          </w:tcPr>
          <w:p>
            <w:pPr>
              <w:spacing w:after="0" w:line="20" w:lineRule="exact"/>
              <w:rPr>
                <w:sz w:val="1"/>
                <w:szCs w:val="1"/>
                <w:color w:val="auto"/>
              </w:rPr>
            </w:pPr>
          </w:p>
        </w:tc>
        <w:tc>
          <w:tcPr>
            <w:tcW w:w="480" w:type="dxa"/>
            <w:vAlign w:val="bottom"/>
            <w:tcBorders>
              <w:top w:val="single" w:sz="8" w:color="0000FF"/>
            </w:tcBorders>
            <w:shd w:val="clear" w:color="auto" w:fill="F5F5F5"/>
          </w:tcPr>
          <w:p>
            <w:pPr>
              <w:spacing w:after="0" w:line="20" w:lineRule="exact"/>
              <w:rPr>
                <w:sz w:val="1"/>
                <w:szCs w:val="1"/>
                <w:color w:val="auto"/>
              </w:rPr>
            </w:pPr>
          </w:p>
        </w:tc>
        <w:tc>
          <w:tcPr>
            <w:tcW w:w="300" w:type="dxa"/>
            <w:vAlign w:val="bottom"/>
            <w:tcBorders>
              <w:top w:val="single" w:sz="8" w:color="0000FF"/>
            </w:tcBorders>
            <w:shd w:val="clear" w:color="auto" w:fill="F5F5F5"/>
          </w:tcPr>
          <w:p>
            <w:pPr>
              <w:spacing w:after="0" w:line="20" w:lineRule="exact"/>
              <w:rPr>
                <w:sz w:val="1"/>
                <w:szCs w:val="1"/>
                <w:color w:val="auto"/>
              </w:rPr>
            </w:pPr>
          </w:p>
        </w:tc>
        <w:tc>
          <w:tcPr>
            <w:tcW w:w="1180" w:type="dxa"/>
            <w:vAlign w:val="bottom"/>
            <w:tcBorders>
              <w:top w:val="single" w:sz="8" w:color="0000FF"/>
            </w:tcBorders>
            <w:shd w:val="clear" w:color="auto" w:fill="F5F5F5"/>
          </w:tcPr>
          <w:p>
            <w:pPr>
              <w:spacing w:after="0" w:line="20" w:lineRule="exact"/>
              <w:rPr>
                <w:sz w:val="1"/>
                <w:szCs w:val="1"/>
                <w:color w:val="auto"/>
              </w:rPr>
            </w:pPr>
          </w:p>
        </w:tc>
        <w:tc>
          <w:tcPr>
            <w:tcW w:w="340" w:type="dxa"/>
            <w:vAlign w:val="bottom"/>
            <w:tcBorders>
              <w:top w:val="single" w:sz="8" w:color="0000FF"/>
            </w:tcBorders>
            <w:shd w:val="clear" w:color="auto" w:fill="F5F5F5"/>
          </w:tcPr>
          <w:p>
            <w:pPr>
              <w:spacing w:after="0" w:line="20" w:lineRule="exact"/>
              <w:rPr>
                <w:sz w:val="1"/>
                <w:szCs w:val="1"/>
                <w:color w:val="auto"/>
              </w:rPr>
            </w:pPr>
          </w:p>
        </w:tc>
        <w:tc>
          <w:tcPr>
            <w:tcW w:w="400" w:type="dxa"/>
            <w:vAlign w:val="bottom"/>
            <w:tcBorders>
              <w:top w:val="single" w:sz="8" w:color="0000FF"/>
            </w:tcBorders>
            <w:shd w:val="clear" w:color="auto" w:fill="F5F5F5"/>
          </w:tcPr>
          <w:p>
            <w:pPr>
              <w:spacing w:after="0" w:line="20" w:lineRule="exact"/>
              <w:rPr>
                <w:sz w:val="1"/>
                <w:szCs w:val="1"/>
                <w:color w:val="auto"/>
              </w:rPr>
            </w:pPr>
          </w:p>
        </w:tc>
        <w:tc>
          <w:tcPr>
            <w:tcW w:w="560" w:type="dxa"/>
            <w:vAlign w:val="bottom"/>
            <w:tcBorders>
              <w:top w:val="single" w:sz="8" w:color="0000FF"/>
            </w:tcBorders>
            <w:shd w:val="clear" w:color="auto" w:fill="F5F5F5"/>
          </w:tcPr>
          <w:p>
            <w:pPr>
              <w:spacing w:after="0" w:line="20" w:lineRule="exact"/>
              <w:rPr>
                <w:sz w:val="1"/>
                <w:szCs w:val="1"/>
                <w:color w:val="auto"/>
              </w:rPr>
            </w:pPr>
          </w:p>
        </w:tc>
        <w:tc>
          <w:tcPr>
            <w:tcW w:w="480" w:type="dxa"/>
            <w:vAlign w:val="bottom"/>
            <w:tcBorders>
              <w:top w:val="single" w:sz="8" w:color="0000FF"/>
            </w:tcBorders>
            <w:shd w:val="clear" w:color="auto" w:fill="F5F5F5"/>
          </w:tcPr>
          <w:p>
            <w:pPr>
              <w:spacing w:after="0" w:line="20" w:lineRule="exact"/>
              <w:rPr>
                <w:sz w:val="1"/>
                <w:szCs w:val="1"/>
                <w:color w:val="auto"/>
              </w:rPr>
            </w:pPr>
          </w:p>
        </w:tc>
        <w:tc>
          <w:tcPr>
            <w:tcW w:w="20" w:type="dxa"/>
            <w:vAlign w:val="bottom"/>
            <w:tcBorders>
              <w:top w:val="single" w:sz="8" w:color="0000FF"/>
            </w:tcBorders>
            <w:shd w:val="clear" w:color="auto" w:fill="F5F5F5"/>
          </w:tcPr>
          <w:p>
            <w:pPr>
              <w:spacing w:after="0" w:line="20" w:lineRule="exact"/>
              <w:rPr>
                <w:sz w:val="1"/>
                <w:szCs w:val="1"/>
                <w:color w:val="auto"/>
              </w:rPr>
            </w:pPr>
          </w:p>
        </w:tc>
        <w:tc>
          <w:tcPr>
            <w:tcW w:w="100" w:type="dxa"/>
            <w:vAlign w:val="bottom"/>
            <w:tcBorders>
              <w:top w:val="single" w:sz="8" w:color="0000FF"/>
            </w:tcBorders>
            <w:shd w:val="clear" w:color="auto" w:fill="F5F5F5"/>
          </w:tcPr>
          <w:p>
            <w:pPr>
              <w:spacing w:after="0" w:line="20" w:lineRule="exact"/>
              <w:rPr>
                <w:sz w:val="1"/>
                <w:szCs w:val="1"/>
                <w:color w:val="auto"/>
              </w:rPr>
            </w:pPr>
          </w:p>
        </w:tc>
        <w:tc>
          <w:tcPr>
            <w:tcW w:w="60" w:type="dxa"/>
            <w:vAlign w:val="bottom"/>
            <w:tcBorders>
              <w:top w:val="single" w:sz="8" w:color="0000FF"/>
            </w:tcBorders>
            <w:shd w:val="clear" w:color="auto" w:fill="F5F5F5"/>
          </w:tcPr>
          <w:p>
            <w:pPr>
              <w:spacing w:after="0" w:line="20" w:lineRule="exact"/>
              <w:rPr>
                <w:sz w:val="1"/>
                <w:szCs w:val="1"/>
                <w:color w:val="auto"/>
              </w:rPr>
            </w:pPr>
          </w:p>
        </w:tc>
        <w:tc>
          <w:tcPr>
            <w:tcW w:w="280" w:type="dxa"/>
            <w:vAlign w:val="bottom"/>
            <w:tcBorders>
              <w:top w:val="single" w:sz="8" w:color="0000FF"/>
            </w:tcBorders>
            <w:shd w:val="clear" w:color="auto" w:fill="F5F5F5"/>
          </w:tcPr>
          <w:p>
            <w:pPr>
              <w:spacing w:after="0" w:line="20" w:lineRule="exact"/>
              <w:rPr>
                <w:sz w:val="1"/>
                <w:szCs w:val="1"/>
                <w:color w:val="auto"/>
              </w:rPr>
            </w:pPr>
          </w:p>
        </w:tc>
        <w:tc>
          <w:tcPr>
            <w:tcW w:w="880" w:type="dxa"/>
            <w:vAlign w:val="bottom"/>
            <w:tcBorders>
              <w:top w:val="single" w:sz="8" w:color="0000FF"/>
            </w:tcBorders>
            <w:shd w:val="clear" w:color="auto" w:fill="F5F5F5"/>
          </w:tcPr>
          <w:p>
            <w:pPr>
              <w:spacing w:after="0" w:line="20" w:lineRule="exact"/>
              <w:rPr>
                <w:sz w:val="1"/>
                <w:szCs w:val="1"/>
                <w:color w:val="auto"/>
              </w:rPr>
            </w:pPr>
          </w:p>
        </w:tc>
        <w:tc>
          <w:tcPr>
            <w:tcW w:w="160" w:type="dxa"/>
            <w:vAlign w:val="bottom"/>
            <w:tcBorders>
              <w:top w:val="single" w:sz="8" w:color="0000FF"/>
            </w:tcBorders>
            <w:shd w:val="clear" w:color="auto" w:fill="F5F5F5"/>
          </w:tcPr>
          <w:p>
            <w:pPr>
              <w:spacing w:after="0" w:line="20" w:lineRule="exact"/>
              <w:rPr>
                <w:sz w:val="1"/>
                <w:szCs w:val="1"/>
                <w:color w:val="auto"/>
              </w:rPr>
            </w:pPr>
          </w:p>
        </w:tc>
        <w:tc>
          <w:tcPr>
            <w:tcW w:w="500" w:type="dxa"/>
            <w:vAlign w:val="bottom"/>
            <w:tcBorders>
              <w:top w:val="single" w:sz="8" w:color="F5F5F5"/>
            </w:tcBorders>
            <w:shd w:val="clear" w:color="auto" w:fill="F5F5F5"/>
          </w:tcPr>
          <w:p>
            <w:pPr>
              <w:spacing w:after="0" w:line="20" w:lineRule="exact"/>
              <w:rPr>
                <w:sz w:val="1"/>
                <w:szCs w:val="1"/>
                <w:color w:val="auto"/>
              </w:rPr>
            </w:pPr>
          </w:p>
        </w:tc>
        <w:tc>
          <w:tcPr>
            <w:tcW w:w="740" w:type="dxa"/>
            <w:vAlign w:val="bottom"/>
            <w:tcBorders>
              <w:top w:val="single" w:sz="8" w:color="F5F5F5"/>
            </w:tcBorders>
            <w:shd w:val="clear" w:color="auto" w:fill="F5F5F5"/>
          </w:tcPr>
          <w:p>
            <w:pPr>
              <w:spacing w:after="0" w:line="20" w:lineRule="exact"/>
              <w:rPr>
                <w:sz w:val="1"/>
                <w:szCs w:val="1"/>
                <w:color w:val="auto"/>
              </w:rPr>
            </w:pPr>
          </w:p>
        </w:tc>
        <w:tc>
          <w:tcPr>
            <w:tcW w:w="420" w:type="dxa"/>
            <w:vAlign w:val="bottom"/>
            <w:tcBorders>
              <w:top w:val="single" w:sz="8" w:color="F5F5F5"/>
            </w:tcBorders>
            <w:shd w:val="clear" w:color="auto" w:fill="F5F5F5"/>
          </w:tcPr>
          <w:p>
            <w:pPr>
              <w:spacing w:after="0" w:line="20" w:lineRule="exact"/>
              <w:rPr>
                <w:sz w:val="1"/>
                <w:szCs w:val="1"/>
                <w:color w:val="auto"/>
              </w:rPr>
            </w:pPr>
          </w:p>
        </w:tc>
        <w:tc>
          <w:tcPr>
            <w:tcW w:w="60" w:type="dxa"/>
            <w:vAlign w:val="bottom"/>
            <w:tcBorders>
              <w:top w:val="single" w:sz="8" w:color="F5F5F5"/>
            </w:tcBorders>
            <w:shd w:val="clear" w:color="auto" w:fill="F5F5F5"/>
          </w:tcPr>
          <w:p>
            <w:pPr>
              <w:spacing w:after="0" w:line="20" w:lineRule="exact"/>
              <w:rPr>
                <w:sz w:val="1"/>
                <w:szCs w:val="1"/>
                <w:color w:val="auto"/>
              </w:rPr>
            </w:pPr>
          </w:p>
        </w:tc>
        <w:tc>
          <w:tcPr>
            <w:tcW w:w="740" w:type="dxa"/>
            <w:vAlign w:val="bottom"/>
            <w:tcBorders>
              <w:top w:val="single" w:sz="8" w:color="F5F5F5"/>
            </w:tcBorders>
            <w:shd w:val="clear" w:color="auto" w:fill="F5F5F5"/>
          </w:tcPr>
          <w:p>
            <w:pPr>
              <w:spacing w:after="0" w:line="20" w:lineRule="exact"/>
              <w:rPr>
                <w:sz w:val="1"/>
                <w:szCs w:val="1"/>
                <w:color w:val="auto"/>
              </w:rPr>
            </w:pPr>
          </w:p>
        </w:tc>
        <w:tc>
          <w:tcPr>
            <w:tcW w:w="380" w:type="dxa"/>
            <w:vAlign w:val="bottom"/>
            <w:tcBorders>
              <w:top w:val="single" w:sz="8" w:color="F5F5F5"/>
            </w:tcBorders>
            <w:shd w:val="clear" w:color="auto" w:fill="F5F5F5"/>
          </w:tcPr>
          <w:p>
            <w:pPr>
              <w:spacing w:after="0" w:line="20" w:lineRule="exact"/>
              <w:rPr>
                <w:sz w:val="1"/>
                <w:szCs w:val="1"/>
                <w:color w:val="auto"/>
              </w:rPr>
            </w:pPr>
          </w:p>
        </w:tc>
        <w:tc>
          <w:tcPr>
            <w:tcW w:w="780" w:type="dxa"/>
            <w:vAlign w:val="bottom"/>
            <w:tcBorders>
              <w:top w:val="single" w:sz="8" w:color="F5F5F5"/>
            </w:tcBorders>
            <w:shd w:val="clear" w:color="auto" w:fill="F5F5F5"/>
          </w:tcPr>
          <w:p>
            <w:pPr>
              <w:spacing w:after="0" w:line="20" w:lineRule="exact"/>
              <w:rPr>
                <w:sz w:val="1"/>
                <w:szCs w:val="1"/>
                <w:color w:val="auto"/>
              </w:rPr>
            </w:pPr>
          </w:p>
        </w:tc>
        <w:tc>
          <w:tcPr>
            <w:tcW w:w="130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r>
      <w:tr>
        <w:trPr>
          <w:trHeight w:val="162"/>
        </w:trPr>
        <w:tc>
          <w:tcPr>
            <w:tcW w:w="580" w:type="dxa"/>
            <w:vAlign w:val="bottom"/>
          </w:tcPr>
          <w:p>
            <w:pPr>
              <w:jc w:val="right"/>
              <w:ind w:right="68"/>
              <w:spacing w:after="0"/>
              <w:rPr>
                <w:sz w:val="20"/>
                <w:szCs w:val="20"/>
                <w:color w:val="auto"/>
              </w:rPr>
            </w:pPr>
            <w:r>
              <w:rPr>
                <w:rFonts w:ascii="Arial" w:cs="Arial" w:eastAsia="Arial" w:hAnsi="Arial"/>
                <w:sz w:val="14"/>
                <w:szCs w:val="14"/>
                <w:color w:val="auto"/>
              </w:rPr>
              <w:t>10.28*</w:t>
            </w:r>
          </w:p>
        </w:tc>
        <w:tc>
          <w:tcPr>
            <w:tcW w:w="460" w:type="dxa"/>
            <w:vAlign w:val="bottom"/>
          </w:tcPr>
          <w:p>
            <w:pPr>
              <w:spacing w:after="0"/>
              <w:rPr>
                <w:sz w:val="14"/>
                <w:szCs w:val="14"/>
                <w:color w:val="auto"/>
              </w:rPr>
            </w:pPr>
          </w:p>
        </w:tc>
        <w:tc>
          <w:tcPr>
            <w:tcW w:w="10380" w:type="dxa"/>
            <w:vAlign w:val="bottom"/>
            <w:gridSpan w:val="32"/>
          </w:tcPr>
          <w:p>
            <w:pPr>
              <w:spacing w:after="0"/>
              <w:rPr>
                <w:rFonts w:ascii="Arial" w:cs="Arial" w:eastAsia="Arial" w:hAnsi="Arial"/>
                <w:sz w:val="14"/>
                <w:szCs w:val="14"/>
                <w:color w:val="0000FF"/>
              </w:rPr>
            </w:pPr>
            <w:hyperlink r:id="rId147">
              <w:r>
                <w:rPr>
                  <w:rFonts w:ascii="Arial" w:cs="Arial" w:eastAsia="Arial" w:hAnsi="Arial"/>
                  <w:sz w:val="14"/>
                  <w:szCs w:val="14"/>
                  <w:color w:val="0000FF"/>
                </w:rPr>
                <w:t>Agreement entered into between A&amp;F Management and Gregory J. Henchel as of September 13, 2018, incorporated herein by reference to Exhibit 10.2 to</w:t>
              </w:r>
            </w:hyperlink>
          </w:p>
        </w:tc>
      </w:tr>
      <w:tr>
        <w:trPr>
          <w:trHeight w:val="115"/>
        </w:trPr>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80" w:type="dxa"/>
            <w:vAlign w:val="bottom"/>
            <w:tcBorders>
              <w:top w:val="single" w:sz="8" w:color="0000FF"/>
            </w:tcBorders>
            <w:gridSpan w:val="19"/>
          </w:tcPr>
          <w:p>
            <w:pPr>
              <w:spacing w:after="0" w:line="115" w:lineRule="exact"/>
              <w:rPr>
                <w:rFonts w:ascii="Arial" w:cs="Arial" w:eastAsia="Arial" w:hAnsi="Arial"/>
                <w:sz w:val="13"/>
                <w:szCs w:val="13"/>
                <w:color w:val="0000FF"/>
              </w:rPr>
            </w:pPr>
            <w:hyperlink r:id="rId147">
              <w:r>
                <w:rPr>
                  <w:rFonts w:ascii="Arial" w:cs="Arial" w:eastAsia="Arial" w:hAnsi="Arial"/>
                  <w:sz w:val="13"/>
                  <w:szCs w:val="13"/>
                  <w:color w:val="0000FF"/>
                </w:rPr>
                <w:t>A&amp;F's Quarterly Report on Form 10-Q for the quarterly period ended November 3, 2018 (File No. 001-12107).</w:t>
              </w:r>
            </w:hyperlink>
          </w:p>
        </w:tc>
        <w:tc>
          <w:tcPr>
            <w:tcW w:w="780" w:type="dxa"/>
            <w:vAlign w:val="bottom"/>
            <w:tcBorders>
              <w:top w:val="single" w:sz="8" w:color="0000FF"/>
            </w:tcBorders>
          </w:tcPr>
          <w:p>
            <w:pPr>
              <w:spacing w:after="0"/>
              <w:rPr>
                <w:sz w:val="10"/>
                <w:szCs w:val="10"/>
                <w:color w:val="auto"/>
              </w:rPr>
            </w:pPr>
          </w:p>
        </w:tc>
        <w:tc>
          <w:tcPr>
            <w:tcW w:w="13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1"/>
        </w:trPr>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580" w:type="dxa"/>
            <w:vAlign w:val="bottom"/>
            <w:shd w:val="clear" w:color="auto" w:fill="F5F5F5"/>
          </w:tcPr>
          <w:p>
            <w:pPr>
              <w:jc w:val="right"/>
              <w:ind w:right="68"/>
              <w:spacing w:after="0"/>
              <w:rPr>
                <w:sz w:val="20"/>
                <w:szCs w:val="20"/>
                <w:color w:val="auto"/>
              </w:rPr>
            </w:pPr>
            <w:r>
              <w:rPr>
                <w:rFonts w:ascii="Arial" w:cs="Arial" w:eastAsia="Arial" w:hAnsi="Arial"/>
                <w:sz w:val="14"/>
                <w:szCs w:val="14"/>
                <w:color w:val="auto"/>
              </w:rPr>
              <w:t>10.29*</w:t>
            </w:r>
          </w:p>
        </w:tc>
        <w:tc>
          <w:tcPr>
            <w:tcW w:w="460" w:type="dxa"/>
            <w:vAlign w:val="bottom"/>
            <w:shd w:val="clear" w:color="auto" w:fill="F5F5F5"/>
          </w:tcPr>
          <w:p>
            <w:pPr>
              <w:spacing w:after="0"/>
              <w:rPr>
                <w:sz w:val="14"/>
                <w:szCs w:val="14"/>
                <w:color w:val="auto"/>
              </w:rPr>
            </w:pPr>
          </w:p>
        </w:tc>
        <w:tc>
          <w:tcPr>
            <w:tcW w:w="10380" w:type="dxa"/>
            <w:vAlign w:val="bottom"/>
            <w:gridSpan w:val="32"/>
            <w:shd w:val="clear" w:color="auto" w:fill="F5F5F5"/>
          </w:tcPr>
          <w:p>
            <w:pPr>
              <w:spacing w:after="0"/>
              <w:rPr>
                <w:rFonts w:ascii="Arial" w:cs="Arial" w:eastAsia="Arial" w:hAnsi="Arial"/>
                <w:sz w:val="14"/>
                <w:szCs w:val="14"/>
                <w:color w:val="0000FF"/>
              </w:rPr>
            </w:pPr>
            <w:hyperlink r:id="rId148">
              <w:r>
                <w:rPr>
                  <w:rFonts w:ascii="Arial" w:cs="Arial" w:eastAsia="Arial" w:hAnsi="Arial"/>
                  <w:sz w:val="14"/>
                  <w:szCs w:val="14"/>
                  <w:color w:val="0000FF"/>
                </w:rPr>
                <w:t>Employment Offer, dated May 20, 2021, between Samir Desai and A&amp;F (including, as Exhibit A, the Agreement entered into between A&amp;F Management and</w:t>
              </w:r>
            </w:hyperlink>
          </w:p>
        </w:tc>
      </w:tr>
      <w:tr>
        <w:trPr>
          <w:trHeight w:val="115"/>
        </w:trPr>
        <w:tc>
          <w:tcPr>
            <w:tcW w:w="580" w:type="dxa"/>
            <w:vAlign w:val="bottom"/>
            <w:tcBorders>
              <w:top w:val="single" w:sz="8" w:color="F5F5F5"/>
              <w:bottom w:val="single" w:sz="8" w:color="F5F5F5"/>
            </w:tcBorders>
            <w:shd w:val="clear" w:color="auto" w:fill="F5F5F5"/>
          </w:tcPr>
          <w:p>
            <w:pPr>
              <w:spacing w:after="0"/>
              <w:rPr>
                <w:sz w:val="10"/>
                <w:szCs w:val="10"/>
                <w:color w:val="auto"/>
              </w:rPr>
            </w:pPr>
          </w:p>
        </w:tc>
        <w:tc>
          <w:tcPr>
            <w:tcW w:w="460" w:type="dxa"/>
            <w:vAlign w:val="bottom"/>
            <w:tcBorders>
              <w:top w:val="single" w:sz="8" w:color="F5F5F5"/>
              <w:bottom w:val="single" w:sz="8" w:color="F5F5F5"/>
            </w:tcBorders>
            <w:shd w:val="clear" w:color="auto" w:fill="F5F5F5"/>
          </w:tcPr>
          <w:p>
            <w:pPr>
              <w:spacing w:after="0"/>
              <w:rPr>
                <w:sz w:val="10"/>
                <w:szCs w:val="10"/>
                <w:color w:val="auto"/>
              </w:rPr>
            </w:pPr>
          </w:p>
        </w:tc>
        <w:tc>
          <w:tcPr>
            <w:tcW w:w="10200" w:type="dxa"/>
            <w:vAlign w:val="bottom"/>
            <w:tcBorders>
              <w:top w:val="single" w:sz="8" w:color="0000FF"/>
              <w:bottom w:val="single" w:sz="8" w:color="0000FF"/>
            </w:tcBorders>
            <w:gridSpan w:val="23"/>
            <w:shd w:val="clear" w:color="auto" w:fill="F5F5F5"/>
          </w:tcPr>
          <w:p>
            <w:pPr>
              <w:spacing w:after="0" w:line="115" w:lineRule="exact"/>
              <w:rPr>
                <w:rFonts w:ascii="Arial" w:cs="Arial" w:eastAsia="Arial" w:hAnsi="Arial"/>
                <w:sz w:val="13"/>
                <w:szCs w:val="13"/>
                <w:color w:val="0000FF"/>
              </w:rPr>
            </w:pPr>
            <w:hyperlink r:id="rId148">
              <w:r>
                <w:rPr>
                  <w:rFonts w:ascii="Arial" w:cs="Arial" w:eastAsia="Arial" w:hAnsi="Arial"/>
                  <w:sz w:val="13"/>
                  <w:szCs w:val="13"/>
                  <w:color w:val="0000FF"/>
                </w:rPr>
                <w:t>Samir Desai as of May 20, 2021), incorporated herein by reference to Exhibit 10.2 to A&amp;F’s Quarterly Report on Form 10-Q for the quarterly period ended July</w:t>
              </w:r>
            </w:hyperlink>
          </w:p>
        </w:tc>
        <w:tc>
          <w:tcPr>
            <w:tcW w:w="20" w:type="dxa"/>
            <w:vAlign w:val="bottom"/>
            <w:tcBorders>
              <w:top w:val="single" w:sz="8" w:color="F5F5F5"/>
              <w:bottom w:val="single" w:sz="8" w:color="0000FF"/>
            </w:tcBorders>
            <w:shd w:val="clear" w:color="auto" w:fill="F5F5F5"/>
          </w:tcPr>
          <w:p>
            <w:pPr>
              <w:spacing w:after="0"/>
              <w:rPr>
                <w:sz w:val="10"/>
                <w:szCs w:val="10"/>
                <w:color w:val="auto"/>
              </w:rPr>
            </w:pPr>
          </w:p>
        </w:tc>
        <w:tc>
          <w:tcPr>
            <w:tcW w:w="40" w:type="dxa"/>
            <w:vAlign w:val="bottom"/>
            <w:tcBorders>
              <w:top w:val="single" w:sz="8" w:color="F5F5F5"/>
              <w:bottom w:val="single" w:sz="8" w:color="0000FF"/>
            </w:tcBorders>
            <w:gridSpan w:val="2"/>
            <w:shd w:val="clear" w:color="auto" w:fill="F5F5F5"/>
          </w:tcPr>
          <w:p>
            <w:pPr>
              <w:spacing w:after="0"/>
              <w:rPr>
                <w:sz w:val="10"/>
                <w:szCs w:val="10"/>
                <w:color w:val="auto"/>
              </w:rPr>
            </w:pPr>
          </w:p>
        </w:tc>
        <w:tc>
          <w:tcPr>
            <w:tcW w:w="20" w:type="dxa"/>
            <w:vAlign w:val="bottom"/>
            <w:tcBorders>
              <w:top w:val="single" w:sz="8" w:color="F5F5F5"/>
              <w:bottom w:val="single" w:sz="8" w:color="0000FF"/>
            </w:tcBorders>
            <w:shd w:val="clear" w:color="auto" w:fill="F5F5F5"/>
          </w:tcPr>
          <w:p>
            <w:pPr>
              <w:spacing w:after="0"/>
              <w:rPr>
                <w:sz w:val="10"/>
                <w:szCs w:val="10"/>
                <w:color w:val="auto"/>
              </w:rPr>
            </w:pPr>
          </w:p>
        </w:tc>
        <w:tc>
          <w:tcPr>
            <w:tcW w:w="20" w:type="dxa"/>
            <w:vAlign w:val="bottom"/>
            <w:tcBorders>
              <w:top w:val="single" w:sz="8" w:color="F5F5F5"/>
              <w:bottom w:val="single" w:sz="8" w:color="0000FF"/>
            </w:tcBorders>
            <w:shd w:val="clear" w:color="auto" w:fill="F5F5F5"/>
          </w:tcPr>
          <w:p>
            <w:pPr>
              <w:spacing w:after="0"/>
              <w:rPr>
                <w:sz w:val="10"/>
                <w:szCs w:val="10"/>
                <w:color w:val="auto"/>
              </w:rPr>
            </w:pPr>
          </w:p>
        </w:tc>
        <w:tc>
          <w:tcPr>
            <w:tcW w:w="20" w:type="dxa"/>
            <w:vAlign w:val="bottom"/>
            <w:tcBorders>
              <w:top w:val="single" w:sz="8" w:color="F5F5F5"/>
              <w:bottom w:val="single" w:sz="8" w:color="0000FF"/>
            </w:tcBorders>
            <w:shd w:val="clear" w:color="auto" w:fill="F5F5F5"/>
          </w:tcPr>
          <w:p>
            <w:pPr>
              <w:spacing w:after="0"/>
              <w:rPr>
                <w:sz w:val="10"/>
                <w:szCs w:val="10"/>
                <w:color w:val="auto"/>
              </w:rPr>
            </w:pPr>
          </w:p>
        </w:tc>
        <w:tc>
          <w:tcPr>
            <w:tcW w:w="20" w:type="dxa"/>
            <w:vAlign w:val="bottom"/>
            <w:tcBorders>
              <w:top w:val="single" w:sz="8" w:color="F5F5F5"/>
              <w:bottom w:val="single" w:sz="8" w:color="0000FF"/>
            </w:tcBorders>
            <w:shd w:val="clear" w:color="auto" w:fill="F5F5F5"/>
          </w:tcPr>
          <w:p>
            <w:pPr>
              <w:spacing w:after="0"/>
              <w:rPr>
                <w:sz w:val="10"/>
                <w:szCs w:val="10"/>
                <w:color w:val="auto"/>
              </w:rPr>
            </w:pPr>
          </w:p>
        </w:tc>
        <w:tc>
          <w:tcPr>
            <w:tcW w:w="20" w:type="dxa"/>
            <w:vAlign w:val="bottom"/>
            <w:tcBorders>
              <w:top w:val="single" w:sz="8" w:color="F5F5F5"/>
              <w:bottom w:val="single" w:sz="8" w:color="0000FF"/>
            </w:tcBorders>
            <w:shd w:val="clear" w:color="auto" w:fill="F5F5F5"/>
          </w:tcPr>
          <w:p>
            <w:pPr>
              <w:spacing w:after="0"/>
              <w:rPr>
                <w:sz w:val="10"/>
                <w:szCs w:val="10"/>
                <w:color w:val="auto"/>
              </w:rPr>
            </w:pPr>
          </w:p>
        </w:tc>
        <w:tc>
          <w:tcPr>
            <w:tcW w:w="20" w:type="dxa"/>
            <w:vAlign w:val="bottom"/>
            <w:tcBorders>
              <w:top w:val="single" w:sz="8" w:color="F5F5F5"/>
              <w:bottom w:val="single" w:sz="8" w:color="0000FF"/>
            </w:tcBorders>
            <w:shd w:val="clear" w:color="auto" w:fill="F5F5F5"/>
          </w:tcPr>
          <w:p>
            <w:pPr>
              <w:spacing w:after="0"/>
              <w:rPr>
                <w:sz w:val="10"/>
                <w:szCs w:val="10"/>
                <w:color w:val="auto"/>
              </w:rPr>
            </w:pPr>
          </w:p>
        </w:tc>
      </w:tr>
      <w:tr>
        <w:trPr>
          <w:trHeight w:val="149"/>
        </w:trPr>
        <w:tc>
          <w:tcPr>
            <w:tcW w:w="580" w:type="dxa"/>
            <w:vAlign w:val="bottom"/>
            <w:tcBorders>
              <w:bottom w:val="single" w:sz="8" w:color="F5F5F5"/>
            </w:tcBorders>
            <w:shd w:val="clear" w:color="auto" w:fill="F5F5F5"/>
          </w:tcPr>
          <w:p>
            <w:pPr>
              <w:spacing w:after="0"/>
              <w:rPr>
                <w:sz w:val="12"/>
                <w:szCs w:val="12"/>
                <w:color w:val="auto"/>
              </w:rPr>
            </w:pPr>
          </w:p>
        </w:tc>
        <w:tc>
          <w:tcPr>
            <w:tcW w:w="460" w:type="dxa"/>
            <w:vAlign w:val="bottom"/>
            <w:tcBorders>
              <w:bottom w:val="single" w:sz="8" w:color="F5F5F5"/>
            </w:tcBorders>
            <w:shd w:val="clear" w:color="auto" w:fill="F5F5F5"/>
          </w:tcPr>
          <w:p>
            <w:pPr>
              <w:spacing w:after="0"/>
              <w:rPr>
                <w:sz w:val="12"/>
                <w:szCs w:val="12"/>
                <w:color w:val="auto"/>
              </w:rPr>
            </w:pPr>
          </w:p>
        </w:tc>
        <w:tc>
          <w:tcPr>
            <w:tcW w:w="1960" w:type="dxa"/>
            <w:vAlign w:val="bottom"/>
            <w:tcBorders>
              <w:bottom w:val="single" w:sz="8" w:color="0000FF"/>
            </w:tcBorders>
            <w:gridSpan w:val="3"/>
            <w:shd w:val="clear" w:color="auto" w:fill="F5F5F5"/>
          </w:tcPr>
          <w:p>
            <w:pPr>
              <w:spacing w:after="0" w:line="129" w:lineRule="exact"/>
              <w:rPr>
                <w:rFonts w:ascii="Arial" w:cs="Arial" w:eastAsia="Arial" w:hAnsi="Arial"/>
                <w:sz w:val="14"/>
                <w:szCs w:val="14"/>
                <w:color w:val="0000FF"/>
              </w:rPr>
            </w:pPr>
            <w:hyperlink r:id="rId148">
              <w:r>
                <w:rPr>
                  <w:rFonts w:ascii="Arial" w:cs="Arial" w:eastAsia="Arial" w:hAnsi="Arial"/>
                  <w:sz w:val="14"/>
                  <w:szCs w:val="14"/>
                  <w:color w:val="0000FF"/>
                </w:rPr>
                <w:t>31, 2021 (File No. 001-12107).</w:t>
              </w:r>
            </w:hyperlink>
          </w:p>
        </w:tc>
        <w:tc>
          <w:tcPr>
            <w:tcW w:w="2240" w:type="dxa"/>
            <w:vAlign w:val="bottom"/>
            <w:tcBorders>
              <w:bottom w:val="single" w:sz="8" w:color="F5F5F5"/>
            </w:tcBorders>
            <w:gridSpan w:val="8"/>
            <w:shd w:val="clear" w:color="auto" w:fill="F5F5F5"/>
          </w:tcPr>
          <w:p>
            <w:pPr>
              <w:spacing w:after="0"/>
              <w:rPr>
                <w:sz w:val="12"/>
                <w:szCs w:val="12"/>
                <w:color w:val="auto"/>
              </w:rPr>
            </w:pPr>
          </w:p>
        </w:tc>
        <w:tc>
          <w:tcPr>
            <w:tcW w:w="880" w:type="dxa"/>
            <w:vAlign w:val="bottom"/>
            <w:tcBorders>
              <w:bottom w:val="single" w:sz="8" w:color="F5F5F5"/>
            </w:tcBorders>
            <w:shd w:val="clear" w:color="auto" w:fill="F5F5F5"/>
          </w:tcPr>
          <w:p>
            <w:pPr>
              <w:spacing w:after="0"/>
              <w:rPr>
                <w:sz w:val="12"/>
                <w:szCs w:val="12"/>
                <w:color w:val="auto"/>
              </w:rPr>
            </w:pPr>
          </w:p>
        </w:tc>
        <w:tc>
          <w:tcPr>
            <w:tcW w:w="160" w:type="dxa"/>
            <w:vAlign w:val="bottom"/>
            <w:tcBorders>
              <w:bottom w:val="single" w:sz="8" w:color="F5F5F5"/>
            </w:tcBorders>
            <w:shd w:val="clear" w:color="auto" w:fill="F5F5F5"/>
          </w:tcPr>
          <w:p>
            <w:pPr>
              <w:spacing w:after="0"/>
              <w:rPr>
                <w:sz w:val="12"/>
                <w:szCs w:val="12"/>
                <w:color w:val="auto"/>
              </w:rPr>
            </w:pPr>
          </w:p>
        </w:tc>
        <w:tc>
          <w:tcPr>
            <w:tcW w:w="500" w:type="dxa"/>
            <w:vAlign w:val="bottom"/>
            <w:tcBorders>
              <w:bottom w:val="single" w:sz="8" w:color="F5F5F5"/>
            </w:tcBorders>
            <w:shd w:val="clear" w:color="auto" w:fill="F5F5F5"/>
          </w:tcPr>
          <w:p>
            <w:pPr>
              <w:spacing w:after="0"/>
              <w:rPr>
                <w:sz w:val="12"/>
                <w:szCs w:val="12"/>
                <w:color w:val="auto"/>
              </w:rPr>
            </w:pPr>
          </w:p>
        </w:tc>
        <w:tc>
          <w:tcPr>
            <w:tcW w:w="740" w:type="dxa"/>
            <w:vAlign w:val="bottom"/>
            <w:tcBorders>
              <w:bottom w:val="single" w:sz="8" w:color="F5F5F5"/>
            </w:tcBorders>
            <w:shd w:val="clear" w:color="auto" w:fill="F5F5F5"/>
          </w:tcPr>
          <w:p>
            <w:pPr>
              <w:spacing w:after="0"/>
              <w:rPr>
                <w:sz w:val="12"/>
                <w:szCs w:val="12"/>
                <w:color w:val="auto"/>
              </w:rPr>
            </w:pPr>
          </w:p>
        </w:tc>
        <w:tc>
          <w:tcPr>
            <w:tcW w:w="420" w:type="dxa"/>
            <w:vAlign w:val="bottom"/>
            <w:tcBorders>
              <w:bottom w:val="single" w:sz="8" w:color="F5F5F5"/>
            </w:tcBorders>
            <w:shd w:val="clear" w:color="auto" w:fill="F5F5F5"/>
          </w:tcPr>
          <w:p>
            <w:pPr>
              <w:spacing w:after="0"/>
              <w:rPr>
                <w:sz w:val="12"/>
                <w:szCs w:val="12"/>
                <w:color w:val="auto"/>
              </w:rPr>
            </w:pPr>
          </w:p>
        </w:tc>
        <w:tc>
          <w:tcPr>
            <w:tcW w:w="60" w:type="dxa"/>
            <w:vAlign w:val="bottom"/>
            <w:tcBorders>
              <w:bottom w:val="single" w:sz="8" w:color="F5F5F5"/>
            </w:tcBorders>
            <w:shd w:val="clear" w:color="auto" w:fill="F5F5F5"/>
          </w:tcPr>
          <w:p>
            <w:pPr>
              <w:spacing w:after="0"/>
              <w:rPr>
                <w:sz w:val="12"/>
                <w:szCs w:val="12"/>
                <w:color w:val="auto"/>
              </w:rPr>
            </w:pPr>
          </w:p>
        </w:tc>
        <w:tc>
          <w:tcPr>
            <w:tcW w:w="740" w:type="dxa"/>
            <w:vAlign w:val="bottom"/>
            <w:tcBorders>
              <w:bottom w:val="single" w:sz="8" w:color="F5F5F5"/>
            </w:tcBorders>
            <w:shd w:val="clear" w:color="auto" w:fill="F5F5F5"/>
          </w:tcPr>
          <w:p>
            <w:pPr>
              <w:spacing w:after="0"/>
              <w:rPr>
                <w:sz w:val="12"/>
                <w:szCs w:val="12"/>
                <w:color w:val="auto"/>
              </w:rPr>
            </w:pPr>
          </w:p>
        </w:tc>
        <w:tc>
          <w:tcPr>
            <w:tcW w:w="380" w:type="dxa"/>
            <w:vAlign w:val="bottom"/>
            <w:tcBorders>
              <w:bottom w:val="single" w:sz="8" w:color="F5F5F5"/>
            </w:tcBorders>
            <w:shd w:val="clear" w:color="auto" w:fill="F5F5F5"/>
          </w:tcPr>
          <w:p>
            <w:pPr>
              <w:spacing w:after="0"/>
              <w:rPr>
                <w:sz w:val="12"/>
                <w:szCs w:val="12"/>
                <w:color w:val="auto"/>
              </w:rPr>
            </w:pPr>
          </w:p>
        </w:tc>
        <w:tc>
          <w:tcPr>
            <w:tcW w:w="780" w:type="dxa"/>
            <w:vAlign w:val="bottom"/>
            <w:tcBorders>
              <w:bottom w:val="single" w:sz="8" w:color="F5F5F5"/>
            </w:tcBorders>
            <w:shd w:val="clear" w:color="auto" w:fill="F5F5F5"/>
          </w:tcPr>
          <w:p>
            <w:pPr>
              <w:spacing w:after="0"/>
              <w:rPr>
                <w:sz w:val="12"/>
                <w:szCs w:val="12"/>
                <w:color w:val="auto"/>
              </w:rPr>
            </w:pPr>
          </w:p>
        </w:tc>
        <w:tc>
          <w:tcPr>
            <w:tcW w:w="1300" w:type="dxa"/>
            <w:vAlign w:val="bottom"/>
            <w:tcBorders>
              <w:bottom w:val="single" w:sz="8" w:color="F5F5F5"/>
            </w:tcBorders>
            <w:shd w:val="clear" w:color="auto" w:fill="F5F5F5"/>
          </w:tcPr>
          <w:p>
            <w:pPr>
              <w:spacing w:after="0"/>
              <w:rPr>
                <w:sz w:val="12"/>
                <w:szCs w:val="12"/>
                <w:color w:val="auto"/>
              </w:rPr>
            </w:pPr>
          </w:p>
        </w:tc>
        <w:tc>
          <w:tcPr>
            <w:tcW w:w="20" w:type="dxa"/>
            <w:vAlign w:val="bottom"/>
            <w:tcBorders>
              <w:bottom w:val="single" w:sz="8" w:color="F5F5F5"/>
            </w:tcBorders>
            <w:shd w:val="clear" w:color="auto" w:fill="F5F5F5"/>
          </w:tcPr>
          <w:p>
            <w:pPr>
              <w:spacing w:after="0"/>
              <w:rPr>
                <w:sz w:val="12"/>
                <w:szCs w:val="12"/>
                <w:color w:val="auto"/>
              </w:rPr>
            </w:pPr>
          </w:p>
        </w:tc>
        <w:tc>
          <w:tcPr>
            <w:tcW w:w="20" w:type="dxa"/>
            <w:vAlign w:val="bottom"/>
            <w:tcBorders>
              <w:bottom w:val="single" w:sz="8" w:color="F5F5F5"/>
            </w:tcBorders>
            <w:shd w:val="clear" w:color="auto" w:fill="F5F5F5"/>
          </w:tcPr>
          <w:p>
            <w:pPr>
              <w:spacing w:after="0"/>
              <w:rPr>
                <w:sz w:val="12"/>
                <w:szCs w:val="12"/>
                <w:color w:val="auto"/>
              </w:rPr>
            </w:pPr>
          </w:p>
        </w:tc>
        <w:tc>
          <w:tcPr>
            <w:tcW w:w="20" w:type="dxa"/>
            <w:vAlign w:val="bottom"/>
            <w:tcBorders>
              <w:bottom w:val="single" w:sz="8" w:color="F5F5F5"/>
            </w:tcBorders>
            <w:shd w:val="clear" w:color="auto" w:fill="F5F5F5"/>
          </w:tcPr>
          <w:p>
            <w:pPr>
              <w:spacing w:after="0"/>
              <w:rPr>
                <w:sz w:val="12"/>
                <w:szCs w:val="12"/>
                <w:color w:val="auto"/>
              </w:rPr>
            </w:pPr>
          </w:p>
        </w:tc>
        <w:tc>
          <w:tcPr>
            <w:tcW w:w="20" w:type="dxa"/>
            <w:vAlign w:val="bottom"/>
            <w:tcBorders>
              <w:bottom w:val="single" w:sz="8" w:color="F5F5F5"/>
            </w:tcBorders>
            <w:shd w:val="clear" w:color="auto" w:fill="F5F5F5"/>
          </w:tcPr>
          <w:p>
            <w:pPr>
              <w:spacing w:after="0"/>
              <w:rPr>
                <w:sz w:val="12"/>
                <w:szCs w:val="12"/>
                <w:color w:val="auto"/>
              </w:rPr>
            </w:pPr>
          </w:p>
        </w:tc>
        <w:tc>
          <w:tcPr>
            <w:tcW w:w="20" w:type="dxa"/>
            <w:vAlign w:val="bottom"/>
            <w:tcBorders>
              <w:bottom w:val="single" w:sz="8" w:color="F5F5F5"/>
            </w:tcBorders>
            <w:shd w:val="clear" w:color="auto" w:fill="F5F5F5"/>
          </w:tcPr>
          <w:p>
            <w:pPr>
              <w:spacing w:after="0"/>
              <w:rPr>
                <w:sz w:val="12"/>
                <w:szCs w:val="12"/>
                <w:color w:val="auto"/>
              </w:rPr>
            </w:pPr>
          </w:p>
        </w:tc>
        <w:tc>
          <w:tcPr>
            <w:tcW w:w="20" w:type="dxa"/>
            <w:vAlign w:val="bottom"/>
            <w:tcBorders>
              <w:bottom w:val="single" w:sz="8" w:color="F5F5F5"/>
            </w:tcBorders>
            <w:shd w:val="clear" w:color="auto" w:fill="F5F5F5"/>
          </w:tcPr>
          <w:p>
            <w:pPr>
              <w:spacing w:after="0"/>
              <w:rPr>
                <w:sz w:val="12"/>
                <w:szCs w:val="12"/>
                <w:color w:val="auto"/>
              </w:rPr>
            </w:pPr>
          </w:p>
        </w:tc>
        <w:tc>
          <w:tcPr>
            <w:tcW w:w="20" w:type="dxa"/>
            <w:vAlign w:val="bottom"/>
            <w:tcBorders>
              <w:bottom w:val="single" w:sz="8" w:color="F5F5F5"/>
            </w:tcBorders>
            <w:shd w:val="clear" w:color="auto" w:fill="F5F5F5"/>
          </w:tcPr>
          <w:p>
            <w:pPr>
              <w:spacing w:after="0"/>
              <w:rPr>
                <w:sz w:val="12"/>
                <w:szCs w:val="12"/>
                <w:color w:val="auto"/>
              </w:rPr>
            </w:pPr>
          </w:p>
        </w:tc>
        <w:tc>
          <w:tcPr>
            <w:tcW w:w="20" w:type="dxa"/>
            <w:vAlign w:val="bottom"/>
            <w:tcBorders>
              <w:bottom w:val="single" w:sz="8" w:color="F5F5F5"/>
            </w:tcBorders>
            <w:shd w:val="clear" w:color="auto" w:fill="F5F5F5"/>
          </w:tcPr>
          <w:p>
            <w:pPr>
              <w:spacing w:after="0"/>
              <w:rPr>
                <w:sz w:val="12"/>
                <w:szCs w:val="12"/>
                <w:color w:val="auto"/>
              </w:rPr>
            </w:pPr>
          </w:p>
        </w:tc>
        <w:tc>
          <w:tcPr>
            <w:tcW w:w="20" w:type="dxa"/>
            <w:vAlign w:val="bottom"/>
            <w:tcBorders>
              <w:bottom w:val="single" w:sz="8" w:color="F5F5F5"/>
            </w:tcBorders>
            <w:shd w:val="clear" w:color="auto" w:fill="F5F5F5"/>
          </w:tcPr>
          <w:p>
            <w:pPr>
              <w:spacing w:after="0"/>
              <w:rPr>
                <w:sz w:val="12"/>
                <w:szCs w:val="12"/>
                <w:color w:val="auto"/>
              </w:rPr>
            </w:pPr>
          </w:p>
        </w:tc>
        <w:tc>
          <w:tcPr>
            <w:tcW w:w="20" w:type="dxa"/>
            <w:vAlign w:val="bottom"/>
            <w:tcBorders>
              <w:bottom w:val="single" w:sz="8" w:color="F5F5F5"/>
            </w:tcBorders>
            <w:shd w:val="clear" w:color="auto" w:fill="F5F5F5"/>
          </w:tcPr>
          <w:p>
            <w:pPr>
              <w:spacing w:after="0"/>
              <w:rPr>
                <w:sz w:val="12"/>
                <w:szCs w:val="12"/>
                <w:color w:val="auto"/>
              </w:rPr>
            </w:pPr>
          </w:p>
        </w:tc>
        <w:tc>
          <w:tcPr>
            <w:tcW w:w="20" w:type="dxa"/>
            <w:vAlign w:val="bottom"/>
            <w:tcBorders>
              <w:bottom w:val="single" w:sz="8" w:color="F5F5F5"/>
            </w:tcBorders>
            <w:shd w:val="clear" w:color="auto" w:fill="F5F5F5"/>
          </w:tcPr>
          <w:p>
            <w:pPr>
              <w:spacing w:after="0"/>
              <w:rPr>
                <w:sz w:val="12"/>
                <w:szCs w:val="12"/>
                <w:color w:val="auto"/>
              </w:rPr>
            </w:pPr>
          </w:p>
        </w:tc>
      </w:tr>
      <w:tr>
        <w:trPr>
          <w:trHeight w:val="162"/>
        </w:trPr>
        <w:tc>
          <w:tcPr>
            <w:tcW w:w="580" w:type="dxa"/>
            <w:vAlign w:val="bottom"/>
          </w:tcPr>
          <w:p>
            <w:pPr>
              <w:jc w:val="right"/>
              <w:ind w:right="68"/>
              <w:spacing w:after="0"/>
              <w:rPr>
                <w:sz w:val="20"/>
                <w:szCs w:val="20"/>
                <w:color w:val="auto"/>
              </w:rPr>
            </w:pPr>
            <w:r>
              <w:rPr>
                <w:rFonts w:ascii="Arial" w:cs="Arial" w:eastAsia="Arial" w:hAnsi="Arial"/>
                <w:sz w:val="14"/>
                <w:szCs w:val="14"/>
                <w:color w:val="auto"/>
              </w:rPr>
              <w:t>10.30*</w:t>
            </w:r>
          </w:p>
        </w:tc>
        <w:tc>
          <w:tcPr>
            <w:tcW w:w="460" w:type="dxa"/>
            <w:vAlign w:val="bottom"/>
          </w:tcPr>
          <w:p>
            <w:pPr>
              <w:spacing w:after="0"/>
              <w:rPr>
                <w:sz w:val="14"/>
                <w:szCs w:val="14"/>
                <w:color w:val="auto"/>
              </w:rPr>
            </w:pPr>
          </w:p>
        </w:tc>
        <w:tc>
          <w:tcPr>
            <w:tcW w:w="10380" w:type="dxa"/>
            <w:vAlign w:val="bottom"/>
            <w:gridSpan w:val="32"/>
          </w:tcPr>
          <w:p>
            <w:pPr>
              <w:spacing w:after="0"/>
              <w:rPr>
                <w:rFonts w:ascii="Arial" w:cs="Arial" w:eastAsia="Arial" w:hAnsi="Arial"/>
                <w:sz w:val="14"/>
                <w:szCs w:val="14"/>
                <w:color w:val="0000FF"/>
              </w:rPr>
            </w:pPr>
            <w:hyperlink r:id="rId149">
              <w:r>
                <w:rPr>
                  <w:rFonts w:ascii="Arial" w:cs="Arial" w:eastAsia="Arial" w:hAnsi="Arial"/>
                  <w:sz w:val="14"/>
                  <w:szCs w:val="14"/>
                  <w:color w:val="0000FF"/>
                </w:rPr>
                <w:t>Agreement entered into between A&amp;F Management and Jay Rust as of May 9, 2023, the execution date by A&amp;F Management and Mr. Rust, incorporated herein</w:t>
              </w:r>
            </w:hyperlink>
          </w:p>
        </w:tc>
      </w:tr>
      <w:tr>
        <w:trPr>
          <w:trHeight w:val="115"/>
        </w:trPr>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180" w:type="dxa"/>
            <w:vAlign w:val="bottom"/>
            <w:tcBorders>
              <w:top w:val="single" w:sz="8" w:color="0000FF"/>
              <w:bottom w:val="single" w:sz="8" w:color="0000FF"/>
            </w:tcBorders>
            <w:gridSpan w:val="22"/>
          </w:tcPr>
          <w:p>
            <w:pPr>
              <w:spacing w:after="0" w:line="115" w:lineRule="exact"/>
              <w:rPr>
                <w:rFonts w:ascii="Arial" w:cs="Arial" w:eastAsia="Arial" w:hAnsi="Arial"/>
                <w:sz w:val="13"/>
                <w:szCs w:val="13"/>
                <w:color w:val="0000FF"/>
              </w:rPr>
            </w:pPr>
            <w:hyperlink r:id="rId149">
              <w:r>
                <w:rPr>
                  <w:rFonts w:ascii="Arial" w:cs="Arial" w:eastAsia="Arial" w:hAnsi="Arial"/>
                  <w:sz w:val="13"/>
                  <w:szCs w:val="13"/>
                  <w:color w:val="0000FF"/>
                </w:rPr>
                <w:t>by reference to Exhibit 10.2 to A&amp;F's Quarterly Report on Form 10-Q dated and filed September 1, 2023 for the quarterly period ended July 29, 2023 (File No.</w:t>
              </w:r>
            </w:hyperlink>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8"/>
        </w:trPr>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960" w:type="dxa"/>
            <w:vAlign w:val="bottom"/>
            <w:gridSpan w:val="3"/>
          </w:tcPr>
          <w:p>
            <w:pPr>
              <w:spacing w:after="0" w:line="129" w:lineRule="exact"/>
              <w:rPr>
                <w:rFonts w:ascii="Arial" w:cs="Arial" w:eastAsia="Arial" w:hAnsi="Arial"/>
                <w:sz w:val="14"/>
                <w:szCs w:val="14"/>
                <w:color w:val="0000FF"/>
              </w:rPr>
            </w:pPr>
            <w:hyperlink r:id="rId149">
              <w:r>
                <w:rPr>
                  <w:rFonts w:ascii="Arial" w:cs="Arial" w:eastAsia="Arial" w:hAnsi="Arial"/>
                  <w:sz w:val="14"/>
                  <w:szCs w:val="14"/>
                  <w:color w:val="0000FF"/>
                </w:rPr>
                <w:t>001-12107).</w:t>
              </w:r>
            </w:hyperlink>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580" w:type="dxa"/>
            <w:vAlign w:val="bottom"/>
            <w:shd w:val="clear" w:color="auto" w:fill="F5F5F5"/>
          </w:tcPr>
          <w:p>
            <w:pPr>
              <w:jc w:val="right"/>
              <w:ind w:right="68"/>
              <w:spacing w:after="0"/>
              <w:rPr>
                <w:sz w:val="20"/>
                <w:szCs w:val="20"/>
                <w:color w:val="auto"/>
              </w:rPr>
            </w:pPr>
            <w:r>
              <w:rPr>
                <w:rFonts w:ascii="Arial" w:cs="Arial" w:eastAsia="Arial" w:hAnsi="Arial"/>
                <w:sz w:val="14"/>
                <w:szCs w:val="14"/>
                <w:color w:val="auto"/>
              </w:rPr>
              <w:t>10.31*</w:t>
            </w:r>
          </w:p>
        </w:tc>
        <w:tc>
          <w:tcPr>
            <w:tcW w:w="460" w:type="dxa"/>
            <w:vAlign w:val="bottom"/>
            <w:shd w:val="clear" w:color="auto" w:fill="F5F5F5"/>
          </w:tcPr>
          <w:p>
            <w:pPr>
              <w:spacing w:after="0"/>
              <w:rPr>
                <w:sz w:val="14"/>
                <w:szCs w:val="14"/>
                <w:color w:val="auto"/>
              </w:rPr>
            </w:pPr>
          </w:p>
        </w:tc>
        <w:tc>
          <w:tcPr>
            <w:tcW w:w="10380" w:type="dxa"/>
            <w:vAlign w:val="bottom"/>
            <w:gridSpan w:val="32"/>
            <w:shd w:val="clear" w:color="auto" w:fill="F5F5F5"/>
          </w:tcPr>
          <w:p>
            <w:pPr>
              <w:spacing w:after="0"/>
              <w:rPr>
                <w:rFonts w:ascii="Arial" w:cs="Arial" w:eastAsia="Arial" w:hAnsi="Arial"/>
                <w:sz w:val="14"/>
                <w:szCs w:val="14"/>
                <w:color w:val="0000FF"/>
              </w:rPr>
            </w:pPr>
            <w:hyperlink r:id="rId150">
              <w:r>
                <w:rPr>
                  <w:rFonts w:ascii="Arial" w:cs="Arial" w:eastAsia="Arial" w:hAnsi="Arial"/>
                  <w:sz w:val="14"/>
                  <w:szCs w:val="14"/>
                  <w:color w:val="0000FF"/>
                </w:rPr>
                <w:t>Form of Agreement entered into between A&amp;F Management and Robert J. Ball as of November 20, 2024, incorporated herein by reference to Exhibit 10.1 to</w:t>
              </w:r>
            </w:hyperlink>
          </w:p>
        </w:tc>
      </w:tr>
      <w:tr>
        <w:trPr>
          <w:trHeight w:val="115"/>
        </w:trPr>
        <w:tc>
          <w:tcPr>
            <w:tcW w:w="580" w:type="dxa"/>
            <w:vAlign w:val="bottom"/>
            <w:tcBorders>
              <w:top w:val="single" w:sz="8" w:color="F5F5F5"/>
            </w:tcBorders>
            <w:shd w:val="clear" w:color="auto" w:fill="F5F5F5"/>
          </w:tcPr>
          <w:p>
            <w:pPr>
              <w:spacing w:after="0"/>
              <w:rPr>
                <w:sz w:val="10"/>
                <w:szCs w:val="10"/>
                <w:color w:val="auto"/>
              </w:rPr>
            </w:pPr>
          </w:p>
        </w:tc>
        <w:tc>
          <w:tcPr>
            <w:tcW w:w="460" w:type="dxa"/>
            <w:vAlign w:val="bottom"/>
            <w:tcBorders>
              <w:top w:val="single" w:sz="8" w:color="F5F5F5"/>
            </w:tcBorders>
            <w:shd w:val="clear" w:color="auto" w:fill="F5F5F5"/>
          </w:tcPr>
          <w:p>
            <w:pPr>
              <w:spacing w:after="0"/>
              <w:rPr>
                <w:sz w:val="10"/>
                <w:szCs w:val="10"/>
                <w:color w:val="auto"/>
              </w:rPr>
            </w:pPr>
          </w:p>
        </w:tc>
        <w:tc>
          <w:tcPr>
            <w:tcW w:w="8080" w:type="dxa"/>
            <w:vAlign w:val="bottom"/>
            <w:tcBorders>
              <w:top w:val="single" w:sz="8" w:color="0000FF"/>
            </w:tcBorders>
            <w:gridSpan w:val="19"/>
            <w:shd w:val="clear" w:color="auto" w:fill="F5F5F5"/>
          </w:tcPr>
          <w:p>
            <w:pPr>
              <w:spacing w:after="0" w:line="115" w:lineRule="exact"/>
              <w:rPr>
                <w:rFonts w:ascii="Arial" w:cs="Arial" w:eastAsia="Arial" w:hAnsi="Arial"/>
                <w:sz w:val="13"/>
                <w:szCs w:val="13"/>
                <w:color w:val="0000FF"/>
              </w:rPr>
            </w:pPr>
            <w:hyperlink r:id="rId150">
              <w:r>
                <w:rPr>
                  <w:rFonts w:ascii="Arial" w:cs="Arial" w:eastAsia="Arial" w:hAnsi="Arial"/>
                  <w:sz w:val="13"/>
                  <w:szCs w:val="13"/>
                  <w:color w:val="0000FF"/>
                </w:rPr>
                <w:t>A&amp;F’s Quarterly Report on Form 10-Q for the quarterly period ended November 2, 2024 (File No. 001-12107).</w:t>
              </w:r>
            </w:hyperlink>
          </w:p>
        </w:tc>
        <w:tc>
          <w:tcPr>
            <w:tcW w:w="780" w:type="dxa"/>
            <w:vAlign w:val="bottom"/>
            <w:tcBorders>
              <w:top w:val="single" w:sz="8" w:color="0000FF"/>
            </w:tcBorders>
            <w:shd w:val="clear" w:color="auto" w:fill="F5F5F5"/>
          </w:tcPr>
          <w:p>
            <w:pPr>
              <w:spacing w:after="0"/>
              <w:rPr>
                <w:sz w:val="10"/>
                <w:szCs w:val="10"/>
                <w:color w:val="auto"/>
              </w:rPr>
            </w:pPr>
          </w:p>
        </w:tc>
        <w:tc>
          <w:tcPr>
            <w:tcW w:w="1300" w:type="dxa"/>
            <w:vAlign w:val="bottom"/>
            <w:tcBorders>
              <w:top w:val="single" w:sz="8" w:color="0000FF"/>
            </w:tcBorders>
            <w:shd w:val="clear" w:color="auto" w:fill="F5F5F5"/>
          </w:tcPr>
          <w:p>
            <w:pPr>
              <w:spacing w:after="0"/>
              <w:rPr>
                <w:sz w:val="10"/>
                <w:szCs w:val="10"/>
                <w:color w:val="auto"/>
              </w:rPr>
            </w:pPr>
          </w:p>
        </w:tc>
        <w:tc>
          <w:tcPr>
            <w:tcW w:w="20" w:type="dxa"/>
            <w:vAlign w:val="bottom"/>
            <w:tcBorders>
              <w:top w:val="single" w:sz="8" w:color="0000FF"/>
            </w:tcBorders>
            <w:shd w:val="clear" w:color="auto" w:fill="F5F5F5"/>
          </w:tcPr>
          <w:p>
            <w:pPr>
              <w:spacing w:after="0"/>
              <w:rPr>
                <w:sz w:val="10"/>
                <w:szCs w:val="10"/>
                <w:color w:val="auto"/>
              </w:rPr>
            </w:pPr>
          </w:p>
        </w:tc>
        <w:tc>
          <w:tcPr>
            <w:tcW w:w="20" w:type="dxa"/>
            <w:vAlign w:val="bottom"/>
            <w:tcBorders>
              <w:top w:val="single" w:sz="8" w:color="0000FF"/>
            </w:tcBorders>
            <w:shd w:val="clear" w:color="auto" w:fill="F5F5F5"/>
          </w:tcPr>
          <w:p>
            <w:pPr>
              <w:spacing w:after="0"/>
              <w:rPr>
                <w:sz w:val="10"/>
                <w:szCs w:val="10"/>
                <w:color w:val="auto"/>
              </w:rPr>
            </w:pPr>
          </w:p>
        </w:tc>
        <w:tc>
          <w:tcPr>
            <w:tcW w:w="20" w:type="dxa"/>
            <w:vAlign w:val="bottom"/>
            <w:tcBorders>
              <w:top w:val="single" w:sz="8" w:color="0000FF"/>
            </w:tcBorders>
            <w:shd w:val="clear" w:color="auto" w:fill="F5F5F5"/>
          </w:tcPr>
          <w:p>
            <w:pPr>
              <w:spacing w:after="0"/>
              <w:rPr>
                <w:sz w:val="10"/>
                <w:szCs w:val="10"/>
                <w:color w:val="auto"/>
              </w:rPr>
            </w:pPr>
          </w:p>
        </w:tc>
        <w:tc>
          <w:tcPr>
            <w:tcW w:w="20" w:type="dxa"/>
            <w:vAlign w:val="bottom"/>
            <w:tcBorders>
              <w:top w:val="single" w:sz="8" w:color="0000FF"/>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r>
      <w:tr>
        <w:trPr>
          <w:trHeight w:val="20"/>
        </w:trPr>
        <w:tc>
          <w:tcPr>
            <w:tcW w:w="580" w:type="dxa"/>
            <w:vAlign w:val="bottom"/>
            <w:tcBorders>
              <w:top w:val="single" w:sz="8" w:color="F5F5F5"/>
            </w:tcBorders>
            <w:shd w:val="clear" w:color="auto" w:fill="F5F5F5"/>
          </w:tcPr>
          <w:p>
            <w:pPr>
              <w:spacing w:after="0" w:line="20" w:lineRule="exact"/>
              <w:rPr>
                <w:sz w:val="1"/>
                <w:szCs w:val="1"/>
                <w:color w:val="auto"/>
              </w:rPr>
            </w:pPr>
          </w:p>
        </w:tc>
        <w:tc>
          <w:tcPr>
            <w:tcW w:w="460" w:type="dxa"/>
            <w:vAlign w:val="bottom"/>
            <w:tcBorders>
              <w:top w:val="single" w:sz="8" w:color="F5F5F5"/>
            </w:tcBorders>
            <w:shd w:val="clear" w:color="auto" w:fill="F5F5F5"/>
          </w:tcPr>
          <w:p>
            <w:pPr>
              <w:spacing w:after="0" w:line="20" w:lineRule="exact"/>
              <w:rPr>
                <w:sz w:val="1"/>
                <w:szCs w:val="1"/>
                <w:color w:val="auto"/>
              </w:rPr>
            </w:pPr>
          </w:p>
        </w:tc>
        <w:tc>
          <w:tcPr>
            <w:tcW w:w="480" w:type="dxa"/>
            <w:vAlign w:val="bottom"/>
            <w:tcBorders>
              <w:top w:val="single" w:sz="8" w:color="0000FF"/>
            </w:tcBorders>
            <w:shd w:val="clear" w:color="auto" w:fill="F5F5F5"/>
          </w:tcPr>
          <w:p>
            <w:pPr>
              <w:spacing w:after="0" w:line="20" w:lineRule="exact"/>
              <w:rPr>
                <w:sz w:val="1"/>
                <w:szCs w:val="1"/>
                <w:color w:val="auto"/>
              </w:rPr>
            </w:pPr>
          </w:p>
        </w:tc>
        <w:tc>
          <w:tcPr>
            <w:tcW w:w="300" w:type="dxa"/>
            <w:vAlign w:val="bottom"/>
            <w:tcBorders>
              <w:top w:val="single" w:sz="8" w:color="0000FF"/>
            </w:tcBorders>
            <w:shd w:val="clear" w:color="auto" w:fill="F5F5F5"/>
          </w:tcPr>
          <w:p>
            <w:pPr>
              <w:spacing w:after="0" w:line="20" w:lineRule="exact"/>
              <w:rPr>
                <w:sz w:val="1"/>
                <w:szCs w:val="1"/>
                <w:color w:val="auto"/>
              </w:rPr>
            </w:pPr>
          </w:p>
        </w:tc>
        <w:tc>
          <w:tcPr>
            <w:tcW w:w="1180" w:type="dxa"/>
            <w:vAlign w:val="bottom"/>
            <w:tcBorders>
              <w:top w:val="single" w:sz="8" w:color="0000FF"/>
            </w:tcBorders>
            <w:shd w:val="clear" w:color="auto" w:fill="F5F5F5"/>
          </w:tcPr>
          <w:p>
            <w:pPr>
              <w:spacing w:after="0" w:line="20" w:lineRule="exact"/>
              <w:rPr>
                <w:sz w:val="1"/>
                <w:szCs w:val="1"/>
                <w:color w:val="auto"/>
              </w:rPr>
            </w:pPr>
          </w:p>
        </w:tc>
        <w:tc>
          <w:tcPr>
            <w:tcW w:w="340" w:type="dxa"/>
            <w:vAlign w:val="bottom"/>
            <w:tcBorders>
              <w:top w:val="single" w:sz="8" w:color="0000FF"/>
            </w:tcBorders>
            <w:shd w:val="clear" w:color="auto" w:fill="F5F5F5"/>
          </w:tcPr>
          <w:p>
            <w:pPr>
              <w:spacing w:after="0" w:line="20" w:lineRule="exact"/>
              <w:rPr>
                <w:sz w:val="1"/>
                <w:szCs w:val="1"/>
                <w:color w:val="auto"/>
              </w:rPr>
            </w:pPr>
          </w:p>
        </w:tc>
        <w:tc>
          <w:tcPr>
            <w:tcW w:w="400" w:type="dxa"/>
            <w:vAlign w:val="bottom"/>
            <w:tcBorders>
              <w:top w:val="single" w:sz="8" w:color="0000FF"/>
            </w:tcBorders>
            <w:shd w:val="clear" w:color="auto" w:fill="F5F5F5"/>
          </w:tcPr>
          <w:p>
            <w:pPr>
              <w:spacing w:after="0" w:line="20" w:lineRule="exact"/>
              <w:rPr>
                <w:sz w:val="1"/>
                <w:szCs w:val="1"/>
                <w:color w:val="auto"/>
              </w:rPr>
            </w:pPr>
          </w:p>
        </w:tc>
        <w:tc>
          <w:tcPr>
            <w:tcW w:w="560" w:type="dxa"/>
            <w:vAlign w:val="bottom"/>
            <w:tcBorders>
              <w:top w:val="single" w:sz="8" w:color="0000FF"/>
            </w:tcBorders>
            <w:shd w:val="clear" w:color="auto" w:fill="F5F5F5"/>
          </w:tcPr>
          <w:p>
            <w:pPr>
              <w:spacing w:after="0" w:line="20" w:lineRule="exact"/>
              <w:rPr>
                <w:sz w:val="1"/>
                <w:szCs w:val="1"/>
                <w:color w:val="auto"/>
              </w:rPr>
            </w:pPr>
          </w:p>
        </w:tc>
        <w:tc>
          <w:tcPr>
            <w:tcW w:w="480" w:type="dxa"/>
            <w:vAlign w:val="bottom"/>
            <w:tcBorders>
              <w:top w:val="single" w:sz="8" w:color="0000FF"/>
            </w:tcBorders>
            <w:shd w:val="clear" w:color="auto" w:fill="F5F5F5"/>
          </w:tcPr>
          <w:p>
            <w:pPr>
              <w:spacing w:after="0" w:line="20" w:lineRule="exact"/>
              <w:rPr>
                <w:sz w:val="1"/>
                <w:szCs w:val="1"/>
                <w:color w:val="auto"/>
              </w:rPr>
            </w:pPr>
          </w:p>
        </w:tc>
        <w:tc>
          <w:tcPr>
            <w:tcW w:w="20" w:type="dxa"/>
            <w:vAlign w:val="bottom"/>
            <w:tcBorders>
              <w:top w:val="single" w:sz="8" w:color="0000FF"/>
            </w:tcBorders>
            <w:shd w:val="clear" w:color="auto" w:fill="F5F5F5"/>
          </w:tcPr>
          <w:p>
            <w:pPr>
              <w:spacing w:after="0" w:line="20" w:lineRule="exact"/>
              <w:rPr>
                <w:sz w:val="1"/>
                <w:szCs w:val="1"/>
                <w:color w:val="auto"/>
              </w:rPr>
            </w:pPr>
          </w:p>
        </w:tc>
        <w:tc>
          <w:tcPr>
            <w:tcW w:w="100" w:type="dxa"/>
            <w:vAlign w:val="bottom"/>
            <w:tcBorders>
              <w:top w:val="single" w:sz="8" w:color="0000FF"/>
            </w:tcBorders>
            <w:shd w:val="clear" w:color="auto" w:fill="F5F5F5"/>
          </w:tcPr>
          <w:p>
            <w:pPr>
              <w:spacing w:after="0" w:line="20" w:lineRule="exact"/>
              <w:rPr>
                <w:sz w:val="1"/>
                <w:szCs w:val="1"/>
                <w:color w:val="auto"/>
              </w:rPr>
            </w:pPr>
          </w:p>
        </w:tc>
        <w:tc>
          <w:tcPr>
            <w:tcW w:w="60" w:type="dxa"/>
            <w:vAlign w:val="bottom"/>
            <w:tcBorders>
              <w:top w:val="single" w:sz="8" w:color="0000FF"/>
            </w:tcBorders>
            <w:shd w:val="clear" w:color="auto" w:fill="F5F5F5"/>
          </w:tcPr>
          <w:p>
            <w:pPr>
              <w:spacing w:after="0" w:line="20" w:lineRule="exact"/>
              <w:rPr>
                <w:sz w:val="1"/>
                <w:szCs w:val="1"/>
                <w:color w:val="auto"/>
              </w:rPr>
            </w:pPr>
          </w:p>
        </w:tc>
        <w:tc>
          <w:tcPr>
            <w:tcW w:w="280" w:type="dxa"/>
            <w:vAlign w:val="bottom"/>
            <w:tcBorders>
              <w:top w:val="single" w:sz="8" w:color="0000FF"/>
            </w:tcBorders>
            <w:shd w:val="clear" w:color="auto" w:fill="F5F5F5"/>
          </w:tcPr>
          <w:p>
            <w:pPr>
              <w:spacing w:after="0" w:line="20" w:lineRule="exact"/>
              <w:rPr>
                <w:sz w:val="1"/>
                <w:szCs w:val="1"/>
                <w:color w:val="auto"/>
              </w:rPr>
            </w:pPr>
          </w:p>
        </w:tc>
        <w:tc>
          <w:tcPr>
            <w:tcW w:w="880" w:type="dxa"/>
            <w:vAlign w:val="bottom"/>
            <w:tcBorders>
              <w:top w:val="single" w:sz="8" w:color="0000FF"/>
            </w:tcBorders>
            <w:shd w:val="clear" w:color="auto" w:fill="F5F5F5"/>
          </w:tcPr>
          <w:p>
            <w:pPr>
              <w:spacing w:after="0" w:line="20" w:lineRule="exact"/>
              <w:rPr>
                <w:sz w:val="1"/>
                <w:szCs w:val="1"/>
                <w:color w:val="auto"/>
              </w:rPr>
            </w:pPr>
          </w:p>
        </w:tc>
        <w:tc>
          <w:tcPr>
            <w:tcW w:w="160" w:type="dxa"/>
            <w:vAlign w:val="bottom"/>
            <w:tcBorders>
              <w:top w:val="single" w:sz="8" w:color="0000FF"/>
            </w:tcBorders>
            <w:shd w:val="clear" w:color="auto" w:fill="F5F5F5"/>
          </w:tcPr>
          <w:p>
            <w:pPr>
              <w:spacing w:after="0" w:line="20" w:lineRule="exact"/>
              <w:rPr>
                <w:sz w:val="1"/>
                <w:szCs w:val="1"/>
                <w:color w:val="auto"/>
              </w:rPr>
            </w:pPr>
          </w:p>
        </w:tc>
        <w:tc>
          <w:tcPr>
            <w:tcW w:w="500" w:type="dxa"/>
            <w:vAlign w:val="bottom"/>
            <w:tcBorders>
              <w:top w:val="single" w:sz="8" w:color="0000FF"/>
            </w:tcBorders>
            <w:shd w:val="clear" w:color="auto" w:fill="F5F5F5"/>
          </w:tcPr>
          <w:p>
            <w:pPr>
              <w:spacing w:after="0" w:line="20" w:lineRule="exact"/>
              <w:rPr>
                <w:sz w:val="1"/>
                <w:szCs w:val="1"/>
                <w:color w:val="auto"/>
              </w:rPr>
            </w:pPr>
          </w:p>
        </w:tc>
        <w:tc>
          <w:tcPr>
            <w:tcW w:w="740" w:type="dxa"/>
            <w:vAlign w:val="bottom"/>
            <w:tcBorders>
              <w:top w:val="single" w:sz="8" w:color="0000FF"/>
            </w:tcBorders>
            <w:shd w:val="clear" w:color="auto" w:fill="F5F5F5"/>
          </w:tcPr>
          <w:p>
            <w:pPr>
              <w:spacing w:after="0" w:line="20" w:lineRule="exact"/>
              <w:rPr>
                <w:sz w:val="1"/>
                <w:szCs w:val="1"/>
                <w:color w:val="auto"/>
              </w:rPr>
            </w:pPr>
          </w:p>
        </w:tc>
        <w:tc>
          <w:tcPr>
            <w:tcW w:w="420" w:type="dxa"/>
            <w:vAlign w:val="bottom"/>
            <w:tcBorders>
              <w:top w:val="single" w:sz="8" w:color="0000FF"/>
            </w:tcBorders>
            <w:shd w:val="clear" w:color="auto" w:fill="F5F5F5"/>
          </w:tcPr>
          <w:p>
            <w:pPr>
              <w:spacing w:after="0" w:line="20" w:lineRule="exact"/>
              <w:rPr>
                <w:sz w:val="1"/>
                <w:szCs w:val="1"/>
                <w:color w:val="auto"/>
              </w:rPr>
            </w:pPr>
          </w:p>
        </w:tc>
        <w:tc>
          <w:tcPr>
            <w:tcW w:w="60" w:type="dxa"/>
            <w:vAlign w:val="bottom"/>
            <w:tcBorders>
              <w:top w:val="single" w:sz="8" w:color="0000FF"/>
            </w:tcBorders>
            <w:shd w:val="clear" w:color="auto" w:fill="F5F5F5"/>
          </w:tcPr>
          <w:p>
            <w:pPr>
              <w:spacing w:after="0" w:line="20" w:lineRule="exact"/>
              <w:rPr>
                <w:sz w:val="1"/>
                <w:szCs w:val="1"/>
                <w:color w:val="auto"/>
              </w:rPr>
            </w:pPr>
          </w:p>
        </w:tc>
        <w:tc>
          <w:tcPr>
            <w:tcW w:w="740" w:type="dxa"/>
            <w:vAlign w:val="bottom"/>
            <w:tcBorders>
              <w:top w:val="single" w:sz="8" w:color="F5F5F5"/>
            </w:tcBorders>
            <w:shd w:val="clear" w:color="auto" w:fill="F5F5F5"/>
          </w:tcPr>
          <w:p>
            <w:pPr>
              <w:spacing w:after="0" w:line="20" w:lineRule="exact"/>
              <w:rPr>
                <w:sz w:val="1"/>
                <w:szCs w:val="1"/>
                <w:color w:val="auto"/>
              </w:rPr>
            </w:pPr>
          </w:p>
        </w:tc>
        <w:tc>
          <w:tcPr>
            <w:tcW w:w="380" w:type="dxa"/>
            <w:vAlign w:val="bottom"/>
            <w:tcBorders>
              <w:top w:val="single" w:sz="8" w:color="F5F5F5"/>
            </w:tcBorders>
            <w:shd w:val="clear" w:color="auto" w:fill="F5F5F5"/>
          </w:tcPr>
          <w:p>
            <w:pPr>
              <w:spacing w:after="0" w:line="20" w:lineRule="exact"/>
              <w:rPr>
                <w:sz w:val="1"/>
                <w:szCs w:val="1"/>
                <w:color w:val="auto"/>
              </w:rPr>
            </w:pPr>
          </w:p>
        </w:tc>
        <w:tc>
          <w:tcPr>
            <w:tcW w:w="780" w:type="dxa"/>
            <w:vAlign w:val="bottom"/>
            <w:tcBorders>
              <w:top w:val="single" w:sz="8" w:color="F5F5F5"/>
            </w:tcBorders>
            <w:shd w:val="clear" w:color="auto" w:fill="F5F5F5"/>
          </w:tcPr>
          <w:p>
            <w:pPr>
              <w:spacing w:after="0" w:line="20" w:lineRule="exact"/>
              <w:rPr>
                <w:sz w:val="1"/>
                <w:szCs w:val="1"/>
                <w:color w:val="auto"/>
              </w:rPr>
            </w:pPr>
          </w:p>
        </w:tc>
        <w:tc>
          <w:tcPr>
            <w:tcW w:w="130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r>
      <w:tr>
        <w:trPr>
          <w:trHeight w:val="162"/>
        </w:trPr>
        <w:tc>
          <w:tcPr>
            <w:tcW w:w="580" w:type="dxa"/>
            <w:vAlign w:val="bottom"/>
          </w:tcPr>
          <w:p>
            <w:pPr>
              <w:jc w:val="right"/>
              <w:ind w:right="68"/>
              <w:spacing w:after="0"/>
              <w:rPr>
                <w:sz w:val="20"/>
                <w:szCs w:val="20"/>
                <w:color w:val="auto"/>
              </w:rPr>
            </w:pPr>
            <w:r>
              <w:rPr>
                <w:rFonts w:ascii="Arial" w:cs="Arial" w:eastAsia="Arial" w:hAnsi="Arial"/>
                <w:sz w:val="14"/>
                <w:szCs w:val="14"/>
                <w:color w:val="auto"/>
              </w:rPr>
              <w:t>10.32*</w:t>
            </w:r>
          </w:p>
        </w:tc>
        <w:tc>
          <w:tcPr>
            <w:tcW w:w="460" w:type="dxa"/>
            <w:vAlign w:val="bottom"/>
          </w:tcPr>
          <w:p>
            <w:pPr>
              <w:spacing w:after="0"/>
              <w:rPr>
                <w:sz w:val="14"/>
                <w:szCs w:val="14"/>
                <w:color w:val="auto"/>
              </w:rPr>
            </w:pPr>
          </w:p>
        </w:tc>
        <w:tc>
          <w:tcPr>
            <w:tcW w:w="10380" w:type="dxa"/>
            <w:vAlign w:val="bottom"/>
            <w:gridSpan w:val="32"/>
          </w:tcPr>
          <w:p>
            <w:pPr>
              <w:spacing w:after="0"/>
              <w:rPr>
                <w:rFonts w:ascii="Arial" w:cs="Arial" w:eastAsia="Arial" w:hAnsi="Arial"/>
                <w:sz w:val="14"/>
                <w:szCs w:val="14"/>
                <w:color w:val="0000FF"/>
              </w:rPr>
            </w:pPr>
            <w:hyperlink r:id="rId151">
              <w:r>
                <w:rPr>
                  <w:rFonts w:ascii="Arial" w:cs="Arial" w:eastAsia="Arial" w:hAnsi="Arial"/>
                  <w:sz w:val="14"/>
                  <w:szCs w:val="14"/>
                  <w:color w:val="0000FF"/>
                </w:rPr>
                <w:t>Form of Director and Officer Indemnification Agreement, incorporated herein by reference to Exhibit 10.3 to A&amp;F's Quarterly Report on Form 10-Q/A for the</w:t>
              </w:r>
            </w:hyperlink>
          </w:p>
        </w:tc>
      </w:tr>
      <w:tr>
        <w:trPr>
          <w:trHeight w:val="115"/>
        </w:trPr>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0" w:type="dxa"/>
            <w:vAlign w:val="bottom"/>
            <w:tcBorders>
              <w:top w:val="single" w:sz="8" w:color="0000FF"/>
            </w:tcBorders>
            <w:gridSpan w:val="11"/>
          </w:tcPr>
          <w:p>
            <w:pPr>
              <w:spacing w:after="0" w:line="115" w:lineRule="exact"/>
              <w:rPr>
                <w:rFonts w:ascii="Arial" w:cs="Arial" w:eastAsia="Arial" w:hAnsi="Arial"/>
                <w:sz w:val="13"/>
                <w:szCs w:val="13"/>
                <w:color w:val="0000FF"/>
              </w:rPr>
            </w:pPr>
            <w:hyperlink r:id="rId151">
              <w:r>
                <w:rPr>
                  <w:rFonts w:ascii="Arial" w:cs="Arial" w:eastAsia="Arial" w:hAnsi="Arial"/>
                  <w:sz w:val="13"/>
                  <w:szCs w:val="13"/>
                  <w:color w:val="0000FF"/>
                </w:rPr>
                <w:t>quarterly period ended April 29, 2017 (File No. 001-12107).</w:t>
              </w:r>
            </w:hyperlink>
          </w:p>
        </w:tc>
        <w:tc>
          <w:tcPr>
            <w:tcW w:w="88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740" w:type="dxa"/>
            <w:vAlign w:val="bottom"/>
            <w:tcBorders>
              <w:top w:val="single" w:sz="8" w:color="0000FF"/>
            </w:tcBorders>
          </w:tcPr>
          <w:p>
            <w:pPr>
              <w:spacing w:after="0"/>
              <w:rPr>
                <w:sz w:val="10"/>
                <w:szCs w:val="10"/>
                <w:color w:val="auto"/>
              </w:rPr>
            </w:pPr>
          </w:p>
        </w:tc>
        <w:tc>
          <w:tcPr>
            <w:tcW w:w="4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740" w:type="dxa"/>
            <w:vAlign w:val="bottom"/>
            <w:tcBorders>
              <w:top w:val="single" w:sz="8" w:color="0000FF"/>
            </w:tcBorders>
          </w:tcPr>
          <w:p>
            <w:pPr>
              <w:spacing w:after="0"/>
              <w:rPr>
                <w:sz w:val="10"/>
                <w:szCs w:val="10"/>
                <w:color w:val="auto"/>
              </w:rPr>
            </w:pPr>
          </w:p>
        </w:tc>
        <w:tc>
          <w:tcPr>
            <w:tcW w:w="380" w:type="dxa"/>
            <w:vAlign w:val="bottom"/>
            <w:tcBorders>
              <w:top w:val="single" w:sz="8" w:color="0000FF"/>
            </w:tcBorders>
          </w:tcPr>
          <w:p>
            <w:pPr>
              <w:spacing w:after="0"/>
              <w:rPr>
                <w:sz w:val="10"/>
                <w:szCs w:val="10"/>
                <w:color w:val="auto"/>
              </w:rPr>
            </w:pPr>
          </w:p>
        </w:tc>
        <w:tc>
          <w:tcPr>
            <w:tcW w:w="780" w:type="dxa"/>
            <w:vAlign w:val="bottom"/>
            <w:tcBorders>
              <w:top w:val="single" w:sz="8" w:color="0000FF"/>
            </w:tcBorders>
          </w:tcPr>
          <w:p>
            <w:pPr>
              <w:spacing w:after="0"/>
              <w:rPr>
                <w:sz w:val="10"/>
                <w:szCs w:val="10"/>
                <w:color w:val="auto"/>
              </w:rPr>
            </w:pPr>
          </w:p>
        </w:tc>
        <w:tc>
          <w:tcPr>
            <w:tcW w:w="13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580" w:type="dxa"/>
            <w:vAlign w:val="bottom"/>
            <w:shd w:val="clear" w:color="auto" w:fill="F5F5F5"/>
          </w:tcPr>
          <w:p>
            <w:pPr>
              <w:jc w:val="right"/>
              <w:ind w:right="68"/>
              <w:spacing w:after="0"/>
              <w:rPr>
                <w:sz w:val="20"/>
                <w:szCs w:val="20"/>
                <w:color w:val="auto"/>
              </w:rPr>
            </w:pPr>
            <w:r>
              <w:rPr>
                <w:rFonts w:ascii="Arial" w:cs="Arial" w:eastAsia="Arial" w:hAnsi="Arial"/>
                <w:sz w:val="14"/>
                <w:szCs w:val="14"/>
                <w:color w:val="auto"/>
              </w:rPr>
              <w:t>10.33*</w:t>
            </w:r>
          </w:p>
        </w:tc>
        <w:tc>
          <w:tcPr>
            <w:tcW w:w="460" w:type="dxa"/>
            <w:vAlign w:val="bottom"/>
            <w:shd w:val="clear" w:color="auto" w:fill="F5F5F5"/>
          </w:tcPr>
          <w:p>
            <w:pPr>
              <w:spacing w:after="0"/>
              <w:rPr>
                <w:sz w:val="14"/>
                <w:szCs w:val="14"/>
                <w:color w:val="auto"/>
              </w:rPr>
            </w:pPr>
          </w:p>
        </w:tc>
        <w:tc>
          <w:tcPr>
            <w:tcW w:w="10380" w:type="dxa"/>
            <w:vAlign w:val="bottom"/>
            <w:gridSpan w:val="32"/>
            <w:shd w:val="clear" w:color="auto" w:fill="F5F5F5"/>
          </w:tcPr>
          <w:p>
            <w:pPr>
              <w:spacing w:after="0"/>
              <w:rPr>
                <w:rFonts w:ascii="Arial" w:cs="Arial" w:eastAsia="Arial" w:hAnsi="Arial"/>
                <w:sz w:val="14"/>
                <w:szCs w:val="14"/>
                <w:color w:val="0000FF"/>
              </w:rPr>
            </w:pPr>
            <w:hyperlink r:id="rId152">
              <w:r>
                <w:rPr>
                  <w:rFonts w:ascii="Arial" w:cs="Arial" w:eastAsia="Arial" w:hAnsi="Arial"/>
                  <w:sz w:val="14"/>
                  <w:szCs w:val="14"/>
                  <w:color w:val="0000FF"/>
                </w:rPr>
                <w:t>Abercrombie &amp; Fitch Co. 2005 Long-Term Incentive Plan, incorporated herein by reference to Exhibit 10.1 to A&amp;F’s Current Report on Form 8-K dated and filed</w:t>
              </w:r>
            </w:hyperlink>
          </w:p>
        </w:tc>
      </w:tr>
      <w:tr>
        <w:trPr>
          <w:trHeight w:val="115"/>
        </w:trPr>
        <w:tc>
          <w:tcPr>
            <w:tcW w:w="580" w:type="dxa"/>
            <w:vAlign w:val="bottom"/>
            <w:tcBorders>
              <w:top w:val="single" w:sz="8" w:color="F5F5F5"/>
            </w:tcBorders>
            <w:shd w:val="clear" w:color="auto" w:fill="F5F5F5"/>
          </w:tcPr>
          <w:p>
            <w:pPr>
              <w:spacing w:after="0"/>
              <w:rPr>
                <w:sz w:val="10"/>
                <w:szCs w:val="10"/>
                <w:color w:val="auto"/>
              </w:rPr>
            </w:pPr>
          </w:p>
        </w:tc>
        <w:tc>
          <w:tcPr>
            <w:tcW w:w="460" w:type="dxa"/>
            <w:vAlign w:val="bottom"/>
            <w:tcBorders>
              <w:top w:val="single" w:sz="8" w:color="F5F5F5"/>
            </w:tcBorders>
            <w:shd w:val="clear" w:color="auto" w:fill="F5F5F5"/>
          </w:tcPr>
          <w:p>
            <w:pPr>
              <w:spacing w:after="0"/>
              <w:rPr>
                <w:sz w:val="10"/>
                <w:szCs w:val="10"/>
                <w:color w:val="auto"/>
              </w:rPr>
            </w:pPr>
          </w:p>
        </w:tc>
        <w:tc>
          <w:tcPr>
            <w:tcW w:w="4200" w:type="dxa"/>
            <w:vAlign w:val="bottom"/>
            <w:tcBorders>
              <w:top w:val="single" w:sz="8" w:color="0000FF"/>
            </w:tcBorders>
            <w:gridSpan w:val="11"/>
            <w:shd w:val="clear" w:color="auto" w:fill="F5F5F5"/>
          </w:tcPr>
          <w:p>
            <w:pPr>
              <w:spacing w:after="0" w:line="115" w:lineRule="exact"/>
              <w:rPr>
                <w:rFonts w:ascii="Arial" w:cs="Arial" w:eastAsia="Arial" w:hAnsi="Arial"/>
                <w:sz w:val="13"/>
                <w:szCs w:val="13"/>
                <w:color w:val="0000FF"/>
              </w:rPr>
            </w:pPr>
            <w:hyperlink r:id="rId152">
              <w:r>
                <w:rPr>
                  <w:rFonts w:ascii="Arial" w:cs="Arial" w:eastAsia="Arial" w:hAnsi="Arial"/>
                  <w:sz w:val="13"/>
                  <w:szCs w:val="13"/>
                  <w:color w:val="0000FF"/>
                </w:rPr>
                <w:t>June 17, 2005 (File No. 001-12107).</w:t>
              </w:r>
            </w:hyperlink>
          </w:p>
        </w:tc>
        <w:tc>
          <w:tcPr>
            <w:tcW w:w="880" w:type="dxa"/>
            <w:vAlign w:val="bottom"/>
            <w:tcBorders>
              <w:top w:val="single" w:sz="8" w:color="0000FF"/>
            </w:tcBorders>
            <w:shd w:val="clear" w:color="auto" w:fill="F5F5F5"/>
          </w:tcPr>
          <w:p>
            <w:pPr>
              <w:spacing w:after="0"/>
              <w:rPr>
                <w:sz w:val="10"/>
                <w:szCs w:val="10"/>
                <w:color w:val="auto"/>
              </w:rPr>
            </w:pPr>
          </w:p>
        </w:tc>
        <w:tc>
          <w:tcPr>
            <w:tcW w:w="160" w:type="dxa"/>
            <w:vAlign w:val="bottom"/>
            <w:tcBorders>
              <w:top w:val="single" w:sz="8" w:color="0000FF"/>
            </w:tcBorders>
            <w:shd w:val="clear" w:color="auto" w:fill="F5F5F5"/>
          </w:tcPr>
          <w:p>
            <w:pPr>
              <w:spacing w:after="0"/>
              <w:rPr>
                <w:sz w:val="10"/>
                <w:szCs w:val="10"/>
                <w:color w:val="auto"/>
              </w:rPr>
            </w:pPr>
          </w:p>
        </w:tc>
        <w:tc>
          <w:tcPr>
            <w:tcW w:w="500" w:type="dxa"/>
            <w:vAlign w:val="bottom"/>
            <w:tcBorders>
              <w:top w:val="single" w:sz="8" w:color="0000FF"/>
            </w:tcBorders>
            <w:shd w:val="clear" w:color="auto" w:fill="F5F5F5"/>
          </w:tcPr>
          <w:p>
            <w:pPr>
              <w:spacing w:after="0"/>
              <w:rPr>
                <w:sz w:val="10"/>
                <w:szCs w:val="10"/>
                <w:color w:val="auto"/>
              </w:rPr>
            </w:pPr>
          </w:p>
        </w:tc>
        <w:tc>
          <w:tcPr>
            <w:tcW w:w="740" w:type="dxa"/>
            <w:vAlign w:val="bottom"/>
            <w:tcBorders>
              <w:top w:val="single" w:sz="8" w:color="0000FF"/>
            </w:tcBorders>
            <w:shd w:val="clear" w:color="auto" w:fill="F5F5F5"/>
          </w:tcPr>
          <w:p>
            <w:pPr>
              <w:spacing w:after="0"/>
              <w:rPr>
                <w:sz w:val="10"/>
                <w:szCs w:val="10"/>
                <w:color w:val="auto"/>
              </w:rPr>
            </w:pPr>
          </w:p>
        </w:tc>
        <w:tc>
          <w:tcPr>
            <w:tcW w:w="420" w:type="dxa"/>
            <w:vAlign w:val="bottom"/>
            <w:tcBorders>
              <w:top w:val="single" w:sz="8" w:color="0000FF"/>
            </w:tcBorders>
            <w:shd w:val="clear" w:color="auto" w:fill="F5F5F5"/>
          </w:tcPr>
          <w:p>
            <w:pPr>
              <w:spacing w:after="0"/>
              <w:rPr>
                <w:sz w:val="10"/>
                <w:szCs w:val="10"/>
                <w:color w:val="auto"/>
              </w:rPr>
            </w:pPr>
          </w:p>
        </w:tc>
        <w:tc>
          <w:tcPr>
            <w:tcW w:w="60" w:type="dxa"/>
            <w:vAlign w:val="bottom"/>
            <w:tcBorders>
              <w:top w:val="single" w:sz="8" w:color="0000FF"/>
            </w:tcBorders>
            <w:shd w:val="clear" w:color="auto" w:fill="F5F5F5"/>
          </w:tcPr>
          <w:p>
            <w:pPr>
              <w:spacing w:after="0"/>
              <w:rPr>
                <w:sz w:val="10"/>
                <w:szCs w:val="10"/>
                <w:color w:val="auto"/>
              </w:rPr>
            </w:pPr>
          </w:p>
        </w:tc>
        <w:tc>
          <w:tcPr>
            <w:tcW w:w="740" w:type="dxa"/>
            <w:vAlign w:val="bottom"/>
            <w:tcBorders>
              <w:top w:val="single" w:sz="8" w:color="0000FF"/>
            </w:tcBorders>
            <w:shd w:val="clear" w:color="auto" w:fill="F5F5F5"/>
          </w:tcPr>
          <w:p>
            <w:pPr>
              <w:spacing w:after="0"/>
              <w:rPr>
                <w:sz w:val="10"/>
                <w:szCs w:val="10"/>
                <w:color w:val="auto"/>
              </w:rPr>
            </w:pPr>
          </w:p>
        </w:tc>
        <w:tc>
          <w:tcPr>
            <w:tcW w:w="380" w:type="dxa"/>
            <w:vAlign w:val="bottom"/>
            <w:tcBorders>
              <w:top w:val="single" w:sz="8" w:color="0000FF"/>
            </w:tcBorders>
            <w:shd w:val="clear" w:color="auto" w:fill="F5F5F5"/>
          </w:tcPr>
          <w:p>
            <w:pPr>
              <w:spacing w:after="0"/>
              <w:rPr>
                <w:sz w:val="10"/>
                <w:szCs w:val="10"/>
                <w:color w:val="auto"/>
              </w:rPr>
            </w:pPr>
          </w:p>
        </w:tc>
        <w:tc>
          <w:tcPr>
            <w:tcW w:w="780" w:type="dxa"/>
            <w:vAlign w:val="bottom"/>
            <w:tcBorders>
              <w:top w:val="single" w:sz="8" w:color="0000FF"/>
            </w:tcBorders>
            <w:shd w:val="clear" w:color="auto" w:fill="F5F5F5"/>
          </w:tcPr>
          <w:p>
            <w:pPr>
              <w:spacing w:after="0"/>
              <w:rPr>
                <w:sz w:val="10"/>
                <w:szCs w:val="10"/>
                <w:color w:val="auto"/>
              </w:rPr>
            </w:pPr>
          </w:p>
        </w:tc>
        <w:tc>
          <w:tcPr>
            <w:tcW w:w="1300" w:type="dxa"/>
            <w:vAlign w:val="bottom"/>
            <w:tcBorders>
              <w:top w:val="single" w:sz="8" w:color="0000FF"/>
            </w:tcBorders>
            <w:shd w:val="clear" w:color="auto" w:fill="F5F5F5"/>
          </w:tcPr>
          <w:p>
            <w:pPr>
              <w:spacing w:after="0"/>
              <w:rPr>
                <w:sz w:val="10"/>
                <w:szCs w:val="10"/>
                <w:color w:val="auto"/>
              </w:rPr>
            </w:pPr>
          </w:p>
        </w:tc>
        <w:tc>
          <w:tcPr>
            <w:tcW w:w="20" w:type="dxa"/>
            <w:vAlign w:val="bottom"/>
            <w:tcBorders>
              <w:top w:val="single" w:sz="8" w:color="0000FF"/>
            </w:tcBorders>
            <w:shd w:val="clear" w:color="auto" w:fill="F5F5F5"/>
          </w:tcPr>
          <w:p>
            <w:pPr>
              <w:spacing w:after="0"/>
              <w:rPr>
                <w:sz w:val="10"/>
                <w:szCs w:val="10"/>
                <w:color w:val="auto"/>
              </w:rPr>
            </w:pPr>
          </w:p>
        </w:tc>
        <w:tc>
          <w:tcPr>
            <w:tcW w:w="20" w:type="dxa"/>
            <w:vAlign w:val="bottom"/>
            <w:tcBorders>
              <w:top w:val="single" w:sz="8" w:color="0000FF"/>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r>
      <w:tr>
        <w:trPr>
          <w:trHeight w:val="20"/>
        </w:trPr>
        <w:tc>
          <w:tcPr>
            <w:tcW w:w="580" w:type="dxa"/>
            <w:vAlign w:val="bottom"/>
            <w:tcBorders>
              <w:top w:val="single" w:sz="8" w:color="F5F5F5"/>
            </w:tcBorders>
            <w:shd w:val="clear" w:color="auto" w:fill="F5F5F5"/>
          </w:tcPr>
          <w:p>
            <w:pPr>
              <w:spacing w:after="0" w:line="20" w:lineRule="exact"/>
              <w:rPr>
                <w:sz w:val="1"/>
                <w:szCs w:val="1"/>
                <w:color w:val="auto"/>
              </w:rPr>
            </w:pPr>
          </w:p>
        </w:tc>
        <w:tc>
          <w:tcPr>
            <w:tcW w:w="460" w:type="dxa"/>
            <w:vAlign w:val="bottom"/>
            <w:tcBorders>
              <w:top w:val="single" w:sz="8" w:color="F5F5F5"/>
            </w:tcBorders>
            <w:shd w:val="clear" w:color="auto" w:fill="F5F5F5"/>
          </w:tcPr>
          <w:p>
            <w:pPr>
              <w:spacing w:after="0" w:line="20" w:lineRule="exact"/>
              <w:rPr>
                <w:sz w:val="1"/>
                <w:szCs w:val="1"/>
                <w:color w:val="auto"/>
              </w:rPr>
            </w:pPr>
          </w:p>
        </w:tc>
        <w:tc>
          <w:tcPr>
            <w:tcW w:w="480" w:type="dxa"/>
            <w:vAlign w:val="bottom"/>
            <w:tcBorders>
              <w:top w:val="single" w:sz="8" w:color="0000FF"/>
            </w:tcBorders>
            <w:shd w:val="clear" w:color="auto" w:fill="F5F5F5"/>
          </w:tcPr>
          <w:p>
            <w:pPr>
              <w:spacing w:after="0" w:line="20" w:lineRule="exact"/>
              <w:rPr>
                <w:sz w:val="1"/>
                <w:szCs w:val="1"/>
                <w:color w:val="auto"/>
              </w:rPr>
            </w:pPr>
          </w:p>
        </w:tc>
        <w:tc>
          <w:tcPr>
            <w:tcW w:w="300" w:type="dxa"/>
            <w:vAlign w:val="bottom"/>
            <w:tcBorders>
              <w:top w:val="single" w:sz="8" w:color="0000FF"/>
            </w:tcBorders>
            <w:shd w:val="clear" w:color="auto" w:fill="F5F5F5"/>
          </w:tcPr>
          <w:p>
            <w:pPr>
              <w:spacing w:after="0" w:line="20" w:lineRule="exact"/>
              <w:rPr>
                <w:sz w:val="1"/>
                <w:szCs w:val="1"/>
                <w:color w:val="auto"/>
              </w:rPr>
            </w:pPr>
          </w:p>
        </w:tc>
        <w:tc>
          <w:tcPr>
            <w:tcW w:w="1180" w:type="dxa"/>
            <w:vAlign w:val="bottom"/>
            <w:tcBorders>
              <w:top w:val="single" w:sz="8" w:color="0000FF"/>
            </w:tcBorders>
            <w:shd w:val="clear" w:color="auto" w:fill="F5F5F5"/>
          </w:tcPr>
          <w:p>
            <w:pPr>
              <w:spacing w:after="0" w:line="20" w:lineRule="exact"/>
              <w:rPr>
                <w:sz w:val="1"/>
                <w:szCs w:val="1"/>
                <w:color w:val="auto"/>
              </w:rPr>
            </w:pPr>
          </w:p>
        </w:tc>
        <w:tc>
          <w:tcPr>
            <w:tcW w:w="340" w:type="dxa"/>
            <w:vAlign w:val="bottom"/>
            <w:tcBorders>
              <w:top w:val="single" w:sz="8" w:color="0000FF"/>
            </w:tcBorders>
            <w:shd w:val="clear" w:color="auto" w:fill="F5F5F5"/>
          </w:tcPr>
          <w:p>
            <w:pPr>
              <w:spacing w:after="0" w:line="20" w:lineRule="exact"/>
              <w:rPr>
                <w:sz w:val="1"/>
                <w:szCs w:val="1"/>
                <w:color w:val="auto"/>
              </w:rPr>
            </w:pPr>
          </w:p>
        </w:tc>
        <w:tc>
          <w:tcPr>
            <w:tcW w:w="400" w:type="dxa"/>
            <w:vAlign w:val="bottom"/>
            <w:tcBorders>
              <w:top w:val="single" w:sz="8" w:color="F5F5F5"/>
            </w:tcBorders>
            <w:shd w:val="clear" w:color="auto" w:fill="F5F5F5"/>
          </w:tcPr>
          <w:p>
            <w:pPr>
              <w:spacing w:after="0" w:line="20" w:lineRule="exact"/>
              <w:rPr>
                <w:sz w:val="1"/>
                <w:szCs w:val="1"/>
                <w:color w:val="auto"/>
              </w:rPr>
            </w:pPr>
          </w:p>
        </w:tc>
        <w:tc>
          <w:tcPr>
            <w:tcW w:w="560" w:type="dxa"/>
            <w:vAlign w:val="bottom"/>
            <w:tcBorders>
              <w:top w:val="single" w:sz="8" w:color="F5F5F5"/>
            </w:tcBorders>
            <w:shd w:val="clear" w:color="auto" w:fill="F5F5F5"/>
          </w:tcPr>
          <w:p>
            <w:pPr>
              <w:spacing w:after="0" w:line="20" w:lineRule="exact"/>
              <w:rPr>
                <w:sz w:val="1"/>
                <w:szCs w:val="1"/>
                <w:color w:val="auto"/>
              </w:rPr>
            </w:pPr>
          </w:p>
        </w:tc>
        <w:tc>
          <w:tcPr>
            <w:tcW w:w="48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100" w:type="dxa"/>
            <w:vAlign w:val="bottom"/>
            <w:tcBorders>
              <w:top w:val="single" w:sz="8" w:color="F5F5F5"/>
            </w:tcBorders>
            <w:shd w:val="clear" w:color="auto" w:fill="F5F5F5"/>
          </w:tcPr>
          <w:p>
            <w:pPr>
              <w:spacing w:after="0" w:line="20" w:lineRule="exact"/>
              <w:rPr>
                <w:sz w:val="1"/>
                <w:szCs w:val="1"/>
                <w:color w:val="auto"/>
              </w:rPr>
            </w:pPr>
          </w:p>
        </w:tc>
        <w:tc>
          <w:tcPr>
            <w:tcW w:w="60" w:type="dxa"/>
            <w:vAlign w:val="bottom"/>
            <w:tcBorders>
              <w:top w:val="single" w:sz="8" w:color="F5F5F5"/>
            </w:tcBorders>
            <w:shd w:val="clear" w:color="auto" w:fill="F5F5F5"/>
          </w:tcPr>
          <w:p>
            <w:pPr>
              <w:spacing w:after="0" w:line="20" w:lineRule="exact"/>
              <w:rPr>
                <w:sz w:val="1"/>
                <w:szCs w:val="1"/>
                <w:color w:val="auto"/>
              </w:rPr>
            </w:pPr>
          </w:p>
        </w:tc>
        <w:tc>
          <w:tcPr>
            <w:tcW w:w="280" w:type="dxa"/>
            <w:vAlign w:val="bottom"/>
            <w:tcBorders>
              <w:top w:val="single" w:sz="8" w:color="F5F5F5"/>
            </w:tcBorders>
            <w:shd w:val="clear" w:color="auto" w:fill="F5F5F5"/>
          </w:tcPr>
          <w:p>
            <w:pPr>
              <w:spacing w:after="0" w:line="20" w:lineRule="exact"/>
              <w:rPr>
                <w:sz w:val="1"/>
                <w:szCs w:val="1"/>
                <w:color w:val="auto"/>
              </w:rPr>
            </w:pPr>
          </w:p>
        </w:tc>
        <w:tc>
          <w:tcPr>
            <w:tcW w:w="880" w:type="dxa"/>
            <w:vAlign w:val="bottom"/>
            <w:tcBorders>
              <w:top w:val="single" w:sz="8" w:color="F5F5F5"/>
            </w:tcBorders>
            <w:shd w:val="clear" w:color="auto" w:fill="F5F5F5"/>
          </w:tcPr>
          <w:p>
            <w:pPr>
              <w:spacing w:after="0" w:line="20" w:lineRule="exact"/>
              <w:rPr>
                <w:sz w:val="1"/>
                <w:szCs w:val="1"/>
                <w:color w:val="auto"/>
              </w:rPr>
            </w:pPr>
          </w:p>
        </w:tc>
        <w:tc>
          <w:tcPr>
            <w:tcW w:w="160" w:type="dxa"/>
            <w:vAlign w:val="bottom"/>
            <w:tcBorders>
              <w:top w:val="single" w:sz="8" w:color="F5F5F5"/>
            </w:tcBorders>
            <w:shd w:val="clear" w:color="auto" w:fill="F5F5F5"/>
          </w:tcPr>
          <w:p>
            <w:pPr>
              <w:spacing w:after="0" w:line="20" w:lineRule="exact"/>
              <w:rPr>
                <w:sz w:val="1"/>
                <w:szCs w:val="1"/>
                <w:color w:val="auto"/>
              </w:rPr>
            </w:pPr>
          </w:p>
        </w:tc>
        <w:tc>
          <w:tcPr>
            <w:tcW w:w="500" w:type="dxa"/>
            <w:vAlign w:val="bottom"/>
            <w:tcBorders>
              <w:top w:val="single" w:sz="8" w:color="F5F5F5"/>
            </w:tcBorders>
            <w:shd w:val="clear" w:color="auto" w:fill="F5F5F5"/>
          </w:tcPr>
          <w:p>
            <w:pPr>
              <w:spacing w:after="0" w:line="20" w:lineRule="exact"/>
              <w:rPr>
                <w:sz w:val="1"/>
                <w:szCs w:val="1"/>
                <w:color w:val="auto"/>
              </w:rPr>
            </w:pPr>
          </w:p>
        </w:tc>
        <w:tc>
          <w:tcPr>
            <w:tcW w:w="740" w:type="dxa"/>
            <w:vAlign w:val="bottom"/>
            <w:tcBorders>
              <w:top w:val="single" w:sz="8" w:color="F5F5F5"/>
            </w:tcBorders>
            <w:shd w:val="clear" w:color="auto" w:fill="F5F5F5"/>
          </w:tcPr>
          <w:p>
            <w:pPr>
              <w:spacing w:after="0" w:line="20" w:lineRule="exact"/>
              <w:rPr>
                <w:sz w:val="1"/>
                <w:szCs w:val="1"/>
                <w:color w:val="auto"/>
              </w:rPr>
            </w:pPr>
          </w:p>
        </w:tc>
        <w:tc>
          <w:tcPr>
            <w:tcW w:w="420" w:type="dxa"/>
            <w:vAlign w:val="bottom"/>
            <w:tcBorders>
              <w:top w:val="single" w:sz="8" w:color="F5F5F5"/>
            </w:tcBorders>
            <w:shd w:val="clear" w:color="auto" w:fill="F5F5F5"/>
          </w:tcPr>
          <w:p>
            <w:pPr>
              <w:spacing w:after="0" w:line="20" w:lineRule="exact"/>
              <w:rPr>
                <w:sz w:val="1"/>
                <w:szCs w:val="1"/>
                <w:color w:val="auto"/>
              </w:rPr>
            </w:pPr>
          </w:p>
        </w:tc>
        <w:tc>
          <w:tcPr>
            <w:tcW w:w="60" w:type="dxa"/>
            <w:vAlign w:val="bottom"/>
            <w:tcBorders>
              <w:top w:val="single" w:sz="8" w:color="F5F5F5"/>
            </w:tcBorders>
            <w:shd w:val="clear" w:color="auto" w:fill="F5F5F5"/>
          </w:tcPr>
          <w:p>
            <w:pPr>
              <w:spacing w:after="0" w:line="20" w:lineRule="exact"/>
              <w:rPr>
                <w:sz w:val="1"/>
                <w:szCs w:val="1"/>
                <w:color w:val="auto"/>
              </w:rPr>
            </w:pPr>
          </w:p>
        </w:tc>
        <w:tc>
          <w:tcPr>
            <w:tcW w:w="740" w:type="dxa"/>
            <w:vAlign w:val="bottom"/>
            <w:tcBorders>
              <w:top w:val="single" w:sz="8" w:color="F5F5F5"/>
            </w:tcBorders>
            <w:shd w:val="clear" w:color="auto" w:fill="F5F5F5"/>
          </w:tcPr>
          <w:p>
            <w:pPr>
              <w:spacing w:after="0" w:line="20" w:lineRule="exact"/>
              <w:rPr>
                <w:sz w:val="1"/>
                <w:szCs w:val="1"/>
                <w:color w:val="auto"/>
              </w:rPr>
            </w:pPr>
          </w:p>
        </w:tc>
        <w:tc>
          <w:tcPr>
            <w:tcW w:w="380" w:type="dxa"/>
            <w:vAlign w:val="bottom"/>
            <w:tcBorders>
              <w:top w:val="single" w:sz="8" w:color="F5F5F5"/>
            </w:tcBorders>
            <w:shd w:val="clear" w:color="auto" w:fill="F5F5F5"/>
          </w:tcPr>
          <w:p>
            <w:pPr>
              <w:spacing w:after="0" w:line="20" w:lineRule="exact"/>
              <w:rPr>
                <w:sz w:val="1"/>
                <w:szCs w:val="1"/>
                <w:color w:val="auto"/>
              </w:rPr>
            </w:pPr>
          </w:p>
        </w:tc>
        <w:tc>
          <w:tcPr>
            <w:tcW w:w="780" w:type="dxa"/>
            <w:vAlign w:val="bottom"/>
            <w:tcBorders>
              <w:top w:val="single" w:sz="8" w:color="F5F5F5"/>
            </w:tcBorders>
            <w:shd w:val="clear" w:color="auto" w:fill="F5F5F5"/>
          </w:tcPr>
          <w:p>
            <w:pPr>
              <w:spacing w:after="0" w:line="20" w:lineRule="exact"/>
              <w:rPr>
                <w:sz w:val="1"/>
                <w:szCs w:val="1"/>
                <w:color w:val="auto"/>
              </w:rPr>
            </w:pPr>
          </w:p>
        </w:tc>
        <w:tc>
          <w:tcPr>
            <w:tcW w:w="130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r>
      <w:tr>
        <w:trPr>
          <w:trHeight w:val="162"/>
        </w:trPr>
        <w:tc>
          <w:tcPr>
            <w:tcW w:w="580" w:type="dxa"/>
            <w:vAlign w:val="bottom"/>
          </w:tcPr>
          <w:p>
            <w:pPr>
              <w:jc w:val="right"/>
              <w:ind w:right="68"/>
              <w:spacing w:after="0"/>
              <w:rPr>
                <w:sz w:val="20"/>
                <w:szCs w:val="20"/>
                <w:color w:val="auto"/>
              </w:rPr>
            </w:pPr>
            <w:r>
              <w:rPr>
                <w:rFonts w:ascii="Arial" w:cs="Arial" w:eastAsia="Arial" w:hAnsi="Arial"/>
                <w:sz w:val="14"/>
                <w:szCs w:val="14"/>
                <w:color w:val="auto"/>
              </w:rPr>
              <w:t>10.34*</w:t>
            </w:r>
          </w:p>
        </w:tc>
        <w:tc>
          <w:tcPr>
            <w:tcW w:w="460" w:type="dxa"/>
            <w:vAlign w:val="bottom"/>
          </w:tcPr>
          <w:p>
            <w:pPr>
              <w:spacing w:after="0"/>
              <w:rPr>
                <w:sz w:val="14"/>
                <w:szCs w:val="14"/>
                <w:color w:val="auto"/>
              </w:rPr>
            </w:pPr>
          </w:p>
        </w:tc>
        <w:tc>
          <w:tcPr>
            <w:tcW w:w="10380" w:type="dxa"/>
            <w:vAlign w:val="bottom"/>
            <w:gridSpan w:val="32"/>
          </w:tcPr>
          <w:p>
            <w:pPr>
              <w:spacing w:after="0"/>
              <w:rPr>
                <w:rFonts w:ascii="Arial" w:cs="Arial" w:eastAsia="Arial" w:hAnsi="Arial"/>
                <w:sz w:val="14"/>
                <w:szCs w:val="14"/>
                <w:color w:val="0000FF"/>
              </w:rPr>
            </w:pPr>
            <w:hyperlink r:id="rId153">
              <w:r>
                <w:rPr>
                  <w:rFonts w:ascii="Arial" w:cs="Arial" w:eastAsia="Arial" w:hAnsi="Arial"/>
                  <w:sz w:val="14"/>
                  <w:szCs w:val="14"/>
                  <w:color w:val="0000FF"/>
                </w:rPr>
                <w:t>Certificate regarding Approval of Amendment of Section 3(b) of the Abercrombie &amp; Fitch Co. 2005 Long-Term Incentive Plan by Board of Directors of</w:t>
              </w:r>
            </w:hyperlink>
          </w:p>
        </w:tc>
      </w:tr>
      <w:tr>
        <w:trPr>
          <w:trHeight w:val="115"/>
        </w:trPr>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220" w:type="dxa"/>
            <w:vAlign w:val="bottom"/>
            <w:tcBorders>
              <w:top w:val="single" w:sz="8" w:color="0000FF"/>
              <w:bottom w:val="single" w:sz="8" w:color="0000FF"/>
            </w:tcBorders>
            <w:gridSpan w:val="24"/>
          </w:tcPr>
          <w:p>
            <w:pPr>
              <w:spacing w:after="0" w:line="115" w:lineRule="exact"/>
              <w:rPr>
                <w:rFonts w:ascii="Arial" w:cs="Arial" w:eastAsia="Arial" w:hAnsi="Arial"/>
                <w:sz w:val="13"/>
                <w:szCs w:val="13"/>
                <w:color w:val="0000FF"/>
              </w:rPr>
            </w:pPr>
            <w:hyperlink r:id="rId153">
              <w:r>
                <w:rPr>
                  <w:rFonts w:ascii="Arial" w:cs="Arial" w:eastAsia="Arial" w:hAnsi="Arial"/>
                  <w:sz w:val="13"/>
                  <w:szCs w:val="13"/>
                  <w:color w:val="0000FF"/>
                </w:rPr>
                <w:t>Abercrombie &amp; Fitch Co. on August 20, 2014, incorporated herein by reference to Exhibit 10.11 to A&amp;F’s Quarterly Report on Form 10-Q for the quarterly period</w:t>
              </w:r>
            </w:hyperlink>
          </w:p>
        </w:tc>
        <w:tc>
          <w:tcPr>
            <w:tcW w:w="40" w:type="dxa"/>
            <w:vAlign w:val="bottom"/>
            <w:tcBorders>
              <w:bottom w:val="single" w:sz="8" w:color="0000FF"/>
            </w:tcBorders>
            <w:gridSpan w:val="2"/>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r>
      <w:tr>
        <w:trPr>
          <w:trHeight w:val="128"/>
        </w:trPr>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0" w:type="dxa"/>
            <w:vAlign w:val="bottom"/>
            <w:gridSpan w:val="11"/>
          </w:tcPr>
          <w:p>
            <w:pPr>
              <w:spacing w:after="0" w:line="129" w:lineRule="exact"/>
              <w:rPr>
                <w:rFonts w:ascii="Arial" w:cs="Arial" w:eastAsia="Arial" w:hAnsi="Arial"/>
                <w:sz w:val="14"/>
                <w:szCs w:val="14"/>
                <w:color w:val="0000FF"/>
              </w:rPr>
            </w:pPr>
            <w:hyperlink r:id="rId153">
              <w:r>
                <w:rPr>
                  <w:rFonts w:ascii="Arial" w:cs="Arial" w:eastAsia="Arial" w:hAnsi="Arial"/>
                  <w:sz w:val="14"/>
                  <w:szCs w:val="14"/>
                  <w:color w:val="0000FF"/>
                </w:rPr>
                <w:t>ended July 30, 2016 (File No. 001-12107).</w:t>
              </w:r>
            </w:hyperlink>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580" w:type="dxa"/>
            <w:vAlign w:val="bottom"/>
            <w:shd w:val="clear" w:color="auto" w:fill="F5F5F5"/>
          </w:tcPr>
          <w:p>
            <w:pPr>
              <w:jc w:val="right"/>
              <w:ind w:right="68"/>
              <w:spacing w:after="0"/>
              <w:rPr>
                <w:sz w:val="20"/>
                <w:szCs w:val="20"/>
                <w:color w:val="auto"/>
              </w:rPr>
            </w:pPr>
            <w:r>
              <w:rPr>
                <w:rFonts w:ascii="Arial" w:cs="Arial" w:eastAsia="Arial" w:hAnsi="Arial"/>
                <w:sz w:val="14"/>
                <w:szCs w:val="14"/>
                <w:color w:val="auto"/>
              </w:rPr>
              <w:t>10.35*</w:t>
            </w:r>
          </w:p>
        </w:tc>
        <w:tc>
          <w:tcPr>
            <w:tcW w:w="460" w:type="dxa"/>
            <w:vAlign w:val="bottom"/>
            <w:shd w:val="clear" w:color="auto" w:fill="F5F5F5"/>
          </w:tcPr>
          <w:p>
            <w:pPr>
              <w:spacing w:after="0"/>
              <w:rPr>
                <w:sz w:val="14"/>
                <w:szCs w:val="14"/>
                <w:color w:val="auto"/>
              </w:rPr>
            </w:pPr>
          </w:p>
        </w:tc>
        <w:tc>
          <w:tcPr>
            <w:tcW w:w="10380" w:type="dxa"/>
            <w:vAlign w:val="bottom"/>
            <w:gridSpan w:val="32"/>
            <w:shd w:val="clear" w:color="auto" w:fill="F5F5F5"/>
          </w:tcPr>
          <w:p>
            <w:pPr>
              <w:spacing w:after="0"/>
              <w:rPr>
                <w:rFonts w:ascii="Arial" w:cs="Arial" w:eastAsia="Arial" w:hAnsi="Arial"/>
                <w:sz w:val="14"/>
                <w:szCs w:val="14"/>
                <w:color w:val="0000FF"/>
              </w:rPr>
            </w:pPr>
            <w:hyperlink r:id="rId154">
              <w:r>
                <w:rPr>
                  <w:rFonts w:ascii="Arial" w:cs="Arial" w:eastAsia="Arial" w:hAnsi="Arial"/>
                  <w:sz w:val="14"/>
                  <w:szCs w:val="14"/>
                  <w:color w:val="0000FF"/>
                </w:rPr>
                <w:t>Amended and Restated Abercrombie &amp; Fitch Co. 2007 Long-Term Incentive Plan, incorporated herein by reference to Exhibit 10.1 to A&amp;F’s Current Report on</w:t>
              </w:r>
            </w:hyperlink>
          </w:p>
        </w:tc>
      </w:tr>
      <w:tr>
        <w:trPr>
          <w:trHeight w:val="115"/>
        </w:trPr>
        <w:tc>
          <w:tcPr>
            <w:tcW w:w="580" w:type="dxa"/>
            <w:vAlign w:val="bottom"/>
            <w:tcBorders>
              <w:top w:val="single" w:sz="8" w:color="F5F5F5"/>
            </w:tcBorders>
            <w:shd w:val="clear" w:color="auto" w:fill="F5F5F5"/>
          </w:tcPr>
          <w:p>
            <w:pPr>
              <w:spacing w:after="0"/>
              <w:rPr>
                <w:sz w:val="10"/>
                <w:szCs w:val="10"/>
                <w:color w:val="auto"/>
              </w:rPr>
            </w:pPr>
          </w:p>
        </w:tc>
        <w:tc>
          <w:tcPr>
            <w:tcW w:w="460" w:type="dxa"/>
            <w:vAlign w:val="bottom"/>
            <w:tcBorders>
              <w:top w:val="single" w:sz="8" w:color="F5F5F5"/>
            </w:tcBorders>
            <w:shd w:val="clear" w:color="auto" w:fill="F5F5F5"/>
          </w:tcPr>
          <w:p>
            <w:pPr>
              <w:spacing w:after="0"/>
              <w:rPr>
                <w:sz w:val="10"/>
                <w:szCs w:val="10"/>
                <w:color w:val="auto"/>
              </w:rPr>
            </w:pPr>
          </w:p>
        </w:tc>
        <w:tc>
          <w:tcPr>
            <w:tcW w:w="4200" w:type="dxa"/>
            <w:vAlign w:val="bottom"/>
            <w:tcBorders>
              <w:top w:val="single" w:sz="8" w:color="0000FF"/>
            </w:tcBorders>
            <w:gridSpan w:val="11"/>
            <w:shd w:val="clear" w:color="auto" w:fill="F5F5F5"/>
          </w:tcPr>
          <w:p>
            <w:pPr>
              <w:spacing w:after="0" w:line="115" w:lineRule="exact"/>
              <w:rPr>
                <w:rFonts w:ascii="Arial" w:cs="Arial" w:eastAsia="Arial" w:hAnsi="Arial"/>
                <w:sz w:val="13"/>
                <w:szCs w:val="13"/>
                <w:color w:val="0000FF"/>
              </w:rPr>
            </w:pPr>
            <w:hyperlink r:id="rId154">
              <w:r>
                <w:rPr>
                  <w:rFonts w:ascii="Arial" w:cs="Arial" w:eastAsia="Arial" w:hAnsi="Arial"/>
                  <w:sz w:val="13"/>
                  <w:szCs w:val="13"/>
                  <w:color w:val="0000FF"/>
                </w:rPr>
                <w:t>Form 8-K dated and filed June 17, 2011 (File No. 001-12107).</w:t>
              </w:r>
            </w:hyperlink>
          </w:p>
        </w:tc>
        <w:tc>
          <w:tcPr>
            <w:tcW w:w="880" w:type="dxa"/>
            <w:vAlign w:val="bottom"/>
            <w:tcBorders>
              <w:top w:val="single" w:sz="8" w:color="0000FF"/>
            </w:tcBorders>
            <w:shd w:val="clear" w:color="auto" w:fill="F5F5F5"/>
          </w:tcPr>
          <w:p>
            <w:pPr>
              <w:spacing w:after="0"/>
              <w:rPr>
                <w:sz w:val="10"/>
                <w:szCs w:val="10"/>
                <w:color w:val="auto"/>
              </w:rPr>
            </w:pPr>
          </w:p>
        </w:tc>
        <w:tc>
          <w:tcPr>
            <w:tcW w:w="160" w:type="dxa"/>
            <w:vAlign w:val="bottom"/>
            <w:tcBorders>
              <w:top w:val="single" w:sz="8" w:color="0000FF"/>
            </w:tcBorders>
            <w:shd w:val="clear" w:color="auto" w:fill="F5F5F5"/>
          </w:tcPr>
          <w:p>
            <w:pPr>
              <w:spacing w:after="0"/>
              <w:rPr>
                <w:sz w:val="10"/>
                <w:szCs w:val="10"/>
                <w:color w:val="auto"/>
              </w:rPr>
            </w:pPr>
          </w:p>
        </w:tc>
        <w:tc>
          <w:tcPr>
            <w:tcW w:w="500" w:type="dxa"/>
            <w:vAlign w:val="bottom"/>
            <w:tcBorders>
              <w:top w:val="single" w:sz="8" w:color="0000FF"/>
            </w:tcBorders>
            <w:shd w:val="clear" w:color="auto" w:fill="F5F5F5"/>
          </w:tcPr>
          <w:p>
            <w:pPr>
              <w:spacing w:after="0"/>
              <w:rPr>
                <w:sz w:val="10"/>
                <w:szCs w:val="10"/>
                <w:color w:val="auto"/>
              </w:rPr>
            </w:pPr>
          </w:p>
        </w:tc>
        <w:tc>
          <w:tcPr>
            <w:tcW w:w="740" w:type="dxa"/>
            <w:vAlign w:val="bottom"/>
            <w:tcBorders>
              <w:top w:val="single" w:sz="8" w:color="0000FF"/>
            </w:tcBorders>
            <w:shd w:val="clear" w:color="auto" w:fill="F5F5F5"/>
          </w:tcPr>
          <w:p>
            <w:pPr>
              <w:spacing w:after="0"/>
              <w:rPr>
                <w:sz w:val="10"/>
                <w:szCs w:val="10"/>
                <w:color w:val="auto"/>
              </w:rPr>
            </w:pPr>
          </w:p>
        </w:tc>
        <w:tc>
          <w:tcPr>
            <w:tcW w:w="420" w:type="dxa"/>
            <w:vAlign w:val="bottom"/>
            <w:tcBorders>
              <w:top w:val="single" w:sz="8" w:color="0000FF"/>
            </w:tcBorders>
            <w:shd w:val="clear" w:color="auto" w:fill="F5F5F5"/>
          </w:tcPr>
          <w:p>
            <w:pPr>
              <w:spacing w:after="0"/>
              <w:rPr>
                <w:sz w:val="10"/>
                <w:szCs w:val="10"/>
                <w:color w:val="auto"/>
              </w:rPr>
            </w:pPr>
          </w:p>
        </w:tc>
        <w:tc>
          <w:tcPr>
            <w:tcW w:w="60" w:type="dxa"/>
            <w:vAlign w:val="bottom"/>
            <w:tcBorders>
              <w:top w:val="single" w:sz="8" w:color="0000FF"/>
            </w:tcBorders>
            <w:shd w:val="clear" w:color="auto" w:fill="F5F5F5"/>
          </w:tcPr>
          <w:p>
            <w:pPr>
              <w:spacing w:after="0"/>
              <w:rPr>
                <w:sz w:val="10"/>
                <w:szCs w:val="10"/>
                <w:color w:val="auto"/>
              </w:rPr>
            </w:pPr>
          </w:p>
        </w:tc>
        <w:tc>
          <w:tcPr>
            <w:tcW w:w="740" w:type="dxa"/>
            <w:vAlign w:val="bottom"/>
            <w:tcBorders>
              <w:top w:val="single" w:sz="8" w:color="0000FF"/>
            </w:tcBorders>
            <w:shd w:val="clear" w:color="auto" w:fill="F5F5F5"/>
          </w:tcPr>
          <w:p>
            <w:pPr>
              <w:spacing w:after="0"/>
              <w:rPr>
                <w:sz w:val="10"/>
                <w:szCs w:val="10"/>
                <w:color w:val="auto"/>
              </w:rPr>
            </w:pPr>
          </w:p>
        </w:tc>
        <w:tc>
          <w:tcPr>
            <w:tcW w:w="380" w:type="dxa"/>
            <w:vAlign w:val="bottom"/>
            <w:tcBorders>
              <w:top w:val="single" w:sz="8" w:color="0000FF"/>
            </w:tcBorders>
            <w:shd w:val="clear" w:color="auto" w:fill="F5F5F5"/>
          </w:tcPr>
          <w:p>
            <w:pPr>
              <w:spacing w:after="0"/>
              <w:rPr>
                <w:sz w:val="10"/>
                <w:szCs w:val="10"/>
                <w:color w:val="auto"/>
              </w:rPr>
            </w:pPr>
          </w:p>
        </w:tc>
        <w:tc>
          <w:tcPr>
            <w:tcW w:w="780" w:type="dxa"/>
            <w:vAlign w:val="bottom"/>
            <w:tcBorders>
              <w:top w:val="single" w:sz="8" w:color="0000FF"/>
            </w:tcBorders>
            <w:shd w:val="clear" w:color="auto" w:fill="F5F5F5"/>
          </w:tcPr>
          <w:p>
            <w:pPr>
              <w:spacing w:after="0"/>
              <w:rPr>
                <w:sz w:val="10"/>
                <w:szCs w:val="10"/>
                <w:color w:val="auto"/>
              </w:rPr>
            </w:pPr>
          </w:p>
        </w:tc>
        <w:tc>
          <w:tcPr>
            <w:tcW w:w="1300" w:type="dxa"/>
            <w:vAlign w:val="bottom"/>
            <w:tcBorders>
              <w:top w:val="single" w:sz="8" w:color="0000FF"/>
            </w:tcBorders>
            <w:shd w:val="clear" w:color="auto" w:fill="F5F5F5"/>
          </w:tcPr>
          <w:p>
            <w:pPr>
              <w:spacing w:after="0"/>
              <w:rPr>
                <w:sz w:val="10"/>
                <w:szCs w:val="10"/>
                <w:color w:val="auto"/>
              </w:rPr>
            </w:pPr>
          </w:p>
        </w:tc>
        <w:tc>
          <w:tcPr>
            <w:tcW w:w="20" w:type="dxa"/>
            <w:vAlign w:val="bottom"/>
            <w:tcBorders>
              <w:top w:val="single" w:sz="8" w:color="0000FF"/>
            </w:tcBorders>
            <w:shd w:val="clear" w:color="auto" w:fill="F5F5F5"/>
          </w:tcPr>
          <w:p>
            <w:pPr>
              <w:spacing w:after="0"/>
              <w:rPr>
                <w:sz w:val="10"/>
                <w:szCs w:val="10"/>
                <w:color w:val="auto"/>
              </w:rPr>
            </w:pPr>
          </w:p>
        </w:tc>
        <w:tc>
          <w:tcPr>
            <w:tcW w:w="20" w:type="dxa"/>
            <w:vAlign w:val="bottom"/>
            <w:tcBorders>
              <w:top w:val="single" w:sz="8" w:color="0000FF"/>
            </w:tcBorders>
            <w:shd w:val="clear" w:color="auto" w:fill="F5F5F5"/>
          </w:tcPr>
          <w:p>
            <w:pPr>
              <w:spacing w:after="0"/>
              <w:rPr>
                <w:sz w:val="10"/>
                <w:szCs w:val="10"/>
                <w:color w:val="auto"/>
              </w:rPr>
            </w:pPr>
          </w:p>
        </w:tc>
        <w:tc>
          <w:tcPr>
            <w:tcW w:w="20" w:type="dxa"/>
            <w:vAlign w:val="bottom"/>
            <w:tcBorders>
              <w:top w:val="single" w:sz="8" w:color="0000FF"/>
            </w:tcBorders>
            <w:shd w:val="clear" w:color="auto" w:fill="F5F5F5"/>
          </w:tcPr>
          <w:p>
            <w:pPr>
              <w:spacing w:after="0"/>
              <w:rPr>
                <w:sz w:val="10"/>
                <w:szCs w:val="10"/>
                <w:color w:val="auto"/>
              </w:rPr>
            </w:pPr>
          </w:p>
        </w:tc>
        <w:tc>
          <w:tcPr>
            <w:tcW w:w="20" w:type="dxa"/>
            <w:vAlign w:val="bottom"/>
            <w:tcBorders>
              <w:top w:val="single" w:sz="8" w:color="0000FF"/>
            </w:tcBorders>
            <w:shd w:val="clear" w:color="auto" w:fill="F5F5F5"/>
          </w:tcPr>
          <w:p>
            <w:pPr>
              <w:spacing w:after="0"/>
              <w:rPr>
                <w:sz w:val="10"/>
                <w:szCs w:val="10"/>
                <w:color w:val="auto"/>
              </w:rPr>
            </w:pPr>
          </w:p>
        </w:tc>
        <w:tc>
          <w:tcPr>
            <w:tcW w:w="20" w:type="dxa"/>
            <w:vAlign w:val="bottom"/>
            <w:tcBorders>
              <w:top w:val="single" w:sz="8" w:color="0000FF"/>
            </w:tcBorders>
            <w:shd w:val="clear" w:color="auto" w:fill="F5F5F5"/>
          </w:tcPr>
          <w:p>
            <w:pPr>
              <w:spacing w:after="0"/>
              <w:rPr>
                <w:sz w:val="10"/>
                <w:szCs w:val="10"/>
                <w:color w:val="auto"/>
              </w:rPr>
            </w:pPr>
          </w:p>
        </w:tc>
        <w:tc>
          <w:tcPr>
            <w:tcW w:w="20" w:type="dxa"/>
            <w:vAlign w:val="bottom"/>
            <w:tcBorders>
              <w:top w:val="single" w:sz="8" w:color="0000FF"/>
            </w:tcBorders>
            <w:shd w:val="clear" w:color="auto" w:fill="F5F5F5"/>
          </w:tcPr>
          <w:p>
            <w:pPr>
              <w:spacing w:after="0"/>
              <w:rPr>
                <w:sz w:val="10"/>
                <w:szCs w:val="10"/>
                <w:color w:val="auto"/>
              </w:rPr>
            </w:pPr>
          </w:p>
        </w:tc>
        <w:tc>
          <w:tcPr>
            <w:tcW w:w="20" w:type="dxa"/>
            <w:vAlign w:val="bottom"/>
            <w:tcBorders>
              <w:top w:val="single" w:sz="8" w:color="0000FF"/>
            </w:tcBorders>
            <w:shd w:val="clear" w:color="auto" w:fill="F5F5F5"/>
          </w:tcPr>
          <w:p>
            <w:pPr>
              <w:spacing w:after="0"/>
              <w:rPr>
                <w:sz w:val="10"/>
                <w:szCs w:val="10"/>
                <w:color w:val="auto"/>
              </w:rPr>
            </w:pPr>
          </w:p>
        </w:tc>
        <w:tc>
          <w:tcPr>
            <w:tcW w:w="20" w:type="dxa"/>
            <w:vAlign w:val="bottom"/>
            <w:tcBorders>
              <w:top w:val="single" w:sz="8" w:color="0000FF"/>
            </w:tcBorders>
            <w:shd w:val="clear" w:color="auto" w:fill="F5F5F5"/>
          </w:tcPr>
          <w:p>
            <w:pPr>
              <w:spacing w:after="0"/>
              <w:rPr>
                <w:sz w:val="10"/>
                <w:szCs w:val="10"/>
                <w:color w:val="auto"/>
              </w:rPr>
            </w:pPr>
          </w:p>
        </w:tc>
        <w:tc>
          <w:tcPr>
            <w:tcW w:w="20" w:type="dxa"/>
            <w:vAlign w:val="bottom"/>
            <w:tcBorders>
              <w:top w:val="single" w:sz="8" w:color="0000FF"/>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r>
      <w:tr>
        <w:trPr>
          <w:trHeight w:val="20"/>
        </w:trPr>
        <w:tc>
          <w:tcPr>
            <w:tcW w:w="580" w:type="dxa"/>
            <w:vAlign w:val="bottom"/>
            <w:tcBorders>
              <w:top w:val="single" w:sz="8" w:color="F5F5F5"/>
            </w:tcBorders>
            <w:shd w:val="clear" w:color="auto" w:fill="F5F5F5"/>
          </w:tcPr>
          <w:p>
            <w:pPr>
              <w:spacing w:after="0" w:line="20" w:lineRule="exact"/>
              <w:rPr>
                <w:sz w:val="1"/>
                <w:szCs w:val="1"/>
                <w:color w:val="auto"/>
              </w:rPr>
            </w:pPr>
          </w:p>
        </w:tc>
        <w:tc>
          <w:tcPr>
            <w:tcW w:w="460" w:type="dxa"/>
            <w:vAlign w:val="bottom"/>
            <w:tcBorders>
              <w:top w:val="single" w:sz="8" w:color="F5F5F5"/>
            </w:tcBorders>
            <w:shd w:val="clear" w:color="auto" w:fill="F5F5F5"/>
          </w:tcPr>
          <w:p>
            <w:pPr>
              <w:spacing w:after="0" w:line="20" w:lineRule="exact"/>
              <w:rPr>
                <w:sz w:val="1"/>
                <w:szCs w:val="1"/>
                <w:color w:val="auto"/>
              </w:rPr>
            </w:pPr>
          </w:p>
        </w:tc>
        <w:tc>
          <w:tcPr>
            <w:tcW w:w="480" w:type="dxa"/>
            <w:vAlign w:val="bottom"/>
            <w:tcBorders>
              <w:top w:val="single" w:sz="8" w:color="0000FF"/>
            </w:tcBorders>
            <w:shd w:val="clear" w:color="auto" w:fill="F5F5F5"/>
          </w:tcPr>
          <w:p>
            <w:pPr>
              <w:spacing w:after="0" w:line="20" w:lineRule="exact"/>
              <w:rPr>
                <w:sz w:val="1"/>
                <w:szCs w:val="1"/>
                <w:color w:val="auto"/>
              </w:rPr>
            </w:pPr>
          </w:p>
        </w:tc>
        <w:tc>
          <w:tcPr>
            <w:tcW w:w="300" w:type="dxa"/>
            <w:vAlign w:val="bottom"/>
            <w:tcBorders>
              <w:top w:val="single" w:sz="8" w:color="0000FF"/>
            </w:tcBorders>
            <w:shd w:val="clear" w:color="auto" w:fill="F5F5F5"/>
          </w:tcPr>
          <w:p>
            <w:pPr>
              <w:spacing w:after="0" w:line="20" w:lineRule="exact"/>
              <w:rPr>
                <w:sz w:val="1"/>
                <w:szCs w:val="1"/>
                <w:color w:val="auto"/>
              </w:rPr>
            </w:pPr>
          </w:p>
        </w:tc>
        <w:tc>
          <w:tcPr>
            <w:tcW w:w="1180" w:type="dxa"/>
            <w:vAlign w:val="bottom"/>
            <w:tcBorders>
              <w:top w:val="single" w:sz="8" w:color="0000FF"/>
            </w:tcBorders>
            <w:shd w:val="clear" w:color="auto" w:fill="F5F5F5"/>
          </w:tcPr>
          <w:p>
            <w:pPr>
              <w:spacing w:after="0" w:line="20" w:lineRule="exact"/>
              <w:rPr>
                <w:sz w:val="1"/>
                <w:szCs w:val="1"/>
                <w:color w:val="auto"/>
              </w:rPr>
            </w:pPr>
          </w:p>
        </w:tc>
        <w:tc>
          <w:tcPr>
            <w:tcW w:w="340" w:type="dxa"/>
            <w:vAlign w:val="bottom"/>
            <w:tcBorders>
              <w:top w:val="single" w:sz="8" w:color="0000FF"/>
            </w:tcBorders>
            <w:shd w:val="clear" w:color="auto" w:fill="F5F5F5"/>
          </w:tcPr>
          <w:p>
            <w:pPr>
              <w:spacing w:after="0" w:line="20" w:lineRule="exact"/>
              <w:rPr>
                <w:sz w:val="1"/>
                <w:szCs w:val="1"/>
                <w:color w:val="auto"/>
              </w:rPr>
            </w:pPr>
          </w:p>
        </w:tc>
        <w:tc>
          <w:tcPr>
            <w:tcW w:w="400" w:type="dxa"/>
            <w:vAlign w:val="bottom"/>
            <w:tcBorders>
              <w:top w:val="single" w:sz="8" w:color="0000FF"/>
            </w:tcBorders>
            <w:shd w:val="clear" w:color="auto" w:fill="F5F5F5"/>
          </w:tcPr>
          <w:p>
            <w:pPr>
              <w:spacing w:after="0" w:line="20" w:lineRule="exact"/>
              <w:rPr>
                <w:sz w:val="1"/>
                <w:szCs w:val="1"/>
                <w:color w:val="auto"/>
              </w:rPr>
            </w:pPr>
          </w:p>
        </w:tc>
        <w:tc>
          <w:tcPr>
            <w:tcW w:w="560" w:type="dxa"/>
            <w:vAlign w:val="bottom"/>
            <w:tcBorders>
              <w:top w:val="single" w:sz="8" w:color="0000FF"/>
            </w:tcBorders>
            <w:shd w:val="clear" w:color="auto" w:fill="F5F5F5"/>
          </w:tcPr>
          <w:p>
            <w:pPr>
              <w:spacing w:after="0" w:line="20" w:lineRule="exact"/>
              <w:rPr>
                <w:sz w:val="1"/>
                <w:szCs w:val="1"/>
                <w:color w:val="auto"/>
              </w:rPr>
            </w:pPr>
          </w:p>
        </w:tc>
        <w:tc>
          <w:tcPr>
            <w:tcW w:w="480" w:type="dxa"/>
            <w:vAlign w:val="bottom"/>
            <w:tcBorders>
              <w:top w:val="single" w:sz="8" w:color="0000FF"/>
            </w:tcBorders>
            <w:shd w:val="clear" w:color="auto" w:fill="F5F5F5"/>
          </w:tcPr>
          <w:p>
            <w:pPr>
              <w:spacing w:after="0" w:line="20" w:lineRule="exact"/>
              <w:rPr>
                <w:sz w:val="1"/>
                <w:szCs w:val="1"/>
                <w:color w:val="auto"/>
              </w:rPr>
            </w:pPr>
          </w:p>
        </w:tc>
        <w:tc>
          <w:tcPr>
            <w:tcW w:w="20" w:type="dxa"/>
            <w:vAlign w:val="bottom"/>
            <w:tcBorders>
              <w:top w:val="single" w:sz="8" w:color="0000FF"/>
            </w:tcBorders>
            <w:shd w:val="clear" w:color="auto" w:fill="F5F5F5"/>
          </w:tcPr>
          <w:p>
            <w:pPr>
              <w:spacing w:after="0" w:line="20" w:lineRule="exact"/>
              <w:rPr>
                <w:sz w:val="1"/>
                <w:szCs w:val="1"/>
                <w:color w:val="auto"/>
              </w:rPr>
            </w:pPr>
          </w:p>
        </w:tc>
        <w:tc>
          <w:tcPr>
            <w:tcW w:w="100" w:type="dxa"/>
            <w:vAlign w:val="bottom"/>
            <w:tcBorders>
              <w:top w:val="single" w:sz="8" w:color="0000FF"/>
            </w:tcBorders>
            <w:shd w:val="clear" w:color="auto" w:fill="F5F5F5"/>
          </w:tcPr>
          <w:p>
            <w:pPr>
              <w:spacing w:after="0" w:line="20" w:lineRule="exact"/>
              <w:rPr>
                <w:sz w:val="1"/>
                <w:szCs w:val="1"/>
                <w:color w:val="auto"/>
              </w:rPr>
            </w:pPr>
          </w:p>
        </w:tc>
        <w:tc>
          <w:tcPr>
            <w:tcW w:w="60" w:type="dxa"/>
            <w:vAlign w:val="bottom"/>
            <w:tcBorders>
              <w:top w:val="single" w:sz="8" w:color="0000FF"/>
            </w:tcBorders>
            <w:shd w:val="clear" w:color="auto" w:fill="F5F5F5"/>
          </w:tcPr>
          <w:p>
            <w:pPr>
              <w:spacing w:after="0" w:line="20" w:lineRule="exact"/>
              <w:rPr>
                <w:sz w:val="1"/>
                <w:szCs w:val="1"/>
                <w:color w:val="auto"/>
              </w:rPr>
            </w:pPr>
          </w:p>
        </w:tc>
        <w:tc>
          <w:tcPr>
            <w:tcW w:w="280" w:type="dxa"/>
            <w:vAlign w:val="bottom"/>
            <w:tcBorders>
              <w:top w:val="single" w:sz="8" w:color="F5F5F5"/>
            </w:tcBorders>
            <w:shd w:val="clear" w:color="auto" w:fill="F5F5F5"/>
          </w:tcPr>
          <w:p>
            <w:pPr>
              <w:spacing w:after="0" w:line="20" w:lineRule="exact"/>
              <w:rPr>
                <w:sz w:val="1"/>
                <w:szCs w:val="1"/>
                <w:color w:val="auto"/>
              </w:rPr>
            </w:pPr>
          </w:p>
        </w:tc>
        <w:tc>
          <w:tcPr>
            <w:tcW w:w="880" w:type="dxa"/>
            <w:vAlign w:val="bottom"/>
            <w:tcBorders>
              <w:top w:val="single" w:sz="8" w:color="F5F5F5"/>
            </w:tcBorders>
            <w:shd w:val="clear" w:color="auto" w:fill="F5F5F5"/>
          </w:tcPr>
          <w:p>
            <w:pPr>
              <w:spacing w:after="0" w:line="20" w:lineRule="exact"/>
              <w:rPr>
                <w:sz w:val="1"/>
                <w:szCs w:val="1"/>
                <w:color w:val="auto"/>
              </w:rPr>
            </w:pPr>
          </w:p>
        </w:tc>
        <w:tc>
          <w:tcPr>
            <w:tcW w:w="160" w:type="dxa"/>
            <w:vAlign w:val="bottom"/>
            <w:tcBorders>
              <w:top w:val="single" w:sz="8" w:color="F5F5F5"/>
            </w:tcBorders>
            <w:shd w:val="clear" w:color="auto" w:fill="F5F5F5"/>
          </w:tcPr>
          <w:p>
            <w:pPr>
              <w:spacing w:after="0" w:line="20" w:lineRule="exact"/>
              <w:rPr>
                <w:sz w:val="1"/>
                <w:szCs w:val="1"/>
                <w:color w:val="auto"/>
              </w:rPr>
            </w:pPr>
          </w:p>
        </w:tc>
        <w:tc>
          <w:tcPr>
            <w:tcW w:w="500" w:type="dxa"/>
            <w:vAlign w:val="bottom"/>
            <w:tcBorders>
              <w:top w:val="single" w:sz="8" w:color="F5F5F5"/>
            </w:tcBorders>
            <w:shd w:val="clear" w:color="auto" w:fill="F5F5F5"/>
          </w:tcPr>
          <w:p>
            <w:pPr>
              <w:spacing w:after="0" w:line="20" w:lineRule="exact"/>
              <w:rPr>
                <w:sz w:val="1"/>
                <w:szCs w:val="1"/>
                <w:color w:val="auto"/>
              </w:rPr>
            </w:pPr>
          </w:p>
        </w:tc>
        <w:tc>
          <w:tcPr>
            <w:tcW w:w="740" w:type="dxa"/>
            <w:vAlign w:val="bottom"/>
            <w:tcBorders>
              <w:top w:val="single" w:sz="8" w:color="F5F5F5"/>
            </w:tcBorders>
            <w:shd w:val="clear" w:color="auto" w:fill="F5F5F5"/>
          </w:tcPr>
          <w:p>
            <w:pPr>
              <w:spacing w:after="0" w:line="20" w:lineRule="exact"/>
              <w:rPr>
                <w:sz w:val="1"/>
                <w:szCs w:val="1"/>
                <w:color w:val="auto"/>
              </w:rPr>
            </w:pPr>
          </w:p>
        </w:tc>
        <w:tc>
          <w:tcPr>
            <w:tcW w:w="420" w:type="dxa"/>
            <w:vAlign w:val="bottom"/>
            <w:tcBorders>
              <w:top w:val="single" w:sz="8" w:color="F5F5F5"/>
            </w:tcBorders>
            <w:shd w:val="clear" w:color="auto" w:fill="F5F5F5"/>
          </w:tcPr>
          <w:p>
            <w:pPr>
              <w:spacing w:after="0" w:line="20" w:lineRule="exact"/>
              <w:rPr>
                <w:sz w:val="1"/>
                <w:szCs w:val="1"/>
                <w:color w:val="auto"/>
              </w:rPr>
            </w:pPr>
          </w:p>
        </w:tc>
        <w:tc>
          <w:tcPr>
            <w:tcW w:w="60" w:type="dxa"/>
            <w:vAlign w:val="bottom"/>
            <w:tcBorders>
              <w:top w:val="single" w:sz="8" w:color="F5F5F5"/>
            </w:tcBorders>
            <w:shd w:val="clear" w:color="auto" w:fill="F5F5F5"/>
          </w:tcPr>
          <w:p>
            <w:pPr>
              <w:spacing w:after="0" w:line="20" w:lineRule="exact"/>
              <w:rPr>
                <w:sz w:val="1"/>
                <w:szCs w:val="1"/>
                <w:color w:val="auto"/>
              </w:rPr>
            </w:pPr>
          </w:p>
        </w:tc>
        <w:tc>
          <w:tcPr>
            <w:tcW w:w="740" w:type="dxa"/>
            <w:vAlign w:val="bottom"/>
            <w:tcBorders>
              <w:top w:val="single" w:sz="8" w:color="F5F5F5"/>
            </w:tcBorders>
            <w:shd w:val="clear" w:color="auto" w:fill="F5F5F5"/>
          </w:tcPr>
          <w:p>
            <w:pPr>
              <w:spacing w:after="0" w:line="20" w:lineRule="exact"/>
              <w:rPr>
                <w:sz w:val="1"/>
                <w:szCs w:val="1"/>
                <w:color w:val="auto"/>
              </w:rPr>
            </w:pPr>
          </w:p>
        </w:tc>
        <w:tc>
          <w:tcPr>
            <w:tcW w:w="380" w:type="dxa"/>
            <w:vAlign w:val="bottom"/>
            <w:tcBorders>
              <w:top w:val="single" w:sz="8" w:color="F5F5F5"/>
            </w:tcBorders>
            <w:shd w:val="clear" w:color="auto" w:fill="F5F5F5"/>
          </w:tcPr>
          <w:p>
            <w:pPr>
              <w:spacing w:after="0" w:line="20" w:lineRule="exact"/>
              <w:rPr>
                <w:sz w:val="1"/>
                <w:szCs w:val="1"/>
                <w:color w:val="auto"/>
              </w:rPr>
            </w:pPr>
          </w:p>
        </w:tc>
        <w:tc>
          <w:tcPr>
            <w:tcW w:w="780" w:type="dxa"/>
            <w:vAlign w:val="bottom"/>
            <w:tcBorders>
              <w:top w:val="single" w:sz="8" w:color="F5F5F5"/>
            </w:tcBorders>
            <w:shd w:val="clear" w:color="auto" w:fill="F5F5F5"/>
          </w:tcPr>
          <w:p>
            <w:pPr>
              <w:spacing w:after="0" w:line="20" w:lineRule="exact"/>
              <w:rPr>
                <w:sz w:val="1"/>
                <w:szCs w:val="1"/>
                <w:color w:val="auto"/>
              </w:rPr>
            </w:pPr>
          </w:p>
        </w:tc>
        <w:tc>
          <w:tcPr>
            <w:tcW w:w="130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r>
      <w:tr>
        <w:trPr>
          <w:trHeight w:val="162"/>
        </w:trPr>
        <w:tc>
          <w:tcPr>
            <w:tcW w:w="580" w:type="dxa"/>
            <w:vAlign w:val="bottom"/>
          </w:tcPr>
          <w:p>
            <w:pPr>
              <w:jc w:val="right"/>
              <w:ind w:right="68"/>
              <w:spacing w:after="0"/>
              <w:rPr>
                <w:sz w:val="20"/>
                <w:szCs w:val="20"/>
                <w:color w:val="auto"/>
              </w:rPr>
            </w:pPr>
            <w:r>
              <w:rPr>
                <w:rFonts w:ascii="Arial" w:cs="Arial" w:eastAsia="Arial" w:hAnsi="Arial"/>
                <w:sz w:val="14"/>
                <w:szCs w:val="14"/>
                <w:color w:val="auto"/>
              </w:rPr>
              <w:t>10.36*</w:t>
            </w:r>
          </w:p>
        </w:tc>
        <w:tc>
          <w:tcPr>
            <w:tcW w:w="460" w:type="dxa"/>
            <w:vAlign w:val="bottom"/>
          </w:tcPr>
          <w:p>
            <w:pPr>
              <w:spacing w:after="0"/>
              <w:rPr>
                <w:sz w:val="14"/>
                <w:szCs w:val="14"/>
                <w:color w:val="auto"/>
              </w:rPr>
            </w:pPr>
          </w:p>
        </w:tc>
        <w:tc>
          <w:tcPr>
            <w:tcW w:w="10380" w:type="dxa"/>
            <w:vAlign w:val="bottom"/>
            <w:gridSpan w:val="32"/>
          </w:tcPr>
          <w:p>
            <w:pPr>
              <w:spacing w:after="0"/>
              <w:rPr>
                <w:rFonts w:ascii="Arial" w:cs="Arial" w:eastAsia="Arial" w:hAnsi="Arial"/>
                <w:sz w:val="14"/>
                <w:szCs w:val="14"/>
                <w:color w:val="0000FF"/>
              </w:rPr>
            </w:pPr>
            <w:hyperlink r:id="rId155">
              <w:r>
                <w:rPr>
                  <w:rFonts w:ascii="Arial" w:cs="Arial" w:eastAsia="Arial" w:hAnsi="Arial"/>
                  <w:sz w:val="14"/>
                  <w:szCs w:val="14"/>
                  <w:color w:val="0000FF"/>
                </w:rPr>
                <w:t>Certificate regarding Approval of Amendment of Section 3(b) of the Abercrombie &amp; Fitch Co. Amended and Restated 2007 Long-Term Incentive Plan by Board</w:t>
              </w:r>
            </w:hyperlink>
          </w:p>
        </w:tc>
      </w:tr>
      <w:tr>
        <w:trPr>
          <w:trHeight w:val="115"/>
        </w:trPr>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320" w:type="dxa"/>
            <w:vAlign w:val="bottom"/>
            <w:tcBorders>
              <w:top w:val="single" w:sz="8" w:color="0000FF"/>
              <w:bottom w:val="single" w:sz="8" w:color="0000FF"/>
            </w:tcBorders>
            <w:gridSpan w:val="29"/>
          </w:tcPr>
          <w:p>
            <w:pPr>
              <w:spacing w:after="0" w:line="115" w:lineRule="exact"/>
              <w:rPr>
                <w:rFonts w:ascii="Arial" w:cs="Arial" w:eastAsia="Arial" w:hAnsi="Arial"/>
                <w:sz w:val="13"/>
                <w:szCs w:val="13"/>
                <w:color w:val="0000FF"/>
              </w:rPr>
            </w:pPr>
            <w:hyperlink r:id="rId155">
              <w:r>
                <w:rPr>
                  <w:rFonts w:ascii="Arial" w:cs="Arial" w:eastAsia="Arial" w:hAnsi="Arial"/>
                  <w:sz w:val="13"/>
                  <w:szCs w:val="13"/>
                  <w:color w:val="0000FF"/>
                </w:rPr>
                <w:t>of Directors of Abercrombie &amp; Fitch Co. on August 20, 2014, incorporated herein by reference to Exhibit 10.12 to A&amp;F’s Quarterly Report on Form 10-Q for the</w:t>
              </w:r>
            </w:hyperlink>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r>
      <w:tr>
        <w:trPr>
          <w:trHeight w:val="128"/>
        </w:trPr>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0" w:type="dxa"/>
            <w:vAlign w:val="bottom"/>
            <w:gridSpan w:val="11"/>
          </w:tcPr>
          <w:p>
            <w:pPr>
              <w:spacing w:after="0" w:line="129" w:lineRule="exact"/>
              <w:rPr>
                <w:rFonts w:ascii="Arial" w:cs="Arial" w:eastAsia="Arial" w:hAnsi="Arial"/>
                <w:sz w:val="14"/>
                <w:szCs w:val="14"/>
                <w:color w:val="0000FF"/>
              </w:rPr>
            </w:pPr>
            <w:hyperlink r:id="rId155">
              <w:r>
                <w:rPr>
                  <w:rFonts w:ascii="Arial" w:cs="Arial" w:eastAsia="Arial" w:hAnsi="Arial"/>
                  <w:sz w:val="14"/>
                  <w:szCs w:val="14"/>
                  <w:color w:val="0000FF"/>
                </w:rPr>
                <w:t>quarterly period ended July 30, 2016 (File No. 001-12107).</w:t>
              </w:r>
            </w:hyperlink>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580" w:type="dxa"/>
            <w:vAlign w:val="bottom"/>
            <w:shd w:val="clear" w:color="auto" w:fill="F5F5F5"/>
          </w:tcPr>
          <w:p>
            <w:pPr>
              <w:jc w:val="right"/>
              <w:ind w:right="68"/>
              <w:spacing w:after="0"/>
              <w:rPr>
                <w:sz w:val="20"/>
                <w:szCs w:val="20"/>
                <w:color w:val="auto"/>
              </w:rPr>
            </w:pPr>
            <w:r>
              <w:rPr>
                <w:rFonts w:ascii="Arial" w:cs="Arial" w:eastAsia="Arial" w:hAnsi="Arial"/>
                <w:sz w:val="14"/>
                <w:szCs w:val="14"/>
                <w:color w:val="auto"/>
              </w:rPr>
              <w:t>10.37*</w:t>
            </w:r>
          </w:p>
        </w:tc>
        <w:tc>
          <w:tcPr>
            <w:tcW w:w="460" w:type="dxa"/>
            <w:vAlign w:val="bottom"/>
            <w:shd w:val="clear" w:color="auto" w:fill="F5F5F5"/>
          </w:tcPr>
          <w:p>
            <w:pPr>
              <w:spacing w:after="0"/>
              <w:rPr>
                <w:sz w:val="14"/>
                <w:szCs w:val="14"/>
                <w:color w:val="auto"/>
              </w:rPr>
            </w:pPr>
          </w:p>
        </w:tc>
        <w:tc>
          <w:tcPr>
            <w:tcW w:w="10380" w:type="dxa"/>
            <w:vAlign w:val="bottom"/>
            <w:gridSpan w:val="32"/>
            <w:shd w:val="clear" w:color="auto" w:fill="F5F5F5"/>
          </w:tcPr>
          <w:p>
            <w:pPr>
              <w:spacing w:after="0"/>
              <w:rPr>
                <w:rFonts w:ascii="Arial" w:cs="Arial" w:eastAsia="Arial" w:hAnsi="Arial"/>
                <w:sz w:val="14"/>
                <w:szCs w:val="14"/>
                <w:color w:val="0000FF"/>
              </w:rPr>
            </w:pPr>
            <w:hyperlink r:id="rId156">
              <w:r>
                <w:rPr>
                  <w:rFonts w:ascii="Arial" w:cs="Arial" w:eastAsia="Arial" w:hAnsi="Arial"/>
                  <w:sz w:val="14"/>
                  <w:szCs w:val="14"/>
                  <w:color w:val="0000FF"/>
                </w:rPr>
                <w:t>Abercrombie &amp; Fitch Co. 2016 Long-Term Incentive Plan for Associates (as amended on June 8, 2023), incorporated herein by reference to Exhibit 10.1 to</w:t>
              </w:r>
            </w:hyperlink>
          </w:p>
        </w:tc>
      </w:tr>
      <w:tr>
        <w:trPr>
          <w:trHeight w:val="115"/>
        </w:trPr>
        <w:tc>
          <w:tcPr>
            <w:tcW w:w="580" w:type="dxa"/>
            <w:vAlign w:val="bottom"/>
            <w:tcBorders>
              <w:top w:val="single" w:sz="8" w:color="F5F5F5"/>
            </w:tcBorders>
            <w:shd w:val="clear" w:color="auto" w:fill="F5F5F5"/>
          </w:tcPr>
          <w:p>
            <w:pPr>
              <w:spacing w:after="0"/>
              <w:rPr>
                <w:sz w:val="10"/>
                <w:szCs w:val="10"/>
                <w:color w:val="auto"/>
              </w:rPr>
            </w:pPr>
          </w:p>
        </w:tc>
        <w:tc>
          <w:tcPr>
            <w:tcW w:w="460" w:type="dxa"/>
            <w:vAlign w:val="bottom"/>
            <w:tcBorders>
              <w:top w:val="single" w:sz="8" w:color="F5F5F5"/>
            </w:tcBorders>
            <w:shd w:val="clear" w:color="auto" w:fill="F5F5F5"/>
          </w:tcPr>
          <w:p>
            <w:pPr>
              <w:spacing w:after="0"/>
              <w:rPr>
                <w:sz w:val="10"/>
                <w:szCs w:val="10"/>
                <w:color w:val="auto"/>
              </w:rPr>
            </w:pPr>
          </w:p>
        </w:tc>
        <w:tc>
          <w:tcPr>
            <w:tcW w:w="8080" w:type="dxa"/>
            <w:vAlign w:val="bottom"/>
            <w:tcBorders>
              <w:top w:val="single" w:sz="8" w:color="0000FF"/>
            </w:tcBorders>
            <w:gridSpan w:val="19"/>
            <w:shd w:val="clear" w:color="auto" w:fill="F5F5F5"/>
          </w:tcPr>
          <w:p>
            <w:pPr>
              <w:spacing w:after="0" w:line="115" w:lineRule="exact"/>
              <w:rPr>
                <w:rFonts w:ascii="Arial" w:cs="Arial" w:eastAsia="Arial" w:hAnsi="Arial"/>
                <w:sz w:val="13"/>
                <w:szCs w:val="13"/>
                <w:color w:val="0000FF"/>
              </w:rPr>
            </w:pPr>
            <w:hyperlink r:id="rId156">
              <w:r>
                <w:rPr>
                  <w:rFonts w:ascii="Arial" w:cs="Arial" w:eastAsia="Arial" w:hAnsi="Arial"/>
                  <w:sz w:val="13"/>
                  <w:szCs w:val="13"/>
                  <w:color w:val="0000FF"/>
                </w:rPr>
                <w:t>A&amp;F’s Current Report on Form 8-K dated and filed on June 14, 2023 (File No. 001-12107).</w:t>
              </w:r>
            </w:hyperlink>
          </w:p>
        </w:tc>
        <w:tc>
          <w:tcPr>
            <w:tcW w:w="780" w:type="dxa"/>
            <w:vAlign w:val="bottom"/>
            <w:tcBorders>
              <w:top w:val="single" w:sz="8" w:color="0000FF"/>
            </w:tcBorders>
            <w:shd w:val="clear" w:color="auto" w:fill="F5F5F5"/>
          </w:tcPr>
          <w:p>
            <w:pPr>
              <w:spacing w:after="0"/>
              <w:rPr>
                <w:sz w:val="10"/>
                <w:szCs w:val="10"/>
                <w:color w:val="auto"/>
              </w:rPr>
            </w:pPr>
          </w:p>
        </w:tc>
        <w:tc>
          <w:tcPr>
            <w:tcW w:w="1300" w:type="dxa"/>
            <w:vAlign w:val="bottom"/>
            <w:tcBorders>
              <w:top w:val="single" w:sz="8" w:color="0000FF"/>
            </w:tcBorders>
            <w:shd w:val="clear" w:color="auto" w:fill="F5F5F5"/>
          </w:tcPr>
          <w:p>
            <w:pPr>
              <w:spacing w:after="0"/>
              <w:rPr>
                <w:sz w:val="10"/>
                <w:szCs w:val="10"/>
                <w:color w:val="auto"/>
              </w:rPr>
            </w:pPr>
          </w:p>
        </w:tc>
        <w:tc>
          <w:tcPr>
            <w:tcW w:w="20" w:type="dxa"/>
            <w:vAlign w:val="bottom"/>
            <w:tcBorders>
              <w:top w:val="single" w:sz="8" w:color="0000FF"/>
            </w:tcBorders>
            <w:shd w:val="clear" w:color="auto" w:fill="F5F5F5"/>
          </w:tcPr>
          <w:p>
            <w:pPr>
              <w:spacing w:after="0"/>
              <w:rPr>
                <w:sz w:val="10"/>
                <w:szCs w:val="10"/>
                <w:color w:val="auto"/>
              </w:rPr>
            </w:pPr>
          </w:p>
        </w:tc>
        <w:tc>
          <w:tcPr>
            <w:tcW w:w="20" w:type="dxa"/>
            <w:vAlign w:val="bottom"/>
            <w:tcBorders>
              <w:top w:val="single" w:sz="8" w:color="0000FF"/>
            </w:tcBorders>
            <w:shd w:val="clear" w:color="auto" w:fill="F5F5F5"/>
          </w:tcPr>
          <w:p>
            <w:pPr>
              <w:spacing w:after="0"/>
              <w:rPr>
                <w:sz w:val="10"/>
                <w:szCs w:val="10"/>
                <w:color w:val="auto"/>
              </w:rPr>
            </w:pPr>
          </w:p>
        </w:tc>
        <w:tc>
          <w:tcPr>
            <w:tcW w:w="20" w:type="dxa"/>
            <w:vAlign w:val="bottom"/>
            <w:tcBorders>
              <w:top w:val="single" w:sz="8" w:color="0000FF"/>
            </w:tcBorders>
            <w:shd w:val="clear" w:color="auto" w:fill="F5F5F5"/>
          </w:tcPr>
          <w:p>
            <w:pPr>
              <w:spacing w:after="0"/>
              <w:rPr>
                <w:sz w:val="10"/>
                <w:szCs w:val="10"/>
                <w:color w:val="auto"/>
              </w:rPr>
            </w:pPr>
          </w:p>
        </w:tc>
        <w:tc>
          <w:tcPr>
            <w:tcW w:w="20" w:type="dxa"/>
            <w:vAlign w:val="bottom"/>
            <w:tcBorders>
              <w:top w:val="single" w:sz="8" w:color="0000FF"/>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r>
      <w:tr>
        <w:trPr>
          <w:trHeight w:val="20"/>
        </w:trPr>
        <w:tc>
          <w:tcPr>
            <w:tcW w:w="580" w:type="dxa"/>
            <w:vAlign w:val="bottom"/>
            <w:tcBorders>
              <w:top w:val="single" w:sz="8" w:color="F5F5F5"/>
            </w:tcBorders>
            <w:shd w:val="clear" w:color="auto" w:fill="F5F5F5"/>
          </w:tcPr>
          <w:p>
            <w:pPr>
              <w:spacing w:after="0" w:line="20" w:lineRule="exact"/>
              <w:rPr>
                <w:sz w:val="1"/>
                <w:szCs w:val="1"/>
                <w:color w:val="auto"/>
              </w:rPr>
            </w:pPr>
          </w:p>
        </w:tc>
        <w:tc>
          <w:tcPr>
            <w:tcW w:w="460" w:type="dxa"/>
            <w:vAlign w:val="bottom"/>
            <w:tcBorders>
              <w:top w:val="single" w:sz="8" w:color="F5F5F5"/>
            </w:tcBorders>
            <w:shd w:val="clear" w:color="auto" w:fill="F5F5F5"/>
          </w:tcPr>
          <w:p>
            <w:pPr>
              <w:spacing w:after="0" w:line="20" w:lineRule="exact"/>
              <w:rPr>
                <w:sz w:val="1"/>
                <w:szCs w:val="1"/>
                <w:color w:val="auto"/>
              </w:rPr>
            </w:pPr>
          </w:p>
        </w:tc>
        <w:tc>
          <w:tcPr>
            <w:tcW w:w="480" w:type="dxa"/>
            <w:vAlign w:val="bottom"/>
            <w:tcBorders>
              <w:top w:val="single" w:sz="8" w:color="0000FF"/>
            </w:tcBorders>
            <w:shd w:val="clear" w:color="auto" w:fill="F5F5F5"/>
          </w:tcPr>
          <w:p>
            <w:pPr>
              <w:spacing w:after="0" w:line="20" w:lineRule="exact"/>
              <w:rPr>
                <w:sz w:val="1"/>
                <w:szCs w:val="1"/>
                <w:color w:val="auto"/>
              </w:rPr>
            </w:pPr>
          </w:p>
        </w:tc>
        <w:tc>
          <w:tcPr>
            <w:tcW w:w="300" w:type="dxa"/>
            <w:vAlign w:val="bottom"/>
            <w:tcBorders>
              <w:top w:val="single" w:sz="8" w:color="0000FF"/>
            </w:tcBorders>
            <w:shd w:val="clear" w:color="auto" w:fill="F5F5F5"/>
          </w:tcPr>
          <w:p>
            <w:pPr>
              <w:spacing w:after="0" w:line="20" w:lineRule="exact"/>
              <w:rPr>
                <w:sz w:val="1"/>
                <w:szCs w:val="1"/>
                <w:color w:val="auto"/>
              </w:rPr>
            </w:pPr>
          </w:p>
        </w:tc>
        <w:tc>
          <w:tcPr>
            <w:tcW w:w="1180" w:type="dxa"/>
            <w:vAlign w:val="bottom"/>
            <w:tcBorders>
              <w:top w:val="single" w:sz="8" w:color="0000FF"/>
            </w:tcBorders>
            <w:shd w:val="clear" w:color="auto" w:fill="F5F5F5"/>
          </w:tcPr>
          <w:p>
            <w:pPr>
              <w:spacing w:after="0" w:line="20" w:lineRule="exact"/>
              <w:rPr>
                <w:sz w:val="1"/>
                <w:szCs w:val="1"/>
                <w:color w:val="auto"/>
              </w:rPr>
            </w:pPr>
          </w:p>
        </w:tc>
        <w:tc>
          <w:tcPr>
            <w:tcW w:w="340" w:type="dxa"/>
            <w:vAlign w:val="bottom"/>
            <w:tcBorders>
              <w:top w:val="single" w:sz="8" w:color="0000FF"/>
            </w:tcBorders>
            <w:shd w:val="clear" w:color="auto" w:fill="F5F5F5"/>
          </w:tcPr>
          <w:p>
            <w:pPr>
              <w:spacing w:after="0" w:line="20" w:lineRule="exact"/>
              <w:rPr>
                <w:sz w:val="1"/>
                <w:szCs w:val="1"/>
                <w:color w:val="auto"/>
              </w:rPr>
            </w:pPr>
          </w:p>
        </w:tc>
        <w:tc>
          <w:tcPr>
            <w:tcW w:w="400" w:type="dxa"/>
            <w:vAlign w:val="bottom"/>
            <w:tcBorders>
              <w:top w:val="single" w:sz="8" w:color="0000FF"/>
            </w:tcBorders>
            <w:shd w:val="clear" w:color="auto" w:fill="F5F5F5"/>
          </w:tcPr>
          <w:p>
            <w:pPr>
              <w:spacing w:after="0" w:line="20" w:lineRule="exact"/>
              <w:rPr>
                <w:sz w:val="1"/>
                <w:szCs w:val="1"/>
                <w:color w:val="auto"/>
              </w:rPr>
            </w:pPr>
          </w:p>
        </w:tc>
        <w:tc>
          <w:tcPr>
            <w:tcW w:w="560" w:type="dxa"/>
            <w:vAlign w:val="bottom"/>
            <w:tcBorders>
              <w:top w:val="single" w:sz="8" w:color="0000FF"/>
            </w:tcBorders>
            <w:shd w:val="clear" w:color="auto" w:fill="F5F5F5"/>
          </w:tcPr>
          <w:p>
            <w:pPr>
              <w:spacing w:after="0" w:line="20" w:lineRule="exact"/>
              <w:rPr>
                <w:sz w:val="1"/>
                <w:szCs w:val="1"/>
                <w:color w:val="auto"/>
              </w:rPr>
            </w:pPr>
          </w:p>
        </w:tc>
        <w:tc>
          <w:tcPr>
            <w:tcW w:w="480" w:type="dxa"/>
            <w:vAlign w:val="bottom"/>
            <w:tcBorders>
              <w:top w:val="single" w:sz="8" w:color="0000FF"/>
            </w:tcBorders>
            <w:shd w:val="clear" w:color="auto" w:fill="F5F5F5"/>
          </w:tcPr>
          <w:p>
            <w:pPr>
              <w:spacing w:after="0" w:line="20" w:lineRule="exact"/>
              <w:rPr>
                <w:sz w:val="1"/>
                <w:szCs w:val="1"/>
                <w:color w:val="auto"/>
              </w:rPr>
            </w:pPr>
          </w:p>
        </w:tc>
        <w:tc>
          <w:tcPr>
            <w:tcW w:w="20" w:type="dxa"/>
            <w:vAlign w:val="bottom"/>
            <w:tcBorders>
              <w:top w:val="single" w:sz="8" w:color="0000FF"/>
            </w:tcBorders>
            <w:shd w:val="clear" w:color="auto" w:fill="F5F5F5"/>
          </w:tcPr>
          <w:p>
            <w:pPr>
              <w:spacing w:after="0" w:line="20" w:lineRule="exact"/>
              <w:rPr>
                <w:sz w:val="1"/>
                <w:szCs w:val="1"/>
                <w:color w:val="auto"/>
              </w:rPr>
            </w:pPr>
          </w:p>
        </w:tc>
        <w:tc>
          <w:tcPr>
            <w:tcW w:w="100" w:type="dxa"/>
            <w:vAlign w:val="bottom"/>
            <w:tcBorders>
              <w:top w:val="single" w:sz="8" w:color="0000FF"/>
            </w:tcBorders>
            <w:shd w:val="clear" w:color="auto" w:fill="F5F5F5"/>
          </w:tcPr>
          <w:p>
            <w:pPr>
              <w:spacing w:after="0" w:line="20" w:lineRule="exact"/>
              <w:rPr>
                <w:sz w:val="1"/>
                <w:szCs w:val="1"/>
                <w:color w:val="auto"/>
              </w:rPr>
            </w:pPr>
          </w:p>
        </w:tc>
        <w:tc>
          <w:tcPr>
            <w:tcW w:w="60" w:type="dxa"/>
            <w:vAlign w:val="bottom"/>
            <w:tcBorders>
              <w:top w:val="single" w:sz="8" w:color="0000FF"/>
            </w:tcBorders>
            <w:shd w:val="clear" w:color="auto" w:fill="F5F5F5"/>
          </w:tcPr>
          <w:p>
            <w:pPr>
              <w:spacing w:after="0" w:line="20" w:lineRule="exact"/>
              <w:rPr>
                <w:sz w:val="1"/>
                <w:szCs w:val="1"/>
                <w:color w:val="auto"/>
              </w:rPr>
            </w:pPr>
          </w:p>
        </w:tc>
        <w:tc>
          <w:tcPr>
            <w:tcW w:w="280" w:type="dxa"/>
            <w:vAlign w:val="bottom"/>
            <w:tcBorders>
              <w:top w:val="single" w:sz="8" w:color="0000FF"/>
            </w:tcBorders>
            <w:shd w:val="clear" w:color="auto" w:fill="F5F5F5"/>
          </w:tcPr>
          <w:p>
            <w:pPr>
              <w:spacing w:after="0" w:line="20" w:lineRule="exact"/>
              <w:rPr>
                <w:sz w:val="1"/>
                <w:szCs w:val="1"/>
                <w:color w:val="auto"/>
              </w:rPr>
            </w:pPr>
          </w:p>
        </w:tc>
        <w:tc>
          <w:tcPr>
            <w:tcW w:w="880" w:type="dxa"/>
            <w:vAlign w:val="bottom"/>
            <w:tcBorders>
              <w:top w:val="single" w:sz="8" w:color="0000FF"/>
            </w:tcBorders>
            <w:shd w:val="clear" w:color="auto" w:fill="F5F5F5"/>
          </w:tcPr>
          <w:p>
            <w:pPr>
              <w:spacing w:after="0" w:line="20" w:lineRule="exact"/>
              <w:rPr>
                <w:sz w:val="1"/>
                <w:szCs w:val="1"/>
                <w:color w:val="auto"/>
              </w:rPr>
            </w:pPr>
          </w:p>
        </w:tc>
        <w:tc>
          <w:tcPr>
            <w:tcW w:w="160" w:type="dxa"/>
            <w:vAlign w:val="bottom"/>
            <w:tcBorders>
              <w:top w:val="single" w:sz="8" w:color="0000FF"/>
            </w:tcBorders>
            <w:shd w:val="clear" w:color="auto" w:fill="F5F5F5"/>
          </w:tcPr>
          <w:p>
            <w:pPr>
              <w:spacing w:after="0" w:line="20" w:lineRule="exact"/>
              <w:rPr>
                <w:sz w:val="1"/>
                <w:szCs w:val="1"/>
                <w:color w:val="auto"/>
              </w:rPr>
            </w:pPr>
          </w:p>
        </w:tc>
        <w:tc>
          <w:tcPr>
            <w:tcW w:w="500" w:type="dxa"/>
            <w:vAlign w:val="bottom"/>
            <w:tcBorders>
              <w:top w:val="single" w:sz="8" w:color="0000FF"/>
            </w:tcBorders>
            <w:shd w:val="clear" w:color="auto" w:fill="F5F5F5"/>
          </w:tcPr>
          <w:p>
            <w:pPr>
              <w:spacing w:after="0" w:line="20" w:lineRule="exact"/>
              <w:rPr>
                <w:sz w:val="1"/>
                <w:szCs w:val="1"/>
                <w:color w:val="auto"/>
              </w:rPr>
            </w:pPr>
          </w:p>
        </w:tc>
        <w:tc>
          <w:tcPr>
            <w:tcW w:w="740" w:type="dxa"/>
            <w:vAlign w:val="bottom"/>
            <w:tcBorders>
              <w:top w:val="single" w:sz="8" w:color="F5F5F5"/>
            </w:tcBorders>
            <w:shd w:val="clear" w:color="auto" w:fill="F5F5F5"/>
          </w:tcPr>
          <w:p>
            <w:pPr>
              <w:spacing w:after="0" w:line="20" w:lineRule="exact"/>
              <w:rPr>
                <w:sz w:val="1"/>
                <w:szCs w:val="1"/>
                <w:color w:val="auto"/>
              </w:rPr>
            </w:pPr>
          </w:p>
        </w:tc>
        <w:tc>
          <w:tcPr>
            <w:tcW w:w="420" w:type="dxa"/>
            <w:vAlign w:val="bottom"/>
            <w:tcBorders>
              <w:top w:val="single" w:sz="8" w:color="F5F5F5"/>
            </w:tcBorders>
            <w:shd w:val="clear" w:color="auto" w:fill="F5F5F5"/>
          </w:tcPr>
          <w:p>
            <w:pPr>
              <w:spacing w:after="0" w:line="20" w:lineRule="exact"/>
              <w:rPr>
                <w:sz w:val="1"/>
                <w:szCs w:val="1"/>
                <w:color w:val="auto"/>
              </w:rPr>
            </w:pPr>
          </w:p>
        </w:tc>
        <w:tc>
          <w:tcPr>
            <w:tcW w:w="60" w:type="dxa"/>
            <w:vAlign w:val="bottom"/>
            <w:tcBorders>
              <w:top w:val="single" w:sz="8" w:color="F5F5F5"/>
            </w:tcBorders>
            <w:shd w:val="clear" w:color="auto" w:fill="F5F5F5"/>
          </w:tcPr>
          <w:p>
            <w:pPr>
              <w:spacing w:after="0" w:line="20" w:lineRule="exact"/>
              <w:rPr>
                <w:sz w:val="1"/>
                <w:szCs w:val="1"/>
                <w:color w:val="auto"/>
              </w:rPr>
            </w:pPr>
          </w:p>
        </w:tc>
        <w:tc>
          <w:tcPr>
            <w:tcW w:w="740" w:type="dxa"/>
            <w:vAlign w:val="bottom"/>
            <w:tcBorders>
              <w:top w:val="single" w:sz="8" w:color="F5F5F5"/>
            </w:tcBorders>
            <w:shd w:val="clear" w:color="auto" w:fill="F5F5F5"/>
          </w:tcPr>
          <w:p>
            <w:pPr>
              <w:spacing w:after="0" w:line="20" w:lineRule="exact"/>
              <w:rPr>
                <w:sz w:val="1"/>
                <w:szCs w:val="1"/>
                <w:color w:val="auto"/>
              </w:rPr>
            </w:pPr>
          </w:p>
        </w:tc>
        <w:tc>
          <w:tcPr>
            <w:tcW w:w="380" w:type="dxa"/>
            <w:vAlign w:val="bottom"/>
            <w:tcBorders>
              <w:top w:val="single" w:sz="8" w:color="F5F5F5"/>
            </w:tcBorders>
            <w:shd w:val="clear" w:color="auto" w:fill="F5F5F5"/>
          </w:tcPr>
          <w:p>
            <w:pPr>
              <w:spacing w:after="0" w:line="20" w:lineRule="exact"/>
              <w:rPr>
                <w:sz w:val="1"/>
                <w:szCs w:val="1"/>
                <w:color w:val="auto"/>
              </w:rPr>
            </w:pPr>
          </w:p>
        </w:tc>
        <w:tc>
          <w:tcPr>
            <w:tcW w:w="780" w:type="dxa"/>
            <w:vAlign w:val="bottom"/>
            <w:tcBorders>
              <w:top w:val="single" w:sz="8" w:color="F5F5F5"/>
            </w:tcBorders>
            <w:shd w:val="clear" w:color="auto" w:fill="F5F5F5"/>
          </w:tcPr>
          <w:p>
            <w:pPr>
              <w:spacing w:after="0" w:line="20" w:lineRule="exact"/>
              <w:rPr>
                <w:sz w:val="1"/>
                <w:szCs w:val="1"/>
                <w:color w:val="auto"/>
              </w:rPr>
            </w:pPr>
          </w:p>
        </w:tc>
        <w:tc>
          <w:tcPr>
            <w:tcW w:w="130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r>
      <w:tr>
        <w:trPr>
          <w:trHeight w:val="162"/>
        </w:trPr>
        <w:tc>
          <w:tcPr>
            <w:tcW w:w="580" w:type="dxa"/>
            <w:vAlign w:val="bottom"/>
          </w:tcPr>
          <w:p>
            <w:pPr>
              <w:jc w:val="right"/>
              <w:ind w:right="68"/>
              <w:spacing w:after="0"/>
              <w:rPr>
                <w:sz w:val="20"/>
                <w:szCs w:val="20"/>
                <w:color w:val="auto"/>
              </w:rPr>
            </w:pPr>
            <w:r>
              <w:rPr>
                <w:rFonts w:ascii="Arial" w:cs="Arial" w:eastAsia="Arial" w:hAnsi="Arial"/>
                <w:sz w:val="14"/>
                <w:szCs w:val="14"/>
                <w:color w:val="auto"/>
              </w:rPr>
              <w:t>10.38*</w:t>
            </w:r>
          </w:p>
        </w:tc>
        <w:tc>
          <w:tcPr>
            <w:tcW w:w="460" w:type="dxa"/>
            <w:vAlign w:val="bottom"/>
          </w:tcPr>
          <w:p>
            <w:pPr>
              <w:spacing w:after="0"/>
              <w:rPr>
                <w:sz w:val="14"/>
                <w:szCs w:val="14"/>
                <w:color w:val="auto"/>
              </w:rPr>
            </w:pPr>
          </w:p>
        </w:tc>
        <w:tc>
          <w:tcPr>
            <w:tcW w:w="10380" w:type="dxa"/>
            <w:vAlign w:val="bottom"/>
            <w:gridSpan w:val="32"/>
          </w:tcPr>
          <w:p>
            <w:pPr>
              <w:spacing w:after="0"/>
              <w:rPr>
                <w:rFonts w:ascii="Arial" w:cs="Arial" w:eastAsia="Arial" w:hAnsi="Arial"/>
                <w:sz w:val="14"/>
                <w:szCs w:val="14"/>
                <w:color w:val="0000FF"/>
              </w:rPr>
            </w:pPr>
            <w:hyperlink r:id="rId157">
              <w:r>
                <w:rPr>
                  <w:rFonts w:ascii="Arial" w:cs="Arial" w:eastAsia="Arial" w:hAnsi="Arial"/>
                  <w:sz w:val="14"/>
                  <w:szCs w:val="14"/>
                  <w:color w:val="0000FF"/>
                </w:rPr>
                <w:t>Form of Restricted Stock Unit Award Agreement used to evidence the grant of restricted stock units to associates (employees) of Abercrombie &amp; Fitch Co. and</w:t>
              </w:r>
            </w:hyperlink>
          </w:p>
        </w:tc>
      </w:tr>
      <w:tr>
        <w:trPr>
          <w:trHeight w:val="115"/>
        </w:trPr>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280" w:type="dxa"/>
            <w:vAlign w:val="bottom"/>
            <w:tcBorders>
              <w:top w:val="single" w:sz="8" w:color="0000FF"/>
            </w:tcBorders>
            <w:gridSpan w:val="27"/>
          </w:tcPr>
          <w:p>
            <w:pPr>
              <w:spacing w:after="0" w:line="115" w:lineRule="exact"/>
              <w:rPr>
                <w:rFonts w:ascii="Arial" w:cs="Arial" w:eastAsia="Arial" w:hAnsi="Arial"/>
                <w:sz w:val="13"/>
                <w:szCs w:val="13"/>
                <w:color w:val="0000FF"/>
              </w:rPr>
            </w:pPr>
            <w:hyperlink r:id="rId157">
              <w:r>
                <w:rPr>
                  <w:rFonts w:ascii="Arial" w:cs="Arial" w:eastAsia="Arial" w:hAnsi="Arial"/>
                  <w:sz w:val="13"/>
                  <w:szCs w:val="13"/>
                  <w:color w:val="0000FF"/>
                </w:rPr>
                <w:t>its subsidiaries under the Abercrombie &amp; Fitch Co. 2016 Long-Term Incentive Plan for Associates on and after March 26, 2019 and prior to March 7, 2023, (3-</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8"/>
        </w:trPr>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60" w:type="dxa"/>
            <w:vAlign w:val="bottom"/>
            <w:tcBorders>
              <w:top w:val="single" w:sz="8" w:color="0000FF"/>
            </w:tcBorders>
            <w:gridSpan w:val="26"/>
          </w:tcPr>
          <w:p>
            <w:pPr>
              <w:spacing w:after="0" w:line="129" w:lineRule="exact"/>
              <w:rPr>
                <w:rFonts w:ascii="Arial" w:cs="Arial" w:eastAsia="Arial" w:hAnsi="Arial"/>
                <w:sz w:val="14"/>
                <w:szCs w:val="14"/>
                <w:color w:val="0000FF"/>
              </w:rPr>
            </w:pPr>
            <w:hyperlink r:id="rId157">
              <w:r>
                <w:rPr>
                  <w:rFonts w:ascii="Arial" w:cs="Arial" w:eastAsia="Arial" w:hAnsi="Arial"/>
                  <w:sz w:val="14"/>
                  <w:szCs w:val="14"/>
                  <w:color w:val="0000FF"/>
                </w:rPr>
                <w:t>year vesting), incorporated herein by reference to Exhibit 10.1 to A&amp;F’s Quarterly Report on Form 10-Q for the quarterly period ended May 2, 2020 (File No.</w:t>
              </w:r>
            </w:hyperlink>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9"/>
        </w:trPr>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960" w:type="dxa"/>
            <w:vAlign w:val="bottom"/>
            <w:tcBorders>
              <w:top w:val="single" w:sz="8" w:color="0000FF"/>
            </w:tcBorders>
            <w:gridSpan w:val="3"/>
          </w:tcPr>
          <w:p>
            <w:pPr>
              <w:spacing w:after="0" w:line="129" w:lineRule="exact"/>
              <w:rPr>
                <w:rFonts w:ascii="Arial" w:cs="Arial" w:eastAsia="Arial" w:hAnsi="Arial"/>
                <w:sz w:val="14"/>
                <w:szCs w:val="14"/>
                <w:color w:val="0000FF"/>
              </w:rPr>
            </w:pPr>
            <w:hyperlink r:id="rId157">
              <w:r>
                <w:rPr>
                  <w:rFonts w:ascii="Arial" w:cs="Arial" w:eastAsia="Arial" w:hAnsi="Arial"/>
                  <w:sz w:val="14"/>
                  <w:szCs w:val="14"/>
                  <w:color w:val="0000FF"/>
                </w:rPr>
                <w:t>001-12107).</w:t>
              </w:r>
            </w:hyperlink>
          </w:p>
        </w:tc>
        <w:tc>
          <w:tcPr>
            <w:tcW w:w="340" w:type="dxa"/>
            <w:vAlign w:val="bottom"/>
            <w:tcBorders>
              <w:top w:val="single" w:sz="8" w:color="0000FF"/>
            </w:tcBorders>
          </w:tcPr>
          <w:p>
            <w:pPr>
              <w:spacing w:after="0"/>
              <w:rPr>
                <w:sz w:val="11"/>
                <w:szCs w:val="11"/>
                <w:color w:val="auto"/>
              </w:rPr>
            </w:pPr>
          </w:p>
        </w:tc>
        <w:tc>
          <w:tcPr>
            <w:tcW w:w="400" w:type="dxa"/>
            <w:vAlign w:val="bottom"/>
            <w:tcBorders>
              <w:top w:val="single" w:sz="8" w:color="0000FF"/>
            </w:tcBorders>
          </w:tcPr>
          <w:p>
            <w:pPr>
              <w:spacing w:after="0"/>
              <w:rPr>
                <w:sz w:val="11"/>
                <w:szCs w:val="11"/>
                <w:color w:val="auto"/>
              </w:rPr>
            </w:pPr>
          </w:p>
        </w:tc>
        <w:tc>
          <w:tcPr>
            <w:tcW w:w="560" w:type="dxa"/>
            <w:vAlign w:val="bottom"/>
            <w:tcBorders>
              <w:top w:val="single" w:sz="8" w:color="0000FF"/>
            </w:tcBorders>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88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500" w:type="dxa"/>
            <w:vAlign w:val="bottom"/>
            <w:tcBorders>
              <w:top w:val="single" w:sz="8" w:color="0000FF"/>
            </w:tcBorders>
          </w:tcPr>
          <w:p>
            <w:pPr>
              <w:spacing w:after="0"/>
              <w:rPr>
                <w:sz w:val="11"/>
                <w:szCs w:val="11"/>
                <w:color w:val="auto"/>
              </w:rPr>
            </w:pPr>
          </w:p>
        </w:tc>
        <w:tc>
          <w:tcPr>
            <w:tcW w:w="740" w:type="dxa"/>
            <w:vAlign w:val="bottom"/>
            <w:tcBorders>
              <w:top w:val="single" w:sz="8" w:color="0000FF"/>
            </w:tcBorders>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740" w:type="dxa"/>
            <w:vAlign w:val="bottom"/>
            <w:tcBorders>
              <w:top w:val="single" w:sz="8" w:color="0000FF"/>
            </w:tcBorders>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780" w:type="dxa"/>
            <w:vAlign w:val="bottom"/>
            <w:tcBorders>
              <w:top w:val="single" w:sz="8" w:color="0000FF"/>
            </w:tcBorders>
          </w:tcPr>
          <w:p>
            <w:pPr>
              <w:spacing w:after="0"/>
              <w:rPr>
                <w:sz w:val="11"/>
                <w:szCs w:val="11"/>
                <w:color w:val="auto"/>
              </w:rPr>
            </w:pPr>
          </w:p>
        </w:tc>
        <w:tc>
          <w:tcPr>
            <w:tcW w:w="13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580" w:type="dxa"/>
            <w:vAlign w:val="bottom"/>
            <w:shd w:val="clear" w:color="auto" w:fill="F5F5F5"/>
          </w:tcPr>
          <w:p>
            <w:pPr>
              <w:jc w:val="right"/>
              <w:ind w:right="68"/>
              <w:spacing w:after="0"/>
              <w:rPr>
                <w:sz w:val="20"/>
                <w:szCs w:val="20"/>
                <w:color w:val="auto"/>
              </w:rPr>
            </w:pPr>
            <w:r>
              <w:rPr>
                <w:rFonts w:ascii="Arial" w:cs="Arial" w:eastAsia="Arial" w:hAnsi="Arial"/>
                <w:sz w:val="14"/>
                <w:szCs w:val="14"/>
                <w:color w:val="auto"/>
              </w:rPr>
              <w:t>10.39*</w:t>
            </w:r>
          </w:p>
        </w:tc>
        <w:tc>
          <w:tcPr>
            <w:tcW w:w="460" w:type="dxa"/>
            <w:vAlign w:val="bottom"/>
            <w:shd w:val="clear" w:color="auto" w:fill="F5F5F5"/>
          </w:tcPr>
          <w:p>
            <w:pPr>
              <w:spacing w:after="0"/>
              <w:rPr>
                <w:sz w:val="14"/>
                <w:szCs w:val="14"/>
                <w:color w:val="auto"/>
              </w:rPr>
            </w:pPr>
          </w:p>
        </w:tc>
        <w:tc>
          <w:tcPr>
            <w:tcW w:w="10380" w:type="dxa"/>
            <w:vAlign w:val="bottom"/>
            <w:gridSpan w:val="32"/>
            <w:shd w:val="clear" w:color="auto" w:fill="F5F5F5"/>
          </w:tcPr>
          <w:p>
            <w:pPr>
              <w:spacing w:after="0"/>
              <w:rPr>
                <w:rFonts w:ascii="Arial" w:cs="Arial" w:eastAsia="Arial" w:hAnsi="Arial"/>
                <w:sz w:val="14"/>
                <w:szCs w:val="14"/>
                <w:color w:val="0000FF"/>
              </w:rPr>
            </w:pPr>
            <w:hyperlink r:id="rId158">
              <w:r>
                <w:rPr>
                  <w:rFonts w:ascii="Arial" w:cs="Arial" w:eastAsia="Arial" w:hAnsi="Arial"/>
                  <w:sz w:val="14"/>
                  <w:szCs w:val="14"/>
                  <w:color w:val="0000FF"/>
                </w:rPr>
                <w:t>Form of Restricted Stock Unit Award Agreement used to evidence the grant of restricted stock units to associates (employees) of Abercrombie &amp; Fitch Co. and</w:t>
              </w:r>
            </w:hyperlink>
          </w:p>
        </w:tc>
      </w:tr>
      <w:tr>
        <w:trPr>
          <w:trHeight w:val="115"/>
        </w:trPr>
        <w:tc>
          <w:tcPr>
            <w:tcW w:w="580" w:type="dxa"/>
            <w:vAlign w:val="bottom"/>
            <w:tcBorders>
              <w:top w:val="single" w:sz="8" w:color="F5F5F5"/>
              <w:bottom w:val="single" w:sz="8" w:color="F5F5F5"/>
            </w:tcBorders>
            <w:shd w:val="clear" w:color="auto" w:fill="F5F5F5"/>
          </w:tcPr>
          <w:p>
            <w:pPr>
              <w:spacing w:after="0"/>
              <w:rPr>
                <w:sz w:val="10"/>
                <w:szCs w:val="10"/>
                <w:color w:val="auto"/>
              </w:rPr>
            </w:pPr>
          </w:p>
        </w:tc>
        <w:tc>
          <w:tcPr>
            <w:tcW w:w="460" w:type="dxa"/>
            <w:vAlign w:val="bottom"/>
            <w:tcBorders>
              <w:top w:val="single" w:sz="8" w:color="F5F5F5"/>
              <w:bottom w:val="single" w:sz="8" w:color="F5F5F5"/>
            </w:tcBorders>
            <w:shd w:val="clear" w:color="auto" w:fill="F5F5F5"/>
          </w:tcPr>
          <w:p>
            <w:pPr>
              <w:spacing w:after="0"/>
              <w:rPr>
                <w:sz w:val="10"/>
                <w:szCs w:val="10"/>
                <w:color w:val="auto"/>
              </w:rPr>
            </w:pPr>
          </w:p>
        </w:tc>
        <w:tc>
          <w:tcPr>
            <w:tcW w:w="10300" w:type="dxa"/>
            <w:vAlign w:val="bottom"/>
            <w:tcBorders>
              <w:top w:val="single" w:sz="8" w:color="0000FF"/>
              <w:bottom w:val="single" w:sz="8" w:color="0000FF"/>
            </w:tcBorders>
            <w:gridSpan w:val="28"/>
            <w:shd w:val="clear" w:color="auto" w:fill="F5F5F5"/>
          </w:tcPr>
          <w:p>
            <w:pPr>
              <w:spacing w:after="0" w:line="115" w:lineRule="exact"/>
              <w:rPr>
                <w:rFonts w:ascii="Arial" w:cs="Arial" w:eastAsia="Arial" w:hAnsi="Arial"/>
                <w:sz w:val="13"/>
                <w:szCs w:val="13"/>
                <w:color w:val="0000FF"/>
              </w:rPr>
            </w:pPr>
            <w:hyperlink r:id="rId158">
              <w:r>
                <w:rPr>
                  <w:rFonts w:ascii="Arial" w:cs="Arial" w:eastAsia="Arial" w:hAnsi="Arial"/>
                  <w:sz w:val="13"/>
                  <w:szCs w:val="13"/>
                  <w:color w:val="0000FF"/>
                </w:rPr>
                <w:t>its subsidiaries under the Abercrombie &amp; Fitch Co. 2016 Long-Term Incentive Plan for Associates on and after June 16, 2016 and prior to March 7, 2023 (4-year</w:t>
              </w:r>
            </w:hyperlink>
          </w:p>
        </w:tc>
        <w:tc>
          <w:tcPr>
            <w:tcW w:w="40" w:type="dxa"/>
            <w:vAlign w:val="bottom"/>
            <w:tcBorders>
              <w:top w:val="single" w:sz="8" w:color="F5F5F5"/>
              <w:bottom w:val="single" w:sz="8" w:color="0000FF"/>
            </w:tcBorders>
            <w:gridSpan w:val="2"/>
            <w:shd w:val="clear" w:color="auto" w:fill="F5F5F5"/>
          </w:tcPr>
          <w:p>
            <w:pPr>
              <w:spacing w:after="0"/>
              <w:rPr>
                <w:sz w:val="10"/>
                <w:szCs w:val="10"/>
                <w:color w:val="auto"/>
              </w:rPr>
            </w:pPr>
          </w:p>
        </w:tc>
        <w:tc>
          <w:tcPr>
            <w:tcW w:w="20" w:type="dxa"/>
            <w:vAlign w:val="bottom"/>
            <w:tcBorders>
              <w:top w:val="single" w:sz="8" w:color="F5F5F5"/>
              <w:bottom w:val="single" w:sz="8" w:color="F5F5F5"/>
            </w:tcBorders>
            <w:shd w:val="clear" w:color="auto" w:fill="F5F5F5"/>
          </w:tcPr>
          <w:p>
            <w:pPr>
              <w:spacing w:after="0"/>
              <w:rPr>
                <w:sz w:val="10"/>
                <w:szCs w:val="10"/>
                <w:color w:val="auto"/>
              </w:rPr>
            </w:pPr>
          </w:p>
        </w:tc>
        <w:tc>
          <w:tcPr>
            <w:tcW w:w="20" w:type="dxa"/>
            <w:vAlign w:val="bottom"/>
            <w:tcBorders>
              <w:top w:val="single" w:sz="8" w:color="F5F5F5"/>
              <w:bottom w:val="single" w:sz="8" w:color="F5F5F5"/>
            </w:tcBorders>
            <w:shd w:val="clear" w:color="auto" w:fill="F5F5F5"/>
          </w:tcPr>
          <w:p>
            <w:pPr>
              <w:spacing w:after="0"/>
              <w:rPr>
                <w:sz w:val="10"/>
                <w:szCs w:val="10"/>
                <w:color w:val="auto"/>
              </w:rPr>
            </w:pPr>
          </w:p>
        </w:tc>
      </w:tr>
      <w:tr>
        <w:trPr>
          <w:trHeight w:val="128"/>
        </w:trPr>
        <w:tc>
          <w:tcPr>
            <w:tcW w:w="580" w:type="dxa"/>
            <w:vAlign w:val="bottom"/>
            <w:shd w:val="clear" w:color="auto" w:fill="F5F5F5"/>
          </w:tcPr>
          <w:p>
            <w:pPr>
              <w:spacing w:after="0"/>
              <w:rPr>
                <w:sz w:val="11"/>
                <w:szCs w:val="11"/>
                <w:color w:val="auto"/>
              </w:rPr>
            </w:pPr>
          </w:p>
        </w:tc>
        <w:tc>
          <w:tcPr>
            <w:tcW w:w="460" w:type="dxa"/>
            <w:vAlign w:val="bottom"/>
            <w:shd w:val="clear" w:color="auto" w:fill="F5F5F5"/>
          </w:tcPr>
          <w:p>
            <w:pPr>
              <w:spacing w:after="0"/>
              <w:rPr>
                <w:sz w:val="11"/>
                <w:szCs w:val="11"/>
                <w:color w:val="auto"/>
              </w:rPr>
            </w:pPr>
          </w:p>
        </w:tc>
        <w:tc>
          <w:tcPr>
            <w:tcW w:w="10340" w:type="dxa"/>
            <w:vAlign w:val="bottom"/>
            <w:gridSpan w:val="30"/>
            <w:shd w:val="clear" w:color="auto" w:fill="F5F5F5"/>
          </w:tcPr>
          <w:p>
            <w:pPr>
              <w:spacing w:after="0" w:line="129" w:lineRule="exact"/>
              <w:rPr>
                <w:rFonts w:ascii="Arial" w:cs="Arial" w:eastAsia="Arial" w:hAnsi="Arial"/>
                <w:sz w:val="14"/>
                <w:szCs w:val="14"/>
                <w:color w:val="0000FF"/>
              </w:rPr>
            </w:pPr>
            <w:hyperlink r:id="rId158">
              <w:r>
                <w:rPr>
                  <w:rFonts w:ascii="Arial" w:cs="Arial" w:eastAsia="Arial" w:hAnsi="Arial"/>
                  <w:sz w:val="14"/>
                  <w:szCs w:val="14"/>
                  <w:color w:val="0000FF"/>
                </w:rPr>
                <w:t>vesting), incorporated herein by reference to Exhibit 10.6 to A&amp;F’s Quarterly Report on Form 10-Q for the quarterly period ended July 30, 2016 (File No. 001-</w:t>
              </w:r>
            </w:hyperlink>
          </w:p>
        </w:tc>
        <w:tc>
          <w:tcPr>
            <w:tcW w:w="20" w:type="dxa"/>
            <w:vAlign w:val="bottom"/>
            <w:shd w:val="clear" w:color="auto" w:fill="F5F5F5"/>
          </w:tcPr>
          <w:p>
            <w:pPr>
              <w:spacing w:after="0"/>
              <w:rPr>
                <w:sz w:val="11"/>
                <w:szCs w:val="11"/>
                <w:color w:val="auto"/>
              </w:rPr>
            </w:pPr>
          </w:p>
        </w:tc>
        <w:tc>
          <w:tcPr>
            <w:tcW w:w="20" w:type="dxa"/>
            <w:vAlign w:val="bottom"/>
            <w:shd w:val="clear" w:color="auto" w:fill="F5F5F5"/>
          </w:tcPr>
          <w:p>
            <w:pPr>
              <w:spacing w:after="0"/>
              <w:rPr>
                <w:sz w:val="11"/>
                <w:szCs w:val="11"/>
                <w:color w:val="auto"/>
              </w:rPr>
            </w:pPr>
          </w:p>
        </w:tc>
      </w:tr>
      <w:tr>
        <w:trPr>
          <w:trHeight w:val="154"/>
        </w:trPr>
        <w:tc>
          <w:tcPr>
            <w:tcW w:w="580" w:type="dxa"/>
            <w:vAlign w:val="bottom"/>
            <w:tcBorders>
              <w:top w:val="single" w:sz="8" w:color="F5F5F5"/>
              <w:bottom w:val="single" w:sz="8" w:color="F5F5F5"/>
            </w:tcBorders>
            <w:shd w:val="clear" w:color="auto" w:fill="F5F5F5"/>
          </w:tcPr>
          <w:p>
            <w:pPr>
              <w:spacing w:after="0"/>
              <w:rPr>
                <w:sz w:val="12"/>
                <w:szCs w:val="12"/>
                <w:color w:val="auto"/>
              </w:rPr>
            </w:pPr>
          </w:p>
        </w:tc>
        <w:tc>
          <w:tcPr>
            <w:tcW w:w="460" w:type="dxa"/>
            <w:vAlign w:val="bottom"/>
            <w:tcBorders>
              <w:top w:val="single" w:sz="8" w:color="F5F5F5"/>
              <w:bottom w:val="single" w:sz="8" w:color="F5F5F5"/>
            </w:tcBorders>
            <w:shd w:val="clear" w:color="auto" w:fill="F5F5F5"/>
          </w:tcPr>
          <w:p>
            <w:pPr>
              <w:spacing w:after="0"/>
              <w:rPr>
                <w:sz w:val="12"/>
                <w:szCs w:val="12"/>
                <w:color w:val="auto"/>
              </w:rPr>
            </w:pPr>
          </w:p>
        </w:tc>
        <w:tc>
          <w:tcPr>
            <w:tcW w:w="480" w:type="dxa"/>
            <w:vAlign w:val="bottom"/>
            <w:tcBorders>
              <w:top w:val="single" w:sz="8" w:color="0000FF"/>
              <w:bottom w:val="single" w:sz="8" w:color="0000FF"/>
            </w:tcBorders>
            <w:shd w:val="clear" w:color="auto" w:fill="F5F5F5"/>
          </w:tcPr>
          <w:p>
            <w:pPr>
              <w:spacing w:after="0" w:line="129" w:lineRule="exact"/>
              <w:rPr>
                <w:rFonts w:ascii="Arial" w:cs="Arial" w:eastAsia="Arial" w:hAnsi="Arial"/>
                <w:sz w:val="14"/>
                <w:szCs w:val="14"/>
                <w:color w:val="0000FF"/>
                <w:w w:val="96"/>
              </w:rPr>
            </w:pPr>
            <w:hyperlink r:id="rId158">
              <w:r>
                <w:rPr>
                  <w:rFonts w:ascii="Arial" w:cs="Arial" w:eastAsia="Arial" w:hAnsi="Arial"/>
                  <w:sz w:val="14"/>
                  <w:szCs w:val="14"/>
                  <w:color w:val="0000FF"/>
                  <w:w w:val="96"/>
                </w:rPr>
                <w:t>12107).</w:t>
              </w:r>
            </w:hyperlink>
          </w:p>
        </w:tc>
        <w:tc>
          <w:tcPr>
            <w:tcW w:w="300" w:type="dxa"/>
            <w:vAlign w:val="bottom"/>
            <w:tcBorders>
              <w:top w:val="single" w:sz="8" w:color="0000FF"/>
              <w:bottom w:val="single" w:sz="8" w:color="F5F5F5"/>
            </w:tcBorders>
            <w:shd w:val="clear" w:color="auto" w:fill="F5F5F5"/>
          </w:tcPr>
          <w:p>
            <w:pPr>
              <w:spacing w:after="0"/>
              <w:rPr>
                <w:sz w:val="12"/>
                <w:szCs w:val="12"/>
                <w:color w:val="auto"/>
              </w:rPr>
            </w:pPr>
          </w:p>
        </w:tc>
        <w:tc>
          <w:tcPr>
            <w:tcW w:w="1180" w:type="dxa"/>
            <w:vAlign w:val="bottom"/>
            <w:tcBorders>
              <w:top w:val="single" w:sz="8" w:color="0000FF"/>
              <w:bottom w:val="single" w:sz="8" w:color="F5F5F5"/>
            </w:tcBorders>
            <w:shd w:val="clear" w:color="auto" w:fill="F5F5F5"/>
          </w:tcPr>
          <w:p>
            <w:pPr>
              <w:spacing w:after="0"/>
              <w:rPr>
                <w:sz w:val="12"/>
                <w:szCs w:val="12"/>
                <w:color w:val="auto"/>
              </w:rPr>
            </w:pPr>
          </w:p>
        </w:tc>
        <w:tc>
          <w:tcPr>
            <w:tcW w:w="340" w:type="dxa"/>
            <w:vAlign w:val="bottom"/>
            <w:tcBorders>
              <w:top w:val="single" w:sz="8" w:color="0000FF"/>
              <w:bottom w:val="single" w:sz="8" w:color="F5F5F5"/>
            </w:tcBorders>
            <w:shd w:val="clear" w:color="auto" w:fill="F5F5F5"/>
          </w:tcPr>
          <w:p>
            <w:pPr>
              <w:spacing w:after="0"/>
              <w:rPr>
                <w:sz w:val="12"/>
                <w:szCs w:val="12"/>
                <w:color w:val="auto"/>
              </w:rPr>
            </w:pPr>
          </w:p>
        </w:tc>
        <w:tc>
          <w:tcPr>
            <w:tcW w:w="400" w:type="dxa"/>
            <w:vAlign w:val="bottom"/>
            <w:tcBorders>
              <w:top w:val="single" w:sz="8" w:color="0000FF"/>
              <w:bottom w:val="single" w:sz="8" w:color="F5F5F5"/>
            </w:tcBorders>
            <w:shd w:val="clear" w:color="auto" w:fill="F5F5F5"/>
          </w:tcPr>
          <w:p>
            <w:pPr>
              <w:spacing w:after="0"/>
              <w:rPr>
                <w:sz w:val="12"/>
                <w:szCs w:val="12"/>
                <w:color w:val="auto"/>
              </w:rPr>
            </w:pPr>
          </w:p>
        </w:tc>
        <w:tc>
          <w:tcPr>
            <w:tcW w:w="560" w:type="dxa"/>
            <w:vAlign w:val="bottom"/>
            <w:tcBorders>
              <w:top w:val="single" w:sz="8" w:color="0000FF"/>
              <w:bottom w:val="single" w:sz="8" w:color="F5F5F5"/>
            </w:tcBorders>
            <w:shd w:val="clear" w:color="auto" w:fill="F5F5F5"/>
          </w:tcPr>
          <w:p>
            <w:pPr>
              <w:spacing w:after="0"/>
              <w:rPr>
                <w:sz w:val="12"/>
                <w:szCs w:val="12"/>
                <w:color w:val="auto"/>
              </w:rPr>
            </w:pPr>
          </w:p>
        </w:tc>
        <w:tc>
          <w:tcPr>
            <w:tcW w:w="480" w:type="dxa"/>
            <w:vAlign w:val="bottom"/>
            <w:tcBorders>
              <w:top w:val="single" w:sz="8" w:color="0000FF"/>
              <w:bottom w:val="single" w:sz="8" w:color="F5F5F5"/>
            </w:tcBorders>
            <w:shd w:val="clear" w:color="auto" w:fill="F5F5F5"/>
          </w:tcPr>
          <w:p>
            <w:pPr>
              <w:spacing w:after="0"/>
              <w:rPr>
                <w:sz w:val="12"/>
                <w:szCs w:val="12"/>
                <w:color w:val="auto"/>
              </w:rPr>
            </w:pPr>
          </w:p>
        </w:tc>
        <w:tc>
          <w:tcPr>
            <w:tcW w:w="20" w:type="dxa"/>
            <w:vAlign w:val="bottom"/>
            <w:tcBorders>
              <w:top w:val="single" w:sz="8" w:color="0000FF"/>
              <w:bottom w:val="single" w:sz="8" w:color="F5F5F5"/>
            </w:tcBorders>
            <w:shd w:val="clear" w:color="auto" w:fill="F5F5F5"/>
          </w:tcPr>
          <w:p>
            <w:pPr>
              <w:spacing w:after="0"/>
              <w:rPr>
                <w:sz w:val="12"/>
                <w:szCs w:val="12"/>
                <w:color w:val="auto"/>
              </w:rPr>
            </w:pPr>
          </w:p>
        </w:tc>
        <w:tc>
          <w:tcPr>
            <w:tcW w:w="100" w:type="dxa"/>
            <w:vAlign w:val="bottom"/>
            <w:tcBorders>
              <w:top w:val="single" w:sz="8" w:color="0000FF"/>
              <w:bottom w:val="single" w:sz="8" w:color="F5F5F5"/>
            </w:tcBorders>
            <w:shd w:val="clear" w:color="auto" w:fill="F5F5F5"/>
          </w:tcPr>
          <w:p>
            <w:pPr>
              <w:spacing w:after="0"/>
              <w:rPr>
                <w:sz w:val="12"/>
                <w:szCs w:val="12"/>
                <w:color w:val="auto"/>
              </w:rPr>
            </w:pPr>
          </w:p>
        </w:tc>
        <w:tc>
          <w:tcPr>
            <w:tcW w:w="60" w:type="dxa"/>
            <w:vAlign w:val="bottom"/>
            <w:tcBorders>
              <w:top w:val="single" w:sz="8" w:color="0000FF"/>
              <w:bottom w:val="single" w:sz="8" w:color="F5F5F5"/>
            </w:tcBorders>
            <w:shd w:val="clear" w:color="auto" w:fill="F5F5F5"/>
          </w:tcPr>
          <w:p>
            <w:pPr>
              <w:spacing w:after="0"/>
              <w:rPr>
                <w:sz w:val="12"/>
                <w:szCs w:val="12"/>
                <w:color w:val="auto"/>
              </w:rPr>
            </w:pPr>
          </w:p>
        </w:tc>
        <w:tc>
          <w:tcPr>
            <w:tcW w:w="280" w:type="dxa"/>
            <w:vAlign w:val="bottom"/>
            <w:tcBorders>
              <w:top w:val="single" w:sz="8" w:color="0000FF"/>
              <w:bottom w:val="single" w:sz="8" w:color="F5F5F5"/>
            </w:tcBorders>
            <w:shd w:val="clear" w:color="auto" w:fill="F5F5F5"/>
          </w:tcPr>
          <w:p>
            <w:pPr>
              <w:spacing w:after="0"/>
              <w:rPr>
                <w:sz w:val="12"/>
                <w:szCs w:val="12"/>
                <w:color w:val="auto"/>
              </w:rPr>
            </w:pPr>
          </w:p>
        </w:tc>
        <w:tc>
          <w:tcPr>
            <w:tcW w:w="880" w:type="dxa"/>
            <w:vAlign w:val="bottom"/>
            <w:tcBorders>
              <w:top w:val="single" w:sz="8" w:color="0000FF"/>
              <w:bottom w:val="single" w:sz="8" w:color="F5F5F5"/>
            </w:tcBorders>
            <w:shd w:val="clear" w:color="auto" w:fill="F5F5F5"/>
          </w:tcPr>
          <w:p>
            <w:pPr>
              <w:spacing w:after="0"/>
              <w:rPr>
                <w:sz w:val="12"/>
                <w:szCs w:val="12"/>
                <w:color w:val="auto"/>
              </w:rPr>
            </w:pPr>
          </w:p>
        </w:tc>
        <w:tc>
          <w:tcPr>
            <w:tcW w:w="160" w:type="dxa"/>
            <w:vAlign w:val="bottom"/>
            <w:tcBorders>
              <w:top w:val="single" w:sz="8" w:color="0000FF"/>
              <w:bottom w:val="single" w:sz="8" w:color="F5F5F5"/>
            </w:tcBorders>
            <w:shd w:val="clear" w:color="auto" w:fill="F5F5F5"/>
          </w:tcPr>
          <w:p>
            <w:pPr>
              <w:spacing w:after="0"/>
              <w:rPr>
                <w:sz w:val="12"/>
                <w:szCs w:val="12"/>
                <w:color w:val="auto"/>
              </w:rPr>
            </w:pPr>
          </w:p>
        </w:tc>
        <w:tc>
          <w:tcPr>
            <w:tcW w:w="500" w:type="dxa"/>
            <w:vAlign w:val="bottom"/>
            <w:tcBorders>
              <w:top w:val="single" w:sz="8" w:color="0000FF"/>
              <w:bottom w:val="single" w:sz="8" w:color="F5F5F5"/>
            </w:tcBorders>
            <w:shd w:val="clear" w:color="auto" w:fill="F5F5F5"/>
          </w:tcPr>
          <w:p>
            <w:pPr>
              <w:spacing w:after="0"/>
              <w:rPr>
                <w:sz w:val="12"/>
                <w:szCs w:val="12"/>
                <w:color w:val="auto"/>
              </w:rPr>
            </w:pPr>
          </w:p>
        </w:tc>
        <w:tc>
          <w:tcPr>
            <w:tcW w:w="740" w:type="dxa"/>
            <w:vAlign w:val="bottom"/>
            <w:tcBorders>
              <w:top w:val="single" w:sz="8" w:color="0000FF"/>
              <w:bottom w:val="single" w:sz="8" w:color="F5F5F5"/>
            </w:tcBorders>
            <w:shd w:val="clear" w:color="auto" w:fill="F5F5F5"/>
          </w:tcPr>
          <w:p>
            <w:pPr>
              <w:spacing w:after="0"/>
              <w:rPr>
                <w:sz w:val="12"/>
                <w:szCs w:val="12"/>
                <w:color w:val="auto"/>
              </w:rPr>
            </w:pPr>
          </w:p>
        </w:tc>
        <w:tc>
          <w:tcPr>
            <w:tcW w:w="420" w:type="dxa"/>
            <w:vAlign w:val="bottom"/>
            <w:tcBorders>
              <w:top w:val="single" w:sz="8" w:color="0000FF"/>
              <w:bottom w:val="single" w:sz="8" w:color="F5F5F5"/>
            </w:tcBorders>
            <w:shd w:val="clear" w:color="auto" w:fill="F5F5F5"/>
          </w:tcPr>
          <w:p>
            <w:pPr>
              <w:spacing w:after="0"/>
              <w:rPr>
                <w:sz w:val="12"/>
                <w:szCs w:val="12"/>
                <w:color w:val="auto"/>
              </w:rPr>
            </w:pPr>
          </w:p>
        </w:tc>
        <w:tc>
          <w:tcPr>
            <w:tcW w:w="60" w:type="dxa"/>
            <w:vAlign w:val="bottom"/>
            <w:tcBorders>
              <w:top w:val="single" w:sz="8" w:color="0000FF"/>
              <w:bottom w:val="single" w:sz="8" w:color="F5F5F5"/>
            </w:tcBorders>
            <w:shd w:val="clear" w:color="auto" w:fill="F5F5F5"/>
          </w:tcPr>
          <w:p>
            <w:pPr>
              <w:spacing w:after="0"/>
              <w:rPr>
                <w:sz w:val="12"/>
                <w:szCs w:val="12"/>
                <w:color w:val="auto"/>
              </w:rPr>
            </w:pPr>
          </w:p>
        </w:tc>
        <w:tc>
          <w:tcPr>
            <w:tcW w:w="740" w:type="dxa"/>
            <w:vAlign w:val="bottom"/>
            <w:tcBorders>
              <w:top w:val="single" w:sz="8" w:color="0000FF"/>
              <w:bottom w:val="single" w:sz="8" w:color="F5F5F5"/>
            </w:tcBorders>
            <w:shd w:val="clear" w:color="auto" w:fill="F5F5F5"/>
          </w:tcPr>
          <w:p>
            <w:pPr>
              <w:spacing w:after="0"/>
              <w:rPr>
                <w:sz w:val="12"/>
                <w:szCs w:val="12"/>
                <w:color w:val="auto"/>
              </w:rPr>
            </w:pPr>
          </w:p>
        </w:tc>
        <w:tc>
          <w:tcPr>
            <w:tcW w:w="380" w:type="dxa"/>
            <w:vAlign w:val="bottom"/>
            <w:tcBorders>
              <w:top w:val="single" w:sz="8" w:color="0000FF"/>
              <w:bottom w:val="single" w:sz="8" w:color="F5F5F5"/>
            </w:tcBorders>
            <w:shd w:val="clear" w:color="auto" w:fill="F5F5F5"/>
          </w:tcPr>
          <w:p>
            <w:pPr>
              <w:spacing w:after="0"/>
              <w:rPr>
                <w:sz w:val="12"/>
                <w:szCs w:val="12"/>
                <w:color w:val="auto"/>
              </w:rPr>
            </w:pPr>
          </w:p>
        </w:tc>
        <w:tc>
          <w:tcPr>
            <w:tcW w:w="780" w:type="dxa"/>
            <w:vAlign w:val="bottom"/>
            <w:tcBorders>
              <w:top w:val="single" w:sz="8" w:color="0000FF"/>
              <w:bottom w:val="single" w:sz="8" w:color="F5F5F5"/>
            </w:tcBorders>
            <w:shd w:val="clear" w:color="auto" w:fill="F5F5F5"/>
          </w:tcPr>
          <w:p>
            <w:pPr>
              <w:spacing w:after="0"/>
              <w:rPr>
                <w:sz w:val="12"/>
                <w:szCs w:val="12"/>
                <w:color w:val="auto"/>
              </w:rPr>
            </w:pPr>
          </w:p>
        </w:tc>
        <w:tc>
          <w:tcPr>
            <w:tcW w:w="1300" w:type="dxa"/>
            <w:vAlign w:val="bottom"/>
            <w:tcBorders>
              <w:top w:val="single" w:sz="8" w:color="0000FF"/>
              <w:bottom w:val="single" w:sz="8" w:color="F5F5F5"/>
            </w:tcBorders>
            <w:shd w:val="clear" w:color="auto" w:fill="F5F5F5"/>
          </w:tcPr>
          <w:p>
            <w:pPr>
              <w:spacing w:after="0"/>
              <w:rPr>
                <w:sz w:val="12"/>
                <w:szCs w:val="12"/>
                <w:color w:val="auto"/>
              </w:rPr>
            </w:pPr>
          </w:p>
        </w:tc>
        <w:tc>
          <w:tcPr>
            <w:tcW w:w="20" w:type="dxa"/>
            <w:vAlign w:val="bottom"/>
            <w:tcBorders>
              <w:top w:val="single" w:sz="8" w:color="F5F5F5"/>
              <w:bottom w:val="single" w:sz="8" w:color="F5F5F5"/>
            </w:tcBorders>
            <w:shd w:val="clear" w:color="auto" w:fill="F5F5F5"/>
          </w:tcPr>
          <w:p>
            <w:pPr>
              <w:spacing w:after="0"/>
              <w:rPr>
                <w:sz w:val="12"/>
                <w:szCs w:val="12"/>
                <w:color w:val="auto"/>
              </w:rPr>
            </w:pPr>
          </w:p>
        </w:tc>
        <w:tc>
          <w:tcPr>
            <w:tcW w:w="20" w:type="dxa"/>
            <w:vAlign w:val="bottom"/>
            <w:tcBorders>
              <w:top w:val="single" w:sz="8" w:color="F5F5F5"/>
              <w:bottom w:val="single" w:sz="8" w:color="F5F5F5"/>
            </w:tcBorders>
            <w:shd w:val="clear" w:color="auto" w:fill="F5F5F5"/>
          </w:tcPr>
          <w:p>
            <w:pPr>
              <w:spacing w:after="0"/>
              <w:rPr>
                <w:sz w:val="12"/>
                <w:szCs w:val="12"/>
                <w:color w:val="auto"/>
              </w:rPr>
            </w:pPr>
          </w:p>
        </w:tc>
        <w:tc>
          <w:tcPr>
            <w:tcW w:w="20" w:type="dxa"/>
            <w:vAlign w:val="bottom"/>
            <w:tcBorders>
              <w:top w:val="single" w:sz="8" w:color="F5F5F5"/>
              <w:bottom w:val="single" w:sz="8" w:color="F5F5F5"/>
            </w:tcBorders>
            <w:shd w:val="clear" w:color="auto" w:fill="F5F5F5"/>
          </w:tcPr>
          <w:p>
            <w:pPr>
              <w:spacing w:after="0"/>
              <w:rPr>
                <w:sz w:val="12"/>
                <w:szCs w:val="12"/>
                <w:color w:val="auto"/>
              </w:rPr>
            </w:pPr>
          </w:p>
        </w:tc>
        <w:tc>
          <w:tcPr>
            <w:tcW w:w="20" w:type="dxa"/>
            <w:vAlign w:val="bottom"/>
            <w:tcBorders>
              <w:top w:val="single" w:sz="8" w:color="F5F5F5"/>
              <w:bottom w:val="single" w:sz="8" w:color="F5F5F5"/>
            </w:tcBorders>
            <w:shd w:val="clear" w:color="auto" w:fill="F5F5F5"/>
          </w:tcPr>
          <w:p>
            <w:pPr>
              <w:spacing w:after="0"/>
              <w:rPr>
                <w:sz w:val="12"/>
                <w:szCs w:val="12"/>
                <w:color w:val="auto"/>
              </w:rPr>
            </w:pPr>
          </w:p>
        </w:tc>
        <w:tc>
          <w:tcPr>
            <w:tcW w:w="20" w:type="dxa"/>
            <w:vAlign w:val="bottom"/>
            <w:tcBorders>
              <w:top w:val="single" w:sz="8" w:color="F5F5F5"/>
              <w:bottom w:val="single" w:sz="8" w:color="F5F5F5"/>
            </w:tcBorders>
            <w:shd w:val="clear" w:color="auto" w:fill="F5F5F5"/>
          </w:tcPr>
          <w:p>
            <w:pPr>
              <w:spacing w:after="0"/>
              <w:rPr>
                <w:sz w:val="12"/>
                <w:szCs w:val="12"/>
                <w:color w:val="auto"/>
              </w:rPr>
            </w:pPr>
          </w:p>
        </w:tc>
        <w:tc>
          <w:tcPr>
            <w:tcW w:w="20" w:type="dxa"/>
            <w:vAlign w:val="bottom"/>
            <w:tcBorders>
              <w:top w:val="single" w:sz="8" w:color="F5F5F5"/>
              <w:bottom w:val="single" w:sz="8" w:color="F5F5F5"/>
            </w:tcBorders>
            <w:shd w:val="clear" w:color="auto" w:fill="F5F5F5"/>
          </w:tcPr>
          <w:p>
            <w:pPr>
              <w:spacing w:after="0"/>
              <w:rPr>
                <w:sz w:val="12"/>
                <w:szCs w:val="12"/>
                <w:color w:val="auto"/>
              </w:rPr>
            </w:pPr>
          </w:p>
        </w:tc>
        <w:tc>
          <w:tcPr>
            <w:tcW w:w="20" w:type="dxa"/>
            <w:vAlign w:val="bottom"/>
            <w:tcBorders>
              <w:top w:val="single" w:sz="8" w:color="F5F5F5"/>
              <w:bottom w:val="single" w:sz="8" w:color="F5F5F5"/>
            </w:tcBorders>
            <w:shd w:val="clear" w:color="auto" w:fill="F5F5F5"/>
          </w:tcPr>
          <w:p>
            <w:pPr>
              <w:spacing w:after="0"/>
              <w:rPr>
                <w:sz w:val="12"/>
                <w:szCs w:val="12"/>
                <w:color w:val="auto"/>
              </w:rPr>
            </w:pPr>
          </w:p>
        </w:tc>
        <w:tc>
          <w:tcPr>
            <w:tcW w:w="20" w:type="dxa"/>
            <w:vAlign w:val="bottom"/>
            <w:tcBorders>
              <w:top w:val="single" w:sz="8" w:color="F5F5F5"/>
              <w:bottom w:val="single" w:sz="8" w:color="F5F5F5"/>
            </w:tcBorders>
            <w:shd w:val="clear" w:color="auto" w:fill="F5F5F5"/>
          </w:tcPr>
          <w:p>
            <w:pPr>
              <w:spacing w:after="0"/>
              <w:rPr>
                <w:sz w:val="12"/>
                <w:szCs w:val="12"/>
                <w:color w:val="auto"/>
              </w:rPr>
            </w:pPr>
          </w:p>
        </w:tc>
        <w:tc>
          <w:tcPr>
            <w:tcW w:w="20" w:type="dxa"/>
            <w:vAlign w:val="bottom"/>
            <w:tcBorders>
              <w:top w:val="single" w:sz="8" w:color="F5F5F5"/>
              <w:bottom w:val="single" w:sz="8" w:color="F5F5F5"/>
            </w:tcBorders>
            <w:shd w:val="clear" w:color="auto" w:fill="F5F5F5"/>
          </w:tcPr>
          <w:p>
            <w:pPr>
              <w:spacing w:after="0"/>
              <w:rPr>
                <w:sz w:val="12"/>
                <w:szCs w:val="12"/>
                <w:color w:val="auto"/>
              </w:rPr>
            </w:pPr>
          </w:p>
        </w:tc>
        <w:tc>
          <w:tcPr>
            <w:tcW w:w="20" w:type="dxa"/>
            <w:vAlign w:val="bottom"/>
            <w:tcBorders>
              <w:top w:val="single" w:sz="8" w:color="F5F5F5"/>
              <w:bottom w:val="single" w:sz="8" w:color="F5F5F5"/>
            </w:tcBorders>
            <w:shd w:val="clear" w:color="auto" w:fill="F5F5F5"/>
          </w:tcPr>
          <w:p>
            <w:pPr>
              <w:spacing w:after="0"/>
              <w:rPr>
                <w:sz w:val="12"/>
                <w:szCs w:val="12"/>
                <w:color w:val="auto"/>
              </w:rPr>
            </w:pPr>
          </w:p>
        </w:tc>
        <w:tc>
          <w:tcPr>
            <w:tcW w:w="20" w:type="dxa"/>
            <w:vAlign w:val="bottom"/>
            <w:tcBorders>
              <w:top w:val="single" w:sz="8" w:color="F5F5F5"/>
              <w:bottom w:val="single" w:sz="8" w:color="F5F5F5"/>
            </w:tcBorders>
            <w:shd w:val="clear" w:color="auto" w:fill="F5F5F5"/>
          </w:tcPr>
          <w:p>
            <w:pPr>
              <w:spacing w:after="0"/>
              <w:rPr>
                <w:sz w:val="12"/>
                <w:szCs w:val="12"/>
                <w:color w:val="auto"/>
              </w:rPr>
            </w:pPr>
          </w:p>
        </w:tc>
      </w:tr>
      <w:tr>
        <w:trPr>
          <w:trHeight w:val="162"/>
        </w:trPr>
        <w:tc>
          <w:tcPr>
            <w:tcW w:w="580" w:type="dxa"/>
            <w:vAlign w:val="bottom"/>
            <w:tcBorders>
              <w:top w:val="single" w:sz="8" w:color="F5F5F5"/>
            </w:tcBorders>
          </w:tcPr>
          <w:p>
            <w:pPr>
              <w:jc w:val="right"/>
              <w:ind w:right="68"/>
              <w:spacing w:after="0"/>
              <w:rPr>
                <w:sz w:val="20"/>
                <w:szCs w:val="20"/>
                <w:color w:val="auto"/>
              </w:rPr>
            </w:pPr>
            <w:r>
              <w:rPr>
                <w:rFonts w:ascii="Arial" w:cs="Arial" w:eastAsia="Arial" w:hAnsi="Arial"/>
                <w:sz w:val="14"/>
                <w:szCs w:val="14"/>
                <w:color w:val="auto"/>
              </w:rPr>
              <w:t>10.40*</w:t>
            </w:r>
          </w:p>
        </w:tc>
        <w:tc>
          <w:tcPr>
            <w:tcW w:w="460" w:type="dxa"/>
            <w:vAlign w:val="bottom"/>
            <w:tcBorders>
              <w:top w:val="single" w:sz="8" w:color="F5F5F5"/>
            </w:tcBorders>
          </w:tcPr>
          <w:p>
            <w:pPr>
              <w:spacing w:after="0"/>
              <w:rPr>
                <w:sz w:val="14"/>
                <w:szCs w:val="14"/>
                <w:color w:val="auto"/>
              </w:rPr>
            </w:pPr>
          </w:p>
        </w:tc>
        <w:tc>
          <w:tcPr>
            <w:tcW w:w="10380" w:type="dxa"/>
            <w:vAlign w:val="bottom"/>
            <w:tcBorders>
              <w:top w:val="single" w:sz="8" w:color="F5F5F5"/>
            </w:tcBorders>
            <w:gridSpan w:val="32"/>
          </w:tcPr>
          <w:p>
            <w:pPr>
              <w:spacing w:after="0"/>
              <w:rPr>
                <w:rFonts w:ascii="Arial" w:cs="Arial" w:eastAsia="Arial" w:hAnsi="Arial"/>
                <w:sz w:val="14"/>
                <w:szCs w:val="14"/>
                <w:color w:val="0000FF"/>
              </w:rPr>
            </w:pPr>
            <w:hyperlink r:id="rId157">
              <w:r>
                <w:rPr>
                  <w:rFonts w:ascii="Arial" w:cs="Arial" w:eastAsia="Arial" w:hAnsi="Arial"/>
                  <w:sz w:val="14"/>
                  <w:szCs w:val="14"/>
                  <w:color w:val="0000FF"/>
                </w:rPr>
                <w:t>Form of Restricted Stock Unit Award Agreement used to evidence the grant of restricted stock units to associates (employees) of Abercrombie &amp; Fitch Co. and</w:t>
              </w:r>
            </w:hyperlink>
          </w:p>
        </w:tc>
      </w:tr>
      <w:tr>
        <w:trPr>
          <w:trHeight w:val="115"/>
        </w:trPr>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300" w:type="dxa"/>
            <w:vAlign w:val="bottom"/>
            <w:tcBorders>
              <w:top w:val="single" w:sz="8" w:color="0000FF"/>
              <w:bottom w:val="single" w:sz="8" w:color="0000FF"/>
            </w:tcBorders>
            <w:gridSpan w:val="28"/>
          </w:tcPr>
          <w:p>
            <w:pPr>
              <w:spacing w:after="0" w:line="115" w:lineRule="exact"/>
              <w:rPr>
                <w:rFonts w:ascii="Arial" w:cs="Arial" w:eastAsia="Arial" w:hAnsi="Arial"/>
                <w:sz w:val="13"/>
                <w:szCs w:val="13"/>
                <w:color w:val="0000FF"/>
              </w:rPr>
            </w:pPr>
            <w:hyperlink r:id="rId157">
              <w:r>
                <w:rPr>
                  <w:rFonts w:ascii="Arial" w:cs="Arial" w:eastAsia="Arial" w:hAnsi="Arial"/>
                  <w:sz w:val="13"/>
                  <w:szCs w:val="13"/>
                  <w:color w:val="0000FF"/>
                </w:rPr>
                <w:t>its subsidiaries under the Abercrombie &amp; Fitch Co. 2016 Long-Term Incentive Plan for Associates on and after March 7, 2023 (3-year vesting), incorporated</w:t>
              </w:r>
            </w:hyperlink>
          </w:p>
        </w:tc>
        <w:tc>
          <w:tcPr>
            <w:tcW w:w="60" w:type="dxa"/>
            <w:vAlign w:val="bottom"/>
            <w:tcBorders>
              <w:bottom w:val="single" w:sz="8" w:color="0000FF"/>
            </w:tcBorders>
            <w:gridSpan w:val="3"/>
          </w:tcPr>
          <w:p>
            <w:pPr>
              <w:spacing w:after="0"/>
              <w:rPr>
                <w:sz w:val="10"/>
                <w:szCs w:val="10"/>
                <w:color w:val="auto"/>
              </w:rPr>
            </w:pPr>
          </w:p>
        </w:tc>
        <w:tc>
          <w:tcPr>
            <w:tcW w:w="20" w:type="dxa"/>
            <w:vAlign w:val="bottom"/>
          </w:tcPr>
          <w:p>
            <w:pPr>
              <w:spacing w:after="0"/>
              <w:rPr>
                <w:sz w:val="10"/>
                <w:szCs w:val="10"/>
                <w:color w:val="auto"/>
              </w:rPr>
            </w:pPr>
          </w:p>
        </w:tc>
      </w:tr>
      <w:tr>
        <w:trPr>
          <w:trHeight w:val="129"/>
        </w:trPr>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60" w:type="dxa"/>
            <w:vAlign w:val="bottom"/>
            <w:tcBorders>
              <w:bottom w:val="single" w:sz="8" w:color="0000FF"/>
            </w:tcBorders>
            <w:gridSpan w:val="20"/>
          </w:tcPr>
          <w:p>
            <w:pPr>
              <w:spacing w:after="0" w:line="129" w:lineRule="exact"/>
              <w:rPr>
                <w:rFonts w:ascii="Arial" w:cs="Arial" w:eastAsia="Arial" w:hAnsi="Arial"/>
                <w:sz w:val="14"/>
                <w:szCs w:val="14"/>
                <w:color w:val="0000FF"/>
              </w:rPr>
            </w:pPr>
            <w:hyperlink r:id="rId157">
              <w:r>
                <w:rPr>
                  <w:rFonts w:ascii="Arial" w:cs="Arial" w:eastAsia="Arial" w:hAnsi="Arial"/>
                  <w:sz w:val="14"/>
                  <w:szCs w:val="14"/>
                  <w:color w:val="0000FF"/>
                </w:rPr>
                <w:t>herein by reference to Exhibit 10.38 to A&amp;F’s Annual Report on Form 10-K for the fiscal year ended January 28, 2023 (File No. 001-12107).</w:t>
              </w:r>
            </w:hyperlink>
          </w:p>
        </w:tc>
        <w:tc>
          <w:tcPr>
            <w:tcW w:w="1500" w:type="dxa"/>
            <w:vAlign w:val="bottom"/>
            <w:gridSpan w:val="11"/>
          </w:tcPr>
          <w:p>
            <w:pPr>
              <w:spacing w:after="0"/>
              <w:rPr>
                <w:sz w:val="11"/>
                <w:szCs w:val="11"/>
                <w:color w:val="auto"/>
              </w:rPr>
            </w:pPr>
          </w:p>
        </w:tc>
        <w:tc>
          <w:tcPr>
            <w:tcW w:w="20" w:type="dxa"/>
            <w:vAlign w:val="bottom"/>
          </w:tcPr>
          <w:p>
            <w:pPr>
              <w:spacing w:after="0"/>
              <w:rPr>
                <w:sz w:val="11"/>
                <w:szCs w:val="11"/>
                <w:color w:val="auto"/>
              </w:rPr>
            </w:pPr>
          </w:p>
        </w:tc>
      </w:tr>
      <w:tr>
        <w:trPr>
          <w:trHeight w:val="768"/>
        </w:trPr>
        <w:tc>
          <w:tcPr>
            <w:tcW w:w="580" w:type="dxa"/>
            <w:vAlign w:val="bottom"/>
          </w:tcPr>
          <w:p>
            <w:pPr>
              <w:spacing w:after="0"/>
              <w:rPr>
                <w:sz w:val="24"/>
                <w:szCs w:val="24"/>
                <w:color w:val="auto"/>
              </w:rPr>
            </w:pPr>
          </w:p>
        </w:tc>
        <w:tc>
          <w:tcPr>
            <w:tcW w:w="4660" w:type="dxa"/>
            <w:vAlign w:val="bottom"/>
            <w:gridSpan w:val="12"/>
          </w:tcPr>
          <w:p>
            <w:pPr>
              <w:ind w:left="140"/>
              <w:spacing w:after="0"/>
              <w:rPr>
                <w:sz w:val="20"/>
                <w:szCs w:val="20"/>
                <w:color w:val="auto"/>
              </w:rPr>
            </w:pPr>
            <w:r>
              <w:rPr>
                <w:rFonts w:ascii="Arial" w:cs="Arial" w:eastAsia="Arial" w:hAnsi="Arial"/>
                <w:sz w:val="14"/>
                <w:szCs w:val="14"/>
                <w:color w:val="auto"/>
              </w:rPr>
              <w:t>Abercrombie &amp; Fitch Co.</w:t>
            </w:r>
          </w:p>
        </w:tc>
        <w:tc>
          <w:tcPr>
            <w:tcW w:w="880" w:type="dxa"/>
            <w:vAlign w:val="bottom"/>
          </w:tcPr>
          <w:p>
            <w:pPr>
              <w:jc w:val="right"/>
              <w:ind w:right="348"/>
              <w:spacing w:after="0"/>
              <w:rPr>
                <w:sz w:val="20"/>
                <w:szCs w:val="20"/>
                <w:color w:val="auto"/>
              </w:rPr>
            </w:pPr>
            <w:r>
              <w:rPr>
                <w:rFonts w:ascii="Arial" w:cs="Arial" w:eastAsia="Arial" w:hAnsi="Arial"/>
                <w:sz w:val="14"/>
                <w:szCs w:val="14"/>
                <w:color w:val="auto"/>
              </w:rPr>
              <w:t>88</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00" w:type="dxa"/>
            <w:vAlign w:val="bottom"/>
            <w:gridSpan w:val="13"/>
          </w:tcPr>
          <w:p>
            <w:pPr>
              <w:ind w:left="360"/>
              <w:spacing w:after="0"/>
              <w:rPr>
                <w:sz w:val="20"/>
                <w:szCs w:val="20"/>
                <w:color w:val="auto"/>
              </w:rPr>
            </w:pPr>
            <w:r>
              <w:rPr>
                <w:rFonts w:ascii="Arial" w:cs="Arial" w:eastAsia="Arial" w:hAnsi="Arial"/>
                <w:sz w:val="14"/>
                <w:szCs w:val="14"/>
                <w:color w:val="auto"/>
              </w:rPr>
              <w:t>2024 Form 10-K</w:t>
            </w:r>
          </w:p>
        </w:tc>
      </w:tr>
      <w:tr>
        <w:trPr>
          <w:trHeight w:val="218"/>
        </w:trPr>
        <w:tc>
          <w:tcPr>
            <w:tcW w:w="58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shd w:val="clear" w:color="auto" w:fill="F2F2F2"/>
          </w:tcPr>
          <w:p>
            <w:pPr>
              <w:ind w:left="20"/>
              <w:spacing w:after="0"/>
              <w:rPr>
                <w:sz w:val="20"/>
                <w:szCs w:val="20"/>
                <w:color w:val="auto"/>
              </w:rPr>
            </w:pPr>
            <w:r>
              <w:rPr>
                <w:rFonts w:ascii="Arial" w:cs="Arial" w:eastAsia="Arial" w:hAnsi="Arial"/>
                <w:sz w:val="14"/>
                <w:szCs w:val="14"/>
                <w:color w:val="auto"/>
              </w:rPr>
              <w:t>10.41*</w:t>
            </w:r>
          </w:p>
        </w:tc>
        <w:tc>
          <w:tcPr>
            <w:tcW w:w="120" w:type="dxa"/>
            <w:vAlign w:val="bottom"/>
            <w:shd w:val="clear" w:color="auto" w:fill="F5F5F5"/>
          </w:tcPr>
          <w:p>
            <w:pPr>
              <w:spacing w:after="0"/>
              <w:rPr>
                <w:sz w:val="14"/>
                <w:szCs w:val="14"/>
                <w:color w:val="auto"/>
              </w:rPr>
            </w:pPr>
          </w:p>
        </w:tc>
        <w:tc>
          <w:tcPr>
            <w:tcW w:w="10500" w:type="dxa"/>
            <w:vAlign w:val="bottom"/>
            <w:gridSpan w:val="39"/>
            <w:shd w:val="clear" w:color="auto" w:fill="F5F5F5"/>
          </w:tcPr>
          <w:p>
            <w:pPr>
              <w:spacing w:after="0"/>
              <w:rPr>
                <w:sz w:val="20"/>
                <w:szCs w:val="20"/>
                <w:color w:val="auto"/>
              </w:rPr>
            </w:pPr>
            <w:r>
              <w:rPr>
                <w:rFonts w:ascii="Arial" w:cs="Arial" w:eastAsia="Arial" w:hAnsi="Arial"/>
                <w:sz w:val="14"/>
                <w:szCs w:val="14"/>
                <w:color w:val="0000FF"/>
              </w:rPr>
              <w:t>Form of Restricted Stock Unit Award Agreement used to evidence the grant of restricted stock units to associates (employees) of Abercrombie &amp; Fitch Co. and</w:t>
            </w:r>
          </w:p>
        </w:tc>
      </w:tr>
      <w:tr>
        <w:trPr>
          <w:trHeight w:val="136"/>
        </w:trPr>
        <w:tc>
          <w:tcPr>
            <w:tcW w:w="920" w:type="dxa"/>
            <w:vAlign w:val="bottom"/>
            <w:tcBorders>
              <w:top w:val="single" w:sz="8" w:color="F2F2F2"/>
              <w:bottom w:val="single" w:sz="8" w:color="F2F2F2"/>
            </w:tcBorders>
            <w:shd w:val="clear" w:color="auto" w:fill="F2F2F2"/>
          </w:tcPr>
          <w:p>
            <w:pPr>
              <w:spacing w:after="0"/>
              <w:rPr>
                <w:sz w:val="11"/>
                <w:szCs w:val="11"/>
                <w:color w:val="auto"/>
              </w:rPr>
            </w:pPr>
          </w:p>
        </w:tc>
        <w:tc>
          <w:tcPr>
            <w:tcW w:w="120" w:type="dxa"/>
            <w:vAlign w:val="bottom"/>
            <w:tcBorders>
              <w:top w:val="single" w:sz="8" w:color="F5F5F5"/>
              <w:bottom w:val="single" w:sz="8" w:color="F5F5F5"/>
            </w:tcBorders>
            <w:shd w:val="clear" w:color="auto" w:fill="F5F5F5"/>
          </w:tcPr>
          <w:p>
            <w:pPr>
              <w:spacing w:after="0"/>
              <w:rPr>
                <w:sz w:val="11"/>
                <w:szCs w:val="11"/>
                <w:color w:val="auto"/>
              </w:rPr>
            </w:pPr>
          </w:p>
        </w:tc>
        <w:tc>
          <w:tcPr>
            <w:tcW w:w="9020" w:type="dxa"/>
            <w:vAlign w:val="bottom"/>
            <w:tcBorders>
              <w:top w:val="single" w:sz="8" w:color="0000FF"/>
              <w:bottom w:val="single" w:sz="8" w:color="0000FF"/>
            </w:tcBorders>
            <w:gridSpan w:val="19"/>
            <w:shd w:val="clear" w:color="auto" w:fill="F5F5F5"/>
          </w:tcPr>
          <w:p>
            <w:pPr>
              <w:spacing w:after="0" w:line="115" w:lineRule="exact"/>
              <w:rPr>
                <w:sz w:val="20"/>
                <w:szCs w:val="20"/>
                <w:color w:val="auto"/>
              </w:rPr>
            </w:pPr>
            <w:r>
              <w:rPr>
                <w:rFonts w:ascii="Arial" w:cs="Arial" w:eastAsia="Arial" w:hAnsi="Arial"/>
                <w:sz w:val="13"/>
                <w:szCs w:val="13"/>
                <w:color w:val="0000FF"/>
              </w:rPr>
              <w:t>its subsidiaries under the Abercrombie &amp; Fitch Co. 2016 Long-Term Incentive Plan for Associates on and after March 7, 2023 (4-year vesting).</w:t>
            </w:r>
          </w:p>
        </w:tc>
        <w:tc>
          <w:tcPr>
            <w:tcW w:w="1380" w:type="dxa"/>
            <w:vAlign w:val="bottom"/>
            <w:tcBorders>
              <w:top w:val="single" w:sz="8" w:color="0000FF"/>
              <w:bottom w:val="single" w:sz="8" w:color="F5F5F5"/>
            </w:tcBorders>
            <w:gridSpan w:val="15"/>
            <w:shd w:val="clear" w:color="auto" w:fill="F5F5F5"/>
          </w:tcPr>
          <w:p>
            <w:pPr>
              <w:spacing w:after="0"/>
              <w:rPr>
                <w:sz w:val="11"/>
                <w:szCs w:val="11"/>
                <w:color w:val="auto"/>
              </w:rPr>
            </w:pPr>
          </w:p>
        </w:tc>
        <w:tc>
          <w:tcPr>
            <w:tcW w:w="20" w:type="dxa"/>
            <w:vAlign w:val="bottom"/>
            <w:tcBorders>
              <w:top w:val="single" w:sz="8" w:color="F5F5F5"/>
              <w:bottom w:val="single" w:sz="8" w:color="F5F5F5"/>
            </w:tcBorders>
            <w:shd w:val="clear" w:color="auto" w:fill="F5F5F5"/>
          </w:tcPr>
          <w:p>
            <w:pPr>
              <w:spacing w:after="0"/>
              <w:rPr>
                <w:sz w:val="11"/>
                <w:szCs w:val="11"/>
                <w:color w:val="auto"/>
              </w:rPr>
            </w:pPr>
          </w:p>
        </w:tc>
        <w:tc>
          <w:tcPr>
            <w:tcW w:w="20" w:type="dxa"/>
            <w:vAlign w:val="bottom"/>
            <w:tcBorders>
              <w:top w:val="single" w:sz="8" w:color="F5F5F5"/>
              <w:bottom w:val="single" w:sz="8" w:color="F5F5F5"/>
            </w:tcBorders>
            <w:shd w:val="clear" w:color="auto" w:fill="F5F5F5"/>
          </w:tcPr>
          <w:p>
            <w:pPr>
              <w:spacing w:after="0"/>
              <w:rPr>
                <w:sz w:val="11"/>
                <w:szCs w:val="11"/>
                <w:color w:val="auto"/>
              </w:rPr>
            </w:pPr>
          </w:p>
        </w:tc>
        <w:tc>
          <w:tcPr>
            <w:tcW w:w="20" w:type="dxa"/>
            <w:vAlign w:val="bottom"/>
            <w:tcBorders>
              <w:top w:val="single" w:sz="8" w:color="F5F5F5"/>
              <w:bottom w:val="single" w:sz="8" w:color="F5F5F5"/>
            </w:tcBorders>
            <w:shd w:val="clear" w:color="auto" w:fill="F5F5F5"/>
          </w:tcPr>
          <w:p>
            <w:pPr>
              <w:spacing w:after="0"/>
              <w:rPr>
                <w:sz w:val="11"/>
                <w:szCs w:val="11"/>
                <w:color w:val="auto"/>
              </w:rPr>
            </w:pPr>
          </w:p>
        </w:tc>
        <w:tc>
          <w:tcPr>
            <w:tcW w:w="20" w:type="dxa"/>
            <w:vAlign w:val="bottom"/>
            <w:tcBorders>
              <w:top w:val="single" w:sz="8" w:color="F5F5F5"/>
              <w:bottom w:val="single" w:sz="8" w:color="F5F5F5"/>
            </w:tcBorders>
            <w:shd w:val="clear" w:color="auto" w:fill="F5F5F5"/>
          </w:tcPr>
          <w:p>
            <w:pPr>
              <w:spacing w:after="0"/>
              <w:rPr>
                <w:sz w:val="11"/>
                <w:szCs w:val="11"/>
                <w:color w:val="auto"/>
              </w:rPr>
            </w:pPr>
          </w:p>
        </w:tc>
        <w:tc>
          <w:tcPr>
            <w:tcW w:w="20" w:type="dxa"/>
            <w:vAlign w:val="bottom"/>
            <w:tcBorders>
              <w:top w:val="single" w:sz="8" w:color="F5F5F5"/>
              <w:bottom w:val="single" w:sz="8" w:color="F5F5F5"/>
            </w:tcBorders>
            <w:shd w:val="clear" w:color="auto" w:fill="F5F5F5"/>
          </w:tcPr>
          <w:p>
            <w:pPr>
              <w:spacing w:after="0"/>
              <w:rPr>
                <w:sz w:val="11"/>
                <w:szCs w:val="11"/>
                <w:color w:val="auto"/>
              </w:rPr>
            </w:pPr>
          </w:p>
        </w:tc>
      </w:tr>
      <w:tr>
        <w:trPr>
          <w:trHeight w:val="162"/>
        </w:trPr>
        <w:tc>
          <w:tcPr>
            <w:tcW w:w="920" w:type="dxa"/>
            <w:vAlign w:val="bottom"/>
          </w:tcPr>
          <w:p>
            <w:pPr>
              <w:ind w:left="20"/>
              <w:spacing w:after="0"/>
              <w:rPr>
                <w:sz w:val="20"/>
                <w:szCs w:val="20"/>
                <w:color w:val="auto"/>
              </w:rPr>
            </w:pPr>
            <w:r>
              <w:rPr>
                <w:rFonts w:ascii="Arial" w:cs="Arial" w:eastAsia="Arial" w:hAnsi="Arial"/>
                <w:sz w:val="14"/>
                <w:szCs w:val="14"/>
                <w:color w:val="auto"/>
              </w:rPr>
              <w:t>10.42*</w:t>
            </w:r>
          </w:p>
        </w:tc>
        <w:tc>
          <w:tcPr>
            <w:tcW w:w="120" w:type="dxa"/>
            <w:vAlign w:val="bottom"/>
          </w:tcPr>
          <w:p>
            <w:pPr>
              <w:spacing w:after="0"/>
              <w:rPr>
                <w:sz w:val="14"/>
                <w:szCs w:val="14"/>
                <w:color w:val="auto"/>
              </w:rPr>
            </w:pPr>
          </w:p>
        </w:tc>
        <w:tc>
          <w:tcPr>
            <w:tcW w:w="10500" w:type="dxa"/>
            <w:vAlign w:val="bottom"/>
            <w:gridSpan w:val="39"/>
          </w:tcPr>
          <w:p>
            <w:pPr>
              <w:spacing w:after="0"/>
              <w:rPr>
                <w:rFonts w:ascii="Arial" w:cs="Arial" w:eastAsia="Arial" w:hAnsi="Arial"/>
                <w:sz w:val="14"/>
                <w:szCs w:val="14"/>
                <w:color w:val="0000FF"/>
              </w:rPr>
            </w:pPr>
            <w:hyperlink r:id="rId161">
              <w:r>
                <w:rPr>
                  <w:rFonts w:ascii="Arial" w:cs="Arial" w:eastAsia="Arial" w:hAnsi="Arial"/>
                  <w:sz w:val="14"/>
                  <w:szCs w:val="14"/>
                  <w:color w:val="0000FF"/>
                </w:rPr>
                <w:t>Form of Performance Share Award Agreement used to evidence the grant of performance share awards to associates (employees) of A&amp;F and its subsidiaries</w:t>
              </w:r>
            </w:hyperlink>
          </w:p>
        </w:tc>
      </w:tr>
      <w:tr>
        <w:trPr>
          <w:trHeight w:val="115"/>
        </w:trPr>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20" w:type="dxa"/>
            <w:vAlign w:val="bottom"/>
            <w:tcBorders>
              <w:top w:val="single" w:sz="8" w:color="0000FF"/>
            </w:tcBorders>
            <w:gridSpan w:val="35"/>
          </w:tcPr>
          <w:p>
            <w:pPr>
              <w:spacing w:after="0" w:line="115" w:lineRule="exact"/>
              <w:rPr>
                <w:rFonts w:ascii="Arial" w:cs="Arial" w:eastAsia="Arial" w:hAnsi="Arial"/>
                <w:sz w:val="13"/>
                <w:szCs w:val="13"/>
                <w:color w:val="0000FF"/>
              </w:rPr>
            </w:pPr>
            <w:hyperlink r:id="rId161">
              <w:r>
                <w:rPr>
                  <w:rFonts w:ascii="Arial" w:cs="Arial" w:eastAsia="Arial" w:hAnsi="Arial"/>
                  <w:sz w:val="13"/>
                  <w:szCs w:val="13"/>
                  <w:color w:val="0000FF"/>
                </w:rPr>
                <w:t>under the Abercrombie &amp; Fitch Co. 2016 Long-Term Incentive Plan for Associates on or after March 24, 2022 and prior to March 7, 2023, incorporated herein by</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9"/>
        </w:trPr>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80" w:type="dxa"/>
            <w:vAlign w:val="bottom"/>
            <w:tcBorders>
              <w:top w:val="single" w:sz="8" w:color="0000FF"/>
            </w:tcBorders>
            <w:gridSpan w:val="28"/>
          </w:tcPr>
          <w:p>
            <w:pPr>
              <w:spacing w:after="0" w:line="129" w:lineRule="exact"/>
              <w:rPr>
                <w:rFonts w:ascii="Arial" w:cs="Arial" w:eastAsia="Arial" w:hAnsi="Arial"/>
                <w:sz w:val="14"/>
                <w:szCs w:val="14"/>
                <w:color w:val="0000FF"/>
              </w:rPr>
            </w:pPr>
            <w:hyperlink r:id="rId161">
              <w:r>
                <w:rPr>
                  <w:rFonts w:ascii="Arial" w:cs="Arial" w:eastAsia="Arial" w:hAnsi="Arial"/>
                  <w:sz w:val="14"/>
                  <w:szCs w:val="14"/>
                  <w:color w:val="0000FF"/>
                </w:rPr>
                <w:t>reference to Exhibit 10.1 to A&amp;F’s Quarterly Report on Form 10 Q for the quarterly period ended April 30, 2022 (File No. 001-12107)</w:t>
              </w:r>
              <w:r>
                <w:rPr>
                  <w:rFonts w:ascii="Arial" w:cs="Arial" w:eastAsia="Arial" w:hAnsi="Arial"/>
                  <w:sz w:val="14"/>
                  <w:szCs w:val="14"/>
                  <w:color w:val="000000"/>
                </w:rPr>
                <w:t>.</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4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920" w:type="dxa"/>
            <w:vAlign w:val="bottom"/>
            <w:shd w:val="clear" w:color="auto" w:fill="F5F5F5"/>
          </w:tcPr>
          <w:p>
            <w:pPr>
              <w:ind w:left="20"/>
              <w:spacing w:after="0"/>
              <w:rPr>
                <w:sz w:val="20"/>
                <w:szCs w:val="20"/>
                <w:color w:val="auto"/>
              </w:rPr>
            </w:pPr>
            <w:r>
              <w:rPr>
                <w:rFonts w:ascii="Arial" w:cs="Arial" w:eastAsia="Arial" w:hAnsi="Arial"/>
                <w:sz w:val="14"/>
                <w:szCs w:val="14"/>
                <w:color w:val="auto"/>
              </w:rPr>
              <w:t>10.43*</w:t>
            </w:r>
          </w:p>
        </w:tc>
        <w:tc>
          <w:tcPr>
            <w:tcW w:w="120" w:type="dxa"/>
            <w:vAlign w:val="bottom"/>
            <w:shd w:val="clear" w:color="auto" w:fill="F5F5F5"/>
          </w:tcPr>
          <w:p>
            <w:pPr>
              <w:spacing w:after="0"/>
              <w:rPr>
                <w:sz w:val="14"/>
                <w:szCs w:val="14"/>
                <w:color w:val="auto"/>
              </w:rPr>
            </w:pPr>
          </w:p>
        </w:tc>
        <w:tc>
          <w:tcPr>
            <w:tcW w:w="10500" w:type="dxa"/>
            <w:vAlign w:val="bottom"/>
            <w:gridSpan w:val="39"/>
            <w:shd w:val="clear" w:color="auto" w:fill="F5F5F5"/>
          </w:tcPr>
          <w:p>
            <w:pPr>
              <w:spacing w:after="0"/>
              <w:rPr>
                <w:rFonts w:ascii="Arial" w:cs="Arial" w:eastAsia="Arial" w:hAnsi="Arial"/>
                <w:sz w:val="14"/>
                <w:szCs w:val="14"/>
                <w:color w:val="0000FF"/>
              </w:rPr>
            </w:pPr>
            <w:hyperlink r:id="rId162">
              <w:r>
                <w:rPr>
                  <w:rFonts w:ascii="Arial" w:cs="Arial" w:eastAsia="Arial" w:hAnsi="Arial"/>
                  <w:sz w:val="14"/>
                  <w:szCs w:val="14"/>
                  <w:color w:val="0000FF"/>
                </w:rPr>
                <w:t>Form of Performance Share Award Agreement used to evidence the grant of performance share awards to associates (employees) of A&amp;F and its subsidiaries</w:t>
              </w:r>
            </w:hyperlink>
          </w:p>
        </w:tc>
      </w:tr>
      <w:tr>
        <w:trPr>
          <w:trHeight w:val="115"/>
        </w:trPr>
        <w:tc>
          <w:tcPr>
            <w:tcW w:w="920" w:type="dxa"/>
            <w:vAlign w:val="bottom"/>
            <w:tcBorders>
              <w:top w:val="single" w:sz="8" w:color="F5F5F5"/>
            </w:tcBorders>
            <w:shd w:val="clear" w:color="auto" w:fill="F5F5F5"/>
          </w:tcPr>
          <w:p>
            <w:pPr>
              <w:spacing w:after="0"/>
              <w:rPr>
                <w:sz w:val="10"/>
                <w:szCs w:val="10"/>
                <w:color w:val="auto"/>
              </w:rPr>
            </w:pPr>
          </w:p>
        </w:tc>
        <w:tc>
          <w:tcPr>
            <w:tcW w:w="120" w:type="dxa"/>
            <w:vAlign w:val="bottom"/>
            <w:tcBorders>
              <w:top w:val="single" w:sz="8" w:color="F5F5F5"/>
            </w:tcBorders>
            <w:shd w:val="clear" w:color="auto" w:fill="F5F5F5"/>
          </w:tcPr>
          <w:p>
            <w:pPr>
              <w:spacing w:after="0"/>
              <w:rPr>
                <w:sz w:val="10"/>
                <w:szCs w:val="10"/>
                <w:color w:val="auto"/>
              </w:rPr>
            </w:pPr>
          </w:p>
        </w:tc>
        <w:tc>
          <w:tcPr>
            <w:tcW w:w="10080" w:type="dxa"/>
            <w:vAlign w:val="bottom"/>
            <w:tcBorders>
              <w:top w:val="single" w:sz="8" w:color="0000FF"/>
            </w:tcBorders>
            <w:gridSpan w:val="21"/>
            <w:shd w:val="clear" w:color="auto" w:fill="F5F5F5"/>
          </w:tcPr>
          <w:p>
            <w:pPr>
              <w:spacing w:after="0" w:line="115" w:lineRule="exact"/>
              <w:rPr>
                <w:rFonts w:ascii="Arial" w:cs="Arial" w:eastAsia="Arial" w:hAnsi="Arial"/>
                <w:sz w:val="13"/>
                <w:szCs w:val="13"/>
                <w:color w:val="0000FF"/>
              </w:rPr>
            </w:pPr>
            <w:hyperlink r:id="rId162">
              <w:r>
                <w:rPr>
                  <w:rFonts w:ascii="Arial" w:cs="Arial" w:eastAsia="Arial" w:hAnsi="Arial"/>
                  <w:sz w:val="13"/>
                  <w:szCs w:val="13"/>
                  <w:color w:val="0000FF"/>
                </w:rPr>
                <w:t>under the Abercrombie &amp; Fitch Co. 2016 Long-Term Incentive Plan for Associates on or after March 7, 2023, incorporated herein by reference to Exhibit 10.45</w:t>
              </w:r>
            </w:hyperlink>
          </w:p>
        </w:tc>
        <w:tc>
          <w:tcPr>
            <w:tcW w:w="80" w:type="dxa"/>
            <w:vAlign w:val="bottom"/>
            <w:tcBorders>
              <w:top w:val="single" w:sz="8" w:color="F5F5F5"/>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c>
          <w:tcPr>
            <w:tcW w:w="40" w:type="dxa"/>
            <w:vAlign w:val="bottom"/>
            <w:tcBorders>
              <w:top w:val="single" w:sz="8" w:color="F5F5F5"/>
            </w:tcBorders>
            <w:gridSpan w:val="2"/>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c>
          <w:tcPr>
            <w:tcW w:w="60" w:type="dxa"/>
            <w:vAlign w:val="bottom"/>
            <w:tcBorders>
              <w:top w:val="single" w:sz="8" w:color="F5F5F5"/>
            </w:tcBorders>
            <w:gridSpan w:val="3"/>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c>
          <w:tcPr>
            <w:tcW w:w="20" w:type="dxa"/>
            <w:vAlign w:val="bottom"/>
            <w:tcBorders>
              <w:top w:val="single" w:sz="8" w:color="F5F5F5"/>
            </w:tcBorders>
            <w:shd w:val="clear" w:color="auto" w:fill="F5F5F5"/>
          </w:tcPr>
          <w:p>
            <w:pPr>
              <w:spacing w:after="0"/>
              <w:rPr>
                <w:sz w:val="10"/>
                <w:szCs w:val="10"/>
                <w:color w:val="auto"/>
              </w:rPr>
            </w:pPr>
          </w:p>
        </w:tc>
      </w:tr>
      <w:tr>
        <w:trPr>
          <w:trHeight w:val="149"/>
        </w:trPr>
        <w:tc>
          <w:tcPr>
            <w:tcW w:w="920" w:type="dxa"/>
            <w:vAlign w:val="bottom"/>
            <w:tcBorders>
              <w:top w:val="single" w:sz="8" w:color="F5F5F5"/>
              <w:bottom w:val="single" w:sz="8" w:color="F5F5F5"/>
            </w:tcBorders>
            <w:shd w:val="clear" w:color="auto" w:fill="F5F5F5"/>
          </w:tcPr>
          <w:p>
            <w:pPr>
              <w:spacing w:after="0"/>
              <w:rPr>
                <w:sz w:val="12"/>
                <w:szCs w:val="12"/>
                <w:color w:val="auto"/>
              </w:rPr>
            </w:pPr>
          </w:p>
        </w:tc>
        <w:tc>
          <w:tcPr>
            <w:tcW w:w="120" w:type="dxa"/>
            <w:vAlign w:val="bottom"/>
            <w:tcBorders>
              <w:top w:val="single" w:sz="8" w:color="F5F5F5"/>
              <w:bottom w:val="single" w:sz="8" w:color="F5F5F5"/>
            </w:tcBorders>
            <w:shd w:val="clear" w:color="auto" w:fill="F5F5F5"/>
          </w:tcPr>
          <w:p>
            <w:pPr>
              <w:spacing w:after="0"/>
              <w:rPr>
                <w:sz w:val="12"/>
                <w:szCs w:val="12"/>
                <w:color w:val="auto"/>
              </w:rPr>
            </w:pPr>
          </w:p>
        </w:tc>
        <w:tc>
          <w:tcPr>
            <w:tcW w:w="6540" w:type="dxa"/>
            <w:vAlign w:val="bottom"/>
            <w:tcBorders>
              <w:top w:val="single" w:sz="8" w:color="0000FF"/>
              <w:bottom w:val="single" w:sz="8" w:color="0000FF"/>
            </w:tcBorders>
            <w:gridSpan w:val="16"/>
            <w:shd w:val="clear" w:color="auto" w:fill="F5F5F5"/>
          </w:tcPr>
          <w:p>
            <w:pPr>
              <w:spacing w:after="0" w:line="129" w:lineRule="exact"/>
              <w:rPr>
                <w:rFonts w:ascii="Arial" w:cs="Arial" w:eastAsia="Arial" w:hAnsi="Arial"/>
                <w:sz w:val="14"/>
                <w:szCs w:val="14"/>
                <w:color w:val="0000FF"/>
              </w:rPr>
            </w:pPr>
            <w:hyperlink r:id="rId162">
              <w:r>
                <w:rPr>
                  <w:rFonts w:ascii="Arial" w:cs="Arial" w:eastAsia="Arial" w:hAnsi="Arial"/>
                  <w:sz w:val="14"/>
                  <w:szCs w:val="14"/>
                  <w:color w:val="0000FF"/>
                </w:rPr>
                <w:t>to A&amp;F’s Annual Report on Form 10 K for the fiscal year ended January 28, 2023 (File No. 001-12107).</w:t>
              </w:r>
            </w:hyperlink>
          </w:p>
        </w:tc>
        <w:tc>
          <w:tcPr>
            <w:tcW w:w="3500" w:type="dxa"/>
            <w:vAlign w:val="bottom"/>
            <w:tcBorders>
              <w:top w:val="single" w:sz="8" w:color="0000FF"/>
              <w:bottom w:val="single" w:sz="8" w:color="F5F5F5"/>
            </w:tcBorders>
            <w:gridSpan w:val="4"/>
            <w:shd w:val="clear" w:color="auto" w:fill="F5F5F5"/>
          </w:tcPr>
          <w:p>
            <w:pPr>
              <w:spacing w:after="0"/>
              <w:rPr>
                <w:sz w:val="12"/>
                <w:szCs w:val="12"/>
                <w:color w:val="auto"/>
              </w:rPr>
            </w:pPr>
          </w:p>
        </w:tc>
        <w:tc>
          <w:tcPr>
            <w:tcW w:w="120" w:type="dxa"/>
            <w:vAlign w:val="bottom"/>
            <w:tcBorders>
              <w:top w:val="single" w:sz="8" w:color="F5F5F5"/>
              <w:bottom w:val="single" w:sz="8" w:color="F5F5F5"/>
            </w:tcBorders>
            <w:gridSpan w:val="2"/>
            <w:shd w:val="clear" w:color="auto" w:fill="F5F5F5"/>
          </w:tcPr>
          <w:p>
            <w:pPr>
              <w:spacing w:after="0"/>
              <w:rPr>
                <w:sz w:val="12"/>
                <w:szCs w:val="12"/>
                <w:color w:val="auto"/>
              </w:rPr>
            </w:pPr>
          </w:p>
        </w:tc>
        <w:tc>
          <w:tcPr>
            <w:tcW w:w="20" w:type="dxa"/>
            <w:vAlign w:val="bottom"/>
            <w:tcBorders>
              <w:top w:val="single" w:sz="8" w:color="F5F5F5"/>
              <w:bottom w:val="single" w:sz="8" w:color="F5F5F5"/>
            </w:tcBorders>
            <w:shd w:val="clear" w:color="auto" w:fill="F5F5F5"/>
          </w:tcPr>
          <w:p>
            <w:pPr>
              <w:spacing w:after="0"/>
              <w:rPr>
                <w:sz w:val="12"/>
                <w:szCs w:val="12"/>
                <w:color w:val="auto"/>
              </w:rPr>
            </w:pPr>
          </w:p>
        </w:tc>
        <w:tc>
          <w:tcPr>
            <w:tcW w:w="20" w:type="dxa"/>
            <w:vAlign w:val="bottom"/>
            <w:tcBorders>
              <w:top w:val="single" w:sz="8" w:color="F5F5F5"/>
              <w:bottom w:val="single" w:sz="8" w:color="F5F5F5"/>
            </w:tcBorders>
            <w:shd w:val="clear" w:color="auto" w:fill="F5F5F5"/>
          </w:tcPr>
          <w:p>
            <w:pPr>
              <w:spacing w:after="0"/>
              <w:rPr>
                <w:sz w:val="12"/>
                <w:szCs w:val="12"/>
                <w:color w:val="auto"/>
              </w:rPr>
            </w:pPr>
          </w:p>
        </w:tc>
        <w:tc>
          <w:tcPr>
            <w:tcW w:w="20" w:type="dxa"/>
            <w:vAlign w:val="bottom"/>
            <w:tcBorders>
              <w:top w:val="single" w:sz="8" w:color="F5F5F5"/>
              <w:bottom w:val="single" w:sz="8" w:color="F5F5F5"/>
            </w:tcBorders>
            <w:shd w:val="clear" w:color="auto" w:fill="F5F5F5"/>
          </w:tcPr>
          <w:p>
            <w:pPr>
              <w:spacing w:after="0"/>
              <w:rPr>
                <w:sz w:val="12"/>
                <w:szCs w:val="12"/>
                <w:color w:val="auto"/>
              </w:rPr>
            </w:pPr>
          </w:p>
        </w:tc>
        <w:tc>
          <w:tcPr>
            <w:tcW w:w="20" w:type="dxa"/>
            <w:vAlign w:val="bottom"/>
            <w:tcBorders>
              <w:top w:val="single" w:sz="8" w:color="F5F5F5"/>
              <w:bottom w:val="single" w:sz="8" w:color="F5F5F5"/>
            </w:tcBorders>
            <w:shd w:val="clear" w:color="auto" w:fill="F5F5F5"/>
          </w:tcPr>
          <w:p>
            <w:pPr>
              <w:spacing w:after="0"/>
              <w:rPr>
                <w:sz w:val="12"/>
                <w:szCs w:val="12"/>
                <w:color w:val="auto"/>
              </w:rPr>
            </w:pPr>
          </w:p>
        </w:tc>
        <w:tc>
          <w:tcPr>
            <w:tcW w:w="20" w:type="dxa"/>
            <w:vAlign w:val="bottom"/>
            <w:tcBorders>
              <w:top w:val="single" w:sz="8" w:color="F5F5F5"/>
              <w:bottom w:val="single" w:sz="8" w:color="F5F5F5"/>
            </w:tcBorders>
            <w:shd w:val="clear" w:color="auto" w:fill="F5F5F5"/>
          </w:tcPr>
          <w:p>
            <w:pPr>
              <w:spacing w:after="0"/>
              <w:rPr>
                <w:sz w:val="12"/>
                <w:szCs w:val="12"/>
                <w:color w:val="auto"/>
              </w:rPr>
            </w:pPr>
          </w:p>
        </w:tc>
        <w:tc>
          <w:tcPr>
            <w:tcW w:w="40" w:type="dxa"/>
            <w:vAlign w:val="bottom"/>
            <w:tcBorders>
              <w:top w:val="single" w:sz="8" w:color="F5F5F5"/>
              <w:bottom w:val="single" w:sz="8" w:color="F5F5F5"/>
            </w:tcBorders>
            <w:gridSpan w:val="2"/>
            <w:shd w:val="clear" w:color="auto" w:fill="F5F5F5"/>
          </w:tcPr>
          <w:p>
            <w:pPr>
              <w:spacing w:after="0"/>
              <w:rPr>
                <w:sz w:val="12"/>
                <w:szCs w:val="12"/>
                <w:color w:val="auto"/>
              </w:rPr>
            </w:pPr>
          </w:p>
        </w:tc>
        <w:tc>
          <w:tcPr>
            <w:tcW w:w="20" w:type="dxa"/>
            <w:vAlign w:val="bottom"/>
            <w:tcBorders>
              <w:top w:val="single" w:sz="8" w:color="F5F5F5"/>
              <w:bottom w:val="single" w:sz="8" w:color="F5F5F5"/>
            </w:tcBorders>
            <w:shd w:val="clear" w:color="auto" w:fill="F5F5F5"/>
          </w:tcPr>
          <w:p>
            <w:pPr>
              <w:spacing w:after="0"/>
              <w:rPr>
                <w:sz w:val="12"/>
                <w:szCs w:val="12"/>
                <w:color w:val="auto"/>
              </w:rPr>
            </w:pPr>
          </w:p>
        </w:tc>
        <w:tc>
          <w:tcPr>
            <w:tcW w:w="20" w:type="dxa"/>
            <w:vAlign w:val="bottom"/>
            <w:tcBorders>
              <w:top w:val="single" w:sz="8" w:color="F5F5F5"/>
              <w:bottom w:val="single" w:sz="8" w:color="F5F5F5"/>
            </w:tcBorders>
            <w:shd w:val="clear" w:color="auto" w:fill="F5F5F5"/>
          </w:tcPr>
          <w:p>
            <w:pPr>
              <w:spacing w:after="0"/>
              <w:rPr>
                <w:sz w:val="12"/>
                <w:szCs w:val="12"/>
                <w:color w:val="auto"/>
              </w:rPr>
            </w:pPr>
          </w:p>
        </w:tc>
        <w:tc>
          <w:tcPr>
            <w:tcW w:w="20" w:type="dxa"/>
            <w:vAlign w:val="bottom"/>
            <w:tcBorders>
              <w:top w:val="single" w:sz="8" w:color="F5F5F5"/>
              <w:bottom w:val="single" w:sz="8" w:color="F5F5F5"/>
            </w:tcBorders>
            <w:shd w:val="clear" w:color="auto" w:fill="F5F5F5"/>
          </w:tcPr>
          <w:p>
            <w:pPr>
              <w:spacing w:after="0"/>
              <w:rPr>
                <w:sz w:val="12"/>
                <w:szCs w:val="12"/>
                <w:color w:val="auto"/>
              </w:rPr>
            </w:pPr>
          </w:p>
        </w:tc>
        <w:tc>
          <w:tcPr>
            <w:tcW w:w="20" w:type="dxa"/>
            <w:vAlign w:val="bottom"/>
            <w:tcBorders>
              <w:top w:val="single" w:sz="8" w:color="F5F5F5"/>
              <w:bottom w:val="single" w:sz="8" w:color="F5F5F5"/>
            </w:tcBorders>
            <w:shd w:val="clear" w:color="auto" w:fill="F5F5F5"/>
          </w:tcPr>
          <w:p>
            <w:pPr>
              <w:spacing w:after="0"/>
              <w:rPr>
                <w:sz w:val="12"/>
                <w:szCs w:val="12"/>
                <w:color w:val="auto"/>
              </w:rPr>
            </w:pPr>
          </w:p>
        </w:tc>
        <w:tc>
          <w:tcPr>
            <w:tcW w:w="60" w:type="dxa"/>
            <w:vAlign w:val="bottom"/>
            <w:tcBorders>
              <w:top w:val="single" w:sz="8" w:color="F5F5F5"/>
              <w:bottom w:val="single" w:sz="8" w:color="F5F5F5"/>
            </w:tcBorders>
            <w:gridSpan w:val="3"/>
            <w:shd w:val="clear" w:color="auto" w:fill="F5F5F5"/>
          </w:tcPr>
          <w:p>
            <w:pPr>
              <w:spacing w:after="0"/>
              <w:rPr>
                <w:sz w:val="12"/>
                <w:szCs w:val="12"/>
                <w:color w:val="auto"/>
              </w:rPr>
            </w:pPr>
          </w:p>
        </w:tc>
        <w:tc>
          <w:tcPr>
            <w:tcW w:w="20" w:type="dxa"/>
            <w:vAlign w:val="bottom"/>
            <w:tcBorders>
              <w:top w:val="single" w:sz="8" w:color="F5F5F5"/>
              <w:bottom w:val="single" w:sz="8" w:color="F5F5F5"/>
            </w:tcBorders>
            <w:shd w:val="clear" w:color="auto" w:fill="F5F5F5"/>
          </w:tcPr>
          <w:p>
            <w:pPr>
              <w:spacing w:after="0"/>
              <w:rPr>
                <w:sz w:val="12"/>
                <w:szCs w:val="12"/>
                <w:color w:val="auto"/>
              </w:rPr>
            </w:pPr>
          </w:p>
        </w:tc>
        <w:tc>
          <w:tcPr>
            <w:tcW w:w="20" w:type="dxa"/>
            <w:vAlign w:val="bottom"/>
            <w:tcBorders>
              <w:top w:val="single" w:sz="8" w:color="F5F5F5"/>
              <w:bottom w:val="single" w:sz="8" w:color="F5F5F5"/>
            </w:tcBorders>
            <w:shd w:val="clear" w:color="auto" w:fill="F5F5F5"/>
          </w:tcPr>
          <w:p>
            <w:pPr>
              <w:spacing w:after="0"/>
              <w:rPr>
                <w:sz w:val="12"/>
                <w:szCs w:val="12"/>
                <w:color w:val="auto"/>
              </w:rPr>
            </w:pPr>
          </w:p>
        </w:tc>
        <w:tc>
          <w:tcPr>
            <w:tcW w:w="20" w:type="dxa"/>
            <w:vAlign w:val="bottom"/>
            <w:tcBorders>
              <w:top w:val="single" w:sz="8" w:color="F5F5F5"/>
              <w:bottom w:val="single" w:sz="8" w:color="F5F5F5"/>
            </w:tcBorders>
            <w:shd w:val="clear" w:color="auto" w:fill="F5F5F5"/>
          </w:tcPr>
          <w:p>
            <w:pPr>
              <w:spacing w:after="0"/>
              <w:rPr>
                <w:sz w:val="12"/>
                <w:szCs w:val="12"/>
                <w:color w:val="auto"/>
              </w:rPr>
            </w:pPr>
          </w:p>
        </w:tc>
      </w:tr>
      <w:tr>
        <w:trPr>
          <w:trHeight w:val="162"/>
        </w:trPr>
        <w:tc>
          <w:tcPr>
            <w:tcW w:w="920" w:type="dxa"/>
            <w:vAlign w:val="bottom"/>
          </w:tcPr>
          <w:p>
            <w:pPr>
              <w:ind w:left="20"/>
              <w:spacing w:after="0"/>
              <w:rPr>
                <w:sz w:val="20"/>
                <w:szCs w:val="20"/>
                <w:color w:val="auto"/>
              </w:rPr>
            </w:pPr>
            <w:r>
              <w:rPr>
                <w:rFonts w:ascii="Arial" w:cs="Arial" w:eastAsia="Arial" w:hAnsi="Arial"/>
                <w:sz w:val="14"/>
                <w:szCs w:val="14"/>
                <w:color w:val="auto"/>
              </w:rPr>
              <w:t>10.44*</w:t>
            </w:r>
          </w:p>
        </w:tc>
        <w:tc>
          <w:tcPr>
            <w:tcW w:w="120" w:type="dxa"/>
            <w:vAlign w:val="bottom"/>
          </w:tcPr>
          <w:p>
            <w:pPr>
              <w:spacing w:after="0"/>
              <w:rPr>
                <w:sz w:val="14"/>
                <w:szCs w:val="14"/>
                <w:color w:val="auto"/>
              </w:rPr>
            </w:pPr>
          </w:p>
        </w:tc>
        <w:tc>
          <w:tcPr>
            <w:tcW w:w="10500" w:type="dxa"/>
            <w:vAlign w:val="bottom"/>
            <w:gridSpan w:val="39"/>
          </w:tcPr>
          <w:p>
            <w:pPr>
              <w:spacing w:after="0"/>
              <w:rPr>
                <w:rFonts w:ascii="Arial" w:cs="Arial" w:eastAsia="Arial" w:hAnsi="Arial"/>
                <w:sz w:val="14"/>
                <w:szCs w:val="14"/>
                <w:color w:val="0000FF"/>
              </w:rPr>
            </w:pPr>
            <w:hyperlink r:id="rId163">
              <w:r>
                <w:rPr>
                  <w:rFonts w:ascii="Arial" w:cs="Arial" w:eastAsia="Arial" w:hAnsi="Arial"/>
                  <w:sz w:val="14"/>
                  <w:szCs w:val="14"/>
                  <w:color w:val="0000FF"/>
                </w:rPr>
                <w:t>Form of Performance Share Award Agreement used to evidence the grant of performance share awards to associates (employees) of A&amp;F and its subsidiaries</w:t>
              </w:r>
            </w:hyperlink>
          </w:p>
        </w:tc>
      </w:tr>
      <w:tr>
        <w:trPr>
          <w:trHeight w:val="115"/>
        </w:trPr>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60" w:type="dxa"/>
            <w:vAlign w:val="bottom"/>
            <w:tcBorders>
              <w:top w:val="single" w:sz="8" w:color="0000FF"/>
              <w:bottom w:val="single" w:sz="8" w:color="0000FF"/>
            </w:tcBorders>
            <w:gridSpan w:val="37"/>
          </w:tcPr>
          <w:p>
            <w:pPr>
              <w:spacing w:after="0" w:line="115" w:lineRule="exact"/>
              <w:rPr>
                <w:rFonts w:ascii="Arial" w:cs="Arial" w:eastAsia="Arial" w:hAnsi="Arial"/>
                <w:sz w:val="13"/>
                <w:szCs w:val="13"/>
                <w:color w:val="0000FF"/>
              </w:rPr>
            </w:pPr>
            <w:hyperlink r:id="rId163">
              <w:r>
                <w:rPr>
                  <w:rFonts w:ascii="Arial" w:cs="Arial" w:eastAsia="Arial" w:hAnsi="Arial"/>
                  <w:sz w:val="13"/>
                  <w:szCs w:val="13"/>
                  <w:color w:val="0000FF"/>
                </w:rPr>
                <w:t>under the Abercrombie &amp; Fitch Co. 2016 Long-Term Incentive Plan for Associates on or after March 12, 2024, incorporated herein by reference to Exhibit 10.43</w:t>
              </w:r>
            </w:hyperlink>
          </w:p>
        </w:tc>
        <w:tc>
          <w:tcPr>
            <w:tcW w:w="2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r>
      <w:tr>
        <w:trPr>
          <w:trHeight w:val="128"/>
        </w:trPr>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80" w:type="dxa"/>
            <w:vAlign w:val="bottom"/>
            <w:gridSpan w:val="38"/>
          </w:tcPr>
          <w:p>
            <w:pPr>
              <w:spacing w:after="0" w:line="129" w:lineRule="exact"/>
              <w:rPr>
                <w:rFonts w:ascii="Arial" w:cs="Arial" w:eastAsia="Arial" w:hAnsi="Arial"/>
                <w:sz w:val="14"/>
                <w:szCs w:val="14"/>
                <w:color w:val="0000FF"/>
              </w:rPr>
            </w:pPr>
            <w:hyperlink r:id="rId163">
              <w:r>
                <w:rPr>
                  <w:rFonts w:ascii="Arial" w:cs="Arial" w:eastAsia="Arial" w:hAnsi="Arial"/>
                  <w:sz w:val="14"/>
                  <w:szCs w:val="14"/>
                  <w:color w:val="0000FF"/>
                </w:rPr>
                <w:t>to A&amp;F’s Annual Report on Form 10-K for the fiscal year ended February 3, 2024 (File No. 001-12107)</w:t>
              </w:r>
              <w:r>
                <w:rPr>
                  <w:rFonts w:ascii="Arial" w:cs="Arial" w:eastAsia="Arial" w:hAnsi="Arial"/>
                  <w:sz w:val="14"/>
                  <w:szCs w:val="14"/>
                  <w:color w:val="000000"/>
                </w:rPr>
                <w:t>.</w:t>
              </w:r>
            </w:hyperlink>
          </w:p>
        </w:tc>
        <w:tc>
          <w:tcPr>
            <w:tcW w:w="20" w:type="dxa"/>
            <w:vAlign w:val="bottom"/>
          </w:tcPr>
          <w:p>
            <w:pPr>
              <w:spacing w:after="0"/>
              <w:rPr>
                <w:sz w:val="11"/>
                <w:szCs w:val="11"/>
                <w:color w:val="auto"/>
              </w:rPr>
            </w:pP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4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920" w:type="dxa"/>
            <w:vAlign w:val="bottom"/>
            <w:shd w:val="clear" w:color="auto" w:fill="F5F5F5"/>
          </w:tcPr>
          <w:p>
            <w:pPr>
              <w:ind w:left="20"/>
              <w:spacing w:after="0"/>
              <w:rPr>
                <w:sz w:val="20"/>
                <w:szCs w:val="20"/>
                <w:color w:val="auto"/>
              </w:rPr>
            </w:pPr>
            <w:r>
              <w:rPr>
                <w:rFonts w:ascii="Arial" w:cs="Arial" w:eastAsia="Arial" w:hAnsi="Arial"/>
                <w:sz w:val="14"/>
                <w:szCs w:val="14"/>
                <w:color w:val="auto"/>
              </w:rPr>
              <w:t>10.45*</w:t>
            </w:r>
          </w:p>
        </w:tc>
        <w:tc>
          <w:tcPr>
            <w:tcW w:w="120" w:type="dxa"/>
            <w:vAlign w:val="bottom"/>
            <w:shd w:val="clear" w:color="auto" w:fill="F5F5F5"/>
          </w:tcPr>
          <w:p>
            <w:pPr>
              <w:spacing w:after="0"/>
              <w:rPr>
                <w:sz w:val="14"/>
                <w:szCs w:val="14"/>
                <w:color w:val="auto"/>
              </w:rPr>
            </w:pPr>
          </w:p>
        </w:tc>
        <w:tc>
          <w:tcPr>
            <w:tcW w:w="10500" w:type="dxa"/>
            <w:vAlign w:val="bottom"/>
            <w:gridSpan w:val="39"/>
            <w:shd w:val="clear" w:color="auto" w:fill="F5F5F5"/>
          </w:tcPr>
          <w:p>
            <w:pPr>
              <w:spacing w:after="0"/>
              <w:rPr>
                <w:rFonts w:ascii="Arial" w:cs="Arial" w:eastAsia="Arial" w:hAnsi="Arial"/>
                <w:sz w:val="14"/>
                <w:szCs w:val="14"/>
                <w:color w:val="0000FF"/>
              </w:rPr>
            </w:pPr>
            <w:hyperlink r:id="rId164">
              <w:r>
                <w:rPr>
                  <w:rFonts w:ascii="Arial" w:cs="Arial" w:eastAsia="Arial" w:hAnsi="Arial"/>
                  <w:sz w:val="14"/>
                  <w:szCs w:val="14"/>
                  <w:color w:val="0000FF"/>
                </w:rPr>
                <w:t>Abercrombie &amp; Fitch Co. 2016 Long-Term Incentive Plan for Directors (as amended on May 20, 2020), incorporated herein by reference to Exhibit 10.1 to A&amp;F’s</w:t>
              </w:r>
            </w:hyperlink>
          </w:p>
        </w:tc>
      </w:tr>
      <w:tr>
        <w:trPr>
          <w:trHeight w:val="115"/>
        </w:trPr>
        <w:tc>
          <w:tcPr>
            <w:tcW w:w="920" w:type="dxa"/>
            <w:vAlign w:val="bottom"/>
            <w:tcBorders>
              <w:top w:val="single" w:sz="8" w:color="F5F5F5"/>
            </w:tcBorders>
            <w:shd w:val="clear" w:color="auto" w:fill="F5F5F5"/>
          </w:tcPr>
          <w:p>
            <w:pPr>
              <w:spacing w:after="0"/>
              <w:rPr>
                <w:sz w:val="10"/>
                <w:szCs w:val="10"/>
                <w:color w:val="auto"/>
              </w:rPr>
            </w:pPr>
          </w:p>
        </w:tc>
        <w:tc>
          <w:tcPr>
            <w:tcW w:w="120" w:type="dxa"/>
            <w:vAlign w:val="bottom"/>
            <w:tcBorders>
              <w:top w:val="single" w:sz="8" w:color="F5F5F5"/>
            </w:tcBorders>
            <w:shd w:val="clear" w:color="auto" w:fill="F5F5F5"/>
          </w:tcPr>
          <w:p>
            <w:pPr>
              <w:spacing w:after="0"/>
              <w:rPr>
                <w:sz w:val="10"/>
                <w:szCs w:val="10"/>
                <w:color w:val="auto"/>
              </w:rPr>
            </w:pPr>
          </w:p>
        </w:tc>
        <w:tc>
          <w:tcPr>
            <w:tcW w:w="10380" w:type="dxa"/>
            <w:vAlign w:val="bottom"/>
            <w:tcBorders>
              <w:top w:val="single" w:sz="8" w:color="0000FF"/>
            </w:tcBorders>
            <w:gridSpan w:val="33"/>
            <w:shd w:val="clear" w:color="auto" w:fill="F5F5F5"/>
          </w:tcPr>
          <w:p>
            <w:pPr>
              <w:spacing w:after="0" w:line="115" w:lineRule="exact"/>
              <w:rPr>
                <w:rFonts w:ascii="Arial" w:cs="Arial" w:eastAsia="Arial" w:hAnsi="Arial"/>
                <w:sz w:val="13"/>
                <w:szCs w:val="13"/>
                <w:color w:val="0000FF"/>
              </w:rPr>
            </w:pPr>
            <w:hyperlink r:id="rId164">
              <w:r>
                <w:rPr>
                  <w:rFonts w:ascii="Arial" w:cs="Arial" w:eastAsia="Arial" w:hAnsi="Arial"/>
                  <w:sz w:val="13"/>
                  <w:szCs w:val="13"/>
                  <w:color w:val="0000FF"/>
                </w:rPr>
                <w:t>Current Report on Form 8-K dated and filed on May 21, 2020 (File No. 001-12107).</w:t>
              </w:r>
            </w:hyperlink>
          </w:p>
        </w:tc>
        <w:tc>
          <w:tcPr>
            <w:tcW w:w="60" w:type="dxa"/>
            <w:vAlign w:val="bottom"/>
            <w:tcBorders>
              <w:top w:val="single" w:sz="8" w:color="F5F5F5"/>
            </w:tcBorders>
            <w:gridSpan w:val="3"/>
            <w:shd w:val="clear" w:color="auto" w:fill="F5F5F5"/>
          </w:tcPr>
          <w:p>
            <w:pPr>
              <w:spacing w:after="0"/>
              <w:rPr>
                <w:sz w:val="10"/>
                <w:szCs w:val="10"/>
                <w:color w:val="auto"/>
              </w:rPr>
            </w:pPr>
          </w:p>
        </w:tc>
        <w:tc>
          <w:tcPr>
            <w:tcW w:w="60" w:type="dxa"/>
            <w:vAlign w:val="bottom"/>
            <w:tcBorders>
              <w:top w:val="single" w:sz="8" w:color="F5F5F5"/>
            </w:tcBorders>
            <w:gridSpan w:val="3"/>
            <w:shd w:val="clear" w:color="auto" w:fill="F5F5F5"/>
          </w:tcPr>
          <w:p>
            <w:pPr>
              <w:spacing w:after="0"/>
              <w:rPr>
                <w:sz w:val="10"/>
                <w:szCs w:val="10"/>
                <w:color w:val="auto"/>
              </w:rPr>
            </w:pPr>
          </w:p>
        </w:tc>
      </w:tr>
      <w:tr>
        <w:trPr>
          <w:trHeight w:val="21"/>
        </w:trPr>
        <w:tc>
          <w:tcPr>
            <w:tcW w:w="920" w:type="dxa"/>
            <w:vAlign w:val="bottom"/>
            <w:tcBorders>
              <w:top w:val="single" w:sz="8" w:color="F5F5F5"/>
            </w:tcBorders>
            <w:shd w:val="clear" w:color="auto" w:fill="F5F5F5"/>
          </w:tcPr>
          <w:p>
            <w:pPr>
              <w:spacing w:after="0" w:line="20" w:lineRule="exact"/>
              <w:rPr>
                <w:sz w:val="1"/>
                <w:szCs w:val="1"/>
                <w:color w:val="auto"/>
              </w:rPr>
            </w:pPr>
          </w:p>
        </w:tc>
        <w:tc>
          <w:tcPr>
            <w:tcW w:w="120" w:type="dxa"/>
            <w:vAlign w:val="bottom"/>
            <w:tcBorders>
              <w:top w:val="single" w:sz="8" w:color="F5F5F5"/>
            </w:tcBorders>
            <w:shd w:val="clear" w:color="auto" w:fill="F5F5F5"/>
          </w:tcPr>
          <w:p>
            <w:pPr>
              <w:spacing w:after="0" w:line="20" w:lineRule="exact"/>
              <w:rPr>
                <w:sz w:val="1"/>
                <w:szCs w:val="1"/>
                <w:color w:val="auto"/>
              </w:rPr>
            </w:pPr>
          </w:p>
        </w:tc>
        <w:tc>
          <w:tcPr>
            <w:tcW w:w="1040" w:type="dxa"/>
            <w:vAlign w:val="bottom"/>
            <w:tcBorders>
              <w:top w:val="single" w:sz="8" w:color="0000FF"/>
            </w:tcBorders>
            <w:shd w:val="clear" w:color="auto" w:fill="F5F5F5"/>
          </w:tcPr>
          <w:p>
            <w:pPr>
              <w:spacing w:after="0" w:line="20" w:lineRule="exact"/>
              <w:rPr>
                <w:sz w:val="1"/>
                <w:szCs w:val="1"/>
                <w:color w:val="auto"/>
              </w:rPr>
            </w:pPr>
          </w:p>
        </w:tc>
        <w:tc>
          <w:tcPr>
            <w:tcW w:w="200" w:type="dxa"/>
            <w:vAlign w:val="bottom"/>
            <w:tcBorders>
              <w:top w:val="single" w:sz="8" w:color="0000FF"/>
            </w:tcBorders>
            <w:shd w:val="clear" w:color="auto" w:fill="F5F5F5"/>
          </w:tcPr>
          <w:p>
            <w:pPr>
              <w:spacing w:after="0" w:line="20" w:lineRule="exact"/>
              <w:rPr>
                <w:sz w:val="1"/>
                <w:szCs w:val="1"/>
                <w:color w:val="auto"/>
              </w:rPr>
            </w:pPr>
          </w:p>
        </w:tc>
        <w:tc>
          <w:tcPr>
            <w:tcW w:w="140" w:type="dxa"/>
            <w:vAlign w:val="bottom"/>
            <w:tcBorders>
              <w:top w:val="single" w:sz="8" w:color="0000FF"/>
            </w:tcBorders>
            <w:shd w:val="clear" w:color="auto" w:fill="F5F5F5"/>
          </w:tcPr>
          <w:p>
            <w:pPr>
              <w:spacing w:after="0" w:line="20" w:lineRule="exact"/>
              <w:rPr>
                <w:sz w:val="1"/>
                <w:szCs w:val="1"/>
                <w:color w:val="auto"/>
              </w:rPr>
            </w:pPr>
          </w:p>
        </w:tc>
        <w:tc>
          <w:tcPr>
            <w:tcW w:w="320" w:type="dxa"/>
            <w:vAlign w:val="bottom"/>
            <w:tcBorders>
              <w:top w:val="single" w:sz="8" w:color="0000FF"/>
            </w:tcBorders>
            <w:shd w:val="clear" w:color="auto" w:fill="F5F5F5"/>
          </w:tcPr>
          <w:p>
            <w:pPr>
              <w:spacing w:after="0" w:line="20" w:lineRule="exact"/>
              <w:rPr>
                <w:sz w:val="1"/>
                <w:szCs w:val="1"/>
                <w:color w:val="auto"/>
              </w:rPr>
            </w:pPr>
          </w:p>
        </w:tc>
        <w:tc>
          <w:tcPr>
            <w:tcW w:w="2440" w:type="dxa"/>
            <w:vAlign w:val="bottom"/>
            <w:tcBorders>
              <w:top w:val="single" w:sz="8" w:color="0000FF"/>
            </w:tcBorders>
            <w:shd w:val="clear" w:color="auto" w:fill="F5F5F5"/>
          </w:tcPr>
          <w:p>
            <w:pPr>
              <w:spacing w:after="0" w:line="20" w:lineRule="exact"/>
              <w:rPr>
                <w:sz w:val="1"/>
                <w:szCs w:val="1"/>
                <w:color w:val="auto"/>
              </w:rPr>
            </w:pPr>
          </w:p>
        </w:tc>
        <w:tc>
          <w:tcPr>
            <w:tcW w:w="400" w:type="dxa"/>
            <w:vAlign w:val="bottom"/>
            <w:tcBorders>
              <w:top w:val="single" w:sz="8" w:color="0000FF"/>
            </w:tcBorders>
            <w:shd w:val="clear" w:color="auto" w:fill="F5F5F5"/>
          </w:tcPr>
          <w:p>
            <w:pPr>
              <w:spacing w:after="0" w:line="20" w:lineRule="exact"/>
              <w:rPr>
                <w:sz w:val="1"/>
                <w:szCs w:val="1"/>
                <w:color w:val="auto"/>
              </w:rPr>
            </w:pPr>
          </w:p>
        </w:tc>
        <w:tc>
          <w:tcPr>
            <w:tcW w:w="580" w:type="dxa"/>
            <w:vAlign w:val="bottom"/>
            <w:tcBorders>
              <w:top w:val="single" w:sz="8" w:color="0000FF"/>
            </w:tcBorders>
            <w:shd w:val="clear" w:color="auto" w:fill="F5F5F5"/>
          </w:tcPr>
          <w:p>
            <w:pPr>
              <w:spacing w:after="0" w:line="20" w:lineRule="exact"/>
              <w:rPr>
                <w:sz w:val="1"/>
                <w:szCs w:val="1"/>
                <w:color w:val="auto"/>
              </w:rPr>
            </w:pPr>
          </w:p>
        </w:tc>
        <w:tc>
          <w:tcPr>
            <w:tcW w:w="160" w:type="dxa"/>
            <w:vAlign w:val="bottom"/>
            <w:tcBorders>
              <w:top w:val="single" w:sz="8" w:color="0000FF"/>
            </w:tcBorders>
            <w:shd w:val="clear" w:color="auto" w:fill="F5F5F5"/>
          </w:tcPr>
          <w:p>
            <w:pPr>
              <w:spacing w:after="0" w:line="20" w:lineRule="exact"/>
              <w:rPr>
                <w:sz w:val="1"/>
                <w:szCs w:val="1"/>
                <w:color w:val="auto"/>
              </w:rPr>
            </w:pPr>
          </w:p>
        </w:tc>
        <w:tc>
          <w:tcPr>
            <w:tcW w:w="240" w:type="dxa"/>
            <w:vAlign w:val="bottom"/>
            <w:tcBorders>
              <w:top w:val="single" w:sz="8" w:color="F5F5F5"/>
            </w:tcBorders>
            <w:shd w:val="clear" w:color="auto" w:fill="F5F5F5"/>
          </w:tcPr>
          <w:p>
            <w:pPr>
              <w:spacing w:after="0" w:line="20" w:lineRule="exact"/>
              <w:rPr>
                <w:sz w:val="1"/>
                <w:szCs w:val="1"/>
                <w:color w:val="auto"/>
              </w:rPr>
            </w:pPr>
          </w:p>
        </w:tc>
        <w:tc>
          <w:tcPr>
            <w:tcW w:w="280" w:type="dxa"/>
            <w:vAlign w:val="bottom"/>
            <w:tcBorders>
              <w:top w:val="single" w:sz="8" w:color="F5F5F5"/>
            </w:tcBorders>
            <w:shd w:val="clear" w:color="auto" w:fill="F5F5F5"/>
          </w:tcPr>
          <w:p>
            <w:pPr>
              <w:spacing w:after="0" w:line="20" w:lineRule="exact"/>
              <w:rPr>
                <w:sz w:val="1"/>
                <w:szCs w:val="1"/>
                <w:color w:val="auto"/>
              </w:rPr>
            </w:pPr>
          </w:p>
        </w:tc>
        <w:tc>
          <w:tcPr>
            <w:tcW w:w="40" w:type="dxa"/>
            <w:vAlign w:val="bottom"/>
            <w:tcBorders>
              <w:top w:val="single" w:sz="8" w:color="F5F5F5"/>
            </w:tcBorders>
            <w:shd w:val="clear" w:color="auto" w:fill="F5F5F5"/>
          </w:tcPr>
          <w:p>
            <w:pPr>
              <w:spacing w:after="0" w:line="20" w:lineRule="exact"/>
              <w:rPr>
                <w:sz w:val="1"/>
                <w:szCs w:val="1"/>
                <w:color w:val="auto"/>
              </w:rPr>
            </w:pPr>
          </w:p>
        </w:tc>
        <w:tc>
          <w:tcPr>
            <w:tcW w:w="100" w:type="dxa"/>
            <w:vAlign w:val="bottom"/>
            <w:tcBorders>
              <w:top w:val="single" w:sz="8" w:color="F5F5F5"/>
            </w:tcBorders>
            <w:shd w:val="clear" w:color="auto" w:fill="F5F5F5"/>
          </w:tcPr>
          <w:p>
            <w:pPr>
              <w:spacing w:after="0" w:line="20" w:lineRule="exact"/>
              <w:rPr>
                <w:sz w:val="1"/>
                <w:szCs w:val="1"/>
                <w:color w:val="auto"/>
              </w:rPr>
            </w:pPr>
          </w:p>
        </w:tc>
        <w:tc>
          <w:tcPr>
            <w:tcW w:w="280" w:type="dxa"/>
            <w:vAlign w:val="bottom"/>
            <w:tcBorders>
              <w:top w:val="single" w:sz="8" w:color="F5F5F5"/>
            </w:tcBorders>
            <w:shd w:val="clear" w:color="auto" w:fill="F5F5F5"/>
          </w:tcPr>
          <w:p>
            <w:pPr>
              <w:spacing w:after="0" w:line="20" w:lineRule="exact"/>
              <w:rPr>
                <w:sz w:val="1"/>
                <w:szCs w:val="1"/>
                <w:color w:val="auto"/>
              </w:rPr>
            </w:pPr>
          </w:p>
        </w:tc>
        <w:tc>
          <w:tcPr>
            <w:tcW w:w="180" w:type="dxa"/>
            <w:vAlign w:val="bottom"/>
            <w:tcBorders>
              <w:top w:val="single" w:sz="8" w:color="F5F5F5"/>
            </w:tcBorders>
            <w:shd w:val="clear" w:color="auto" w:fill="F5F5F5"/>
          </w:tcPr>
          <w:p>
            <w:pPr>
              <w:spacing w:after="0" w:line="20" w:lineRule="exact"/>
              <w:rPr>
                <w:sz w:val="1"/>
                <w:szCs w:val="1"/>
                <w:color w:val="auto"/>
              </w:rPr>
            </w:pPr>
          </w:p>
        </w:tc>
        <w:tc>
          <w:tcPr>
            <w:tcW w:w="80" w:type="dxa"/>
            <w:vAlign w:val="bottom"/>
            <w:tcBorders>
              <w:top w:val="single" w:sz="8" w:color="F5F5F5"/>
            </w:tcBorders>
            <w:shd w:val="clear" w:color="auto" w:fill="F5F5F5"/>
          </w:tcPr>
          <w:p>
            <w:pPr>
              <w:spacing w:after="0" w:line="20" w:lineRule="exact"/>
              <w:rPr>
                <w:sz w:val="1"/>
                <w:szCs w:val="1"/>
                <w:color w:val="auto"/>
              </w:rPr>
            </w:pPr>
          </w:p>
        </w:tc>
        <w:tc>
          <w:tcPr>
            <w:tcW w:w="60" w:type="dxa"/>
            <w:vAlign w:val="bottom"/>
            <w:tcBorders>
              <w:top w:val="single" w:sz="8" w:color="F5F5F5"/>
            </w:tcBorders>
            <w:shd w:val="clear" w:color="auto" w:fill="F5F5F5"/>
          </w:tcPr>
          <w:p>
            <w:pPr>
              <w:spacing w:after="0" w:line="20" w:lineRule="exact"/>
              <w:rPr>
                <w:sz w:val="1"/>
                <w:szCs w:val="1"/>
                <w:color w:val="auto"/>
              </w:rPr>
            </w:pPr>
          </w:p>
        </w:tc>
        <w:tc>
          <w:tcPr>
            <w:tcW w:w="160" w:type="dxa"/>
            <w:vAlign w:val="bottom"/>
            <w:tcBorders>
              <w:top w:val="single" w:sz="8" w:color="F5F5F5"/>
            </w:tcBorders>
            <w:shd w:val="clear" w:color="auto" w:fill="F5F5F5"/>
          </w:tcPr>
          <w:p>
            <w:pPr>
              <w:spacing w:after="0" w:line="20" w:lineRule="exact"/>
              <w:rPr>
                <w:sz w:val="1"/>
                <w:szCs w:val="1"/>
                <w:color w:val="auto"/>
              </w:rPr>
            </w:pPr>
          </w:p>
        </w:tc>
        <w:tc>
          <w:tcPr>
            <w:tcW w:w="1680" w:type="dxa"/>
            <w:vAlign w:val="bottom"/>
            <w:tcBorders>
              <w:top w:val="single" w:sz="8" w:color="F5F5F5"/>
            </w:tcBorders>
            <w:shd w:val="clear" w:color="auto" w:fill="F5F5F5"/>
          </w:tcPr>
          <w:p>
            <w:pPr>
              <w:spacing w:after="0" w:line="20" w:lineRule="exact"/>
              <w:rPr>
                <w:sz w:val="1"/>
                <w:szCs w:val="1"/>
                <w:color w:val="auto"/>
              </w:rPr>
            </w:pPr>
          </w:p>
        </w:tc>
        <w:tc>
          <w:tcPr>
            <w:tcW w:w="640" w:type="dxa"/>
            <w:vAlign w:val="bottom"/>
            <w:tcBorders>
              <w:top w:val="single" w:sz="8" w:color="F5F5F5"/>
            </w:tcBorders>
            <w:shd w:val="clear" w:color="auto" w:fill="F5F5F5"/>
          </w:tcPr>
          <w:p>
            <w:pPr>
              <w:spacing w:after="0" w:line="20" w:lineRule="exact"/>
              <w:rPr>
                <w:sz w:val="1"/>
                <w:szCs w:val="1"/>
                <w:color w:val="auto"/>
              </w:rPr>
            </w:pPr>
          </w:p>
        </w:tc>
        <w:tc>
          <w:tcPr>
            <w:tcW w:w="1020" w:type="dxa"/>
            <w:vAlign w:val="bottom"/>
            <w:tcBorders>
              <w:top w:val="single" w:sz="8" w:color="F5F5F5"/>
            </w:tcBorders>
            <w:shd w:val="clear" w:color="auto" w:fill="F5F5F5"/>
          </w:tcPr>
          <w:p>
            <w:pPr>
              <w:spacing w:after="0" w:line="20" w:lineRule="exact"/>
              <w:rPr>
                <w:sz w:val="1"/>
                <w:szCs w:val="1"/>
                <w:color w:val="auto"/>
              </w:rPr>
            </w:pPr>
          </w:p>
        </w:tc>
        <w:tc>
          <w:tcPr>
            <w:tcW w:w="40" w:type="dxa"/>
            <w:vAlign w:val="bottom"/>
            <w:tcBorders>
              <w:top w:val="single" w:sz="8" w:color="F5F5F5"/>
            </w:tcBorders>
            <w:shd w:val="clear" w:color="auto" w:fill="F5F5F5"/>
          </w:tcPr>
          <w:p>
            <w:pPr>
              <w:spacing w:after="0" w:line="20" w:lineRule="exact"/>
              <w:rPr>
                <w:sz w:val="1"/>
                <w:szCs w:val="1"/>
                <w:color w:val="auto"/>
              </w:rPr>
            </w:pPr>
          </w:p>
        </w:tc>
        <w:tc>
          <w:tcPr>
            <w:tcW w:w="8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r>
      <w:tr>
        <w:trPr>
          <w:trHeight w:val="162"/>
        </w:trPr>
        <w:tc>
          <w:tcPr>
            <w:tcW w:w="920" w:type="dxa"/>
            <w:vAlign w:val="bottom"/>
          </w:tcPr>
          <w:p>
            <w:pPr>
              <w:ind w:left="20"/>
              <w:spacing w:after="0"/>
              <w:rPr>
                <w:sz w:val="20"/>
                <w:szCs w:val="20"/>
                <w:color w:val="auto"/>
              </w:rPr>
            </w:pPr>
            <w:r>
              <w:rPr>
                <w:rFonts w:ascii="Arial" w:cs="Arial" w:eastAsia="Arial" w:hAnsi="Arial"/>
                <w:sz w:val="14"/>
                <w:szCs w:val="14"/>
                <w:color w:val="auto"/>
              </w:rPr>
              <w:t>10.46*</w:t>
            </w:r>
          </w:p>
        </w:tc>
        <w:tc>
          <w:tcPr>
            <w:tcW w:w="120" w:type="dxa"/>
            <w:vAlign w:val="bottom"/>
          </w:tcPr>
          <w:p>
            <w:pPr>
              <w:spacing w:after="0"/>
              <w:rPr>
                <w:sz w:val="14"/>
                <w:szCs w:val="14"/>
                <w:color w:val="auto"/>
              </w:rPr>
            </w:pPr>
          </w:p>
        </w:tc>
        <w:tc>
          <w:tcPr>
            <w:tcW w:w="10500" w:type="dxa"/>
            <w:vAlign w:val="bottom"/>
            <w:gridSpan w:val="39"/>
          </w:tcPr>
          <w:p>
            <w:pPr>
              <w:spacing w:after="0"/>
              <w:rPr>
                <w:rFonts w:ascii="Arial" w:cs="Arial" w:eastAsia="Arial" w:hAnsi="Arial"/>
                <w:sz w:val="14"/>
                <w:szCs w:val="14"/>
                <w:color w:val="0000FF"/>
              </w:rPr>
            </w:pPr>
            <w:hyperlink r:id="rId165">
              <w:r>
                <w:rPr>
                  <w:rFonts w:ascii="Arial" w:cs="Arial" w:eastAsia="Arial" w:hAnsi="Arial"/>
                  <w:sz w:val="14"/>
                  <w:szCs w:val="14"/>
                  <w:color w:val="0000FF"/>
                </w:rPr>
                <w:t>Form of Restricted Stock Unit Award Agreement used to evidence the grant of restricted stock units to non-associate directors of A&amp;F under the Abercrombie &amp;</w:t>
              </w:r>
            </w:hyperlink>
          </w:p>
        </w:tc>
      </w:tr>
      <w:tr>
        <w:trPr>
          <w:trHeight w:val="115"/>
        </w:trPr>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40" w:type="dxa"/>
            <w:vAlign w:val="bottom"/>
            <w:tcBorders>
              <w:top w:val="single" w:sz="8" w:color="0000FF"/>
            </w:tcBorders>
            <w:gridSpan w:val="26"/>
          </w:tcPr>
          <w:p>
            <w:pPr>
              <w:spacing w:after="0" w:line="115" w:lineRule="exact"/>
              <w:rPr>
                <w:rFonts w:ascii="Arial" w:cs="Arial" w:eastAsia="Arial" w:hAnsi="Arial"/>
                <w:sz w:val="13"/>
                <w:szCs w:val="13"/>
                <w:color w:val="0000FF"/>
              </w:rPr>
            </w:pPr>
            <w:hyperlink r:id="rId165">
              <w:r>
                <w:rPr>
                  <w:rFonts w:ascii="Arial" w:cs="Arial" w:eastAsia="Arial" w:hAnsi="Arial"/>
                  <w:sz w:val="13"/>
                  <w:szCs w:val="13"/>
                  <w:color w:val="0000FF"/>
                </w:rPr>
                <w:t>Fitch Co. 2016 Long-Term Incentive Plan for Directors on and after June 16, 2016, incorporated herein by reference to Exhibit 10.10 to A&amp;F’s Quarterly Report</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60" w:type="dxa"/>
            <w:vAlign w:val="bottom"/>
            <w:gridSpan w:val="3"/>
          </w:tcPr>
          <w:p>
            <w:pPr>
              <w:spacing w:after="0"/>
              <w:rPr>
                <w:sz w:val="10"/>
                <w:szCs w:val="10"/>
                <w:color w:val="auto"/>
              </w:rPr>
            </w:pPr>
          </w:p>
        </w:tc>
      </w:tr>
      <w:tr>
        <w:trPr>
          <w:trHeight w:val="129"/>
        </w:trPr>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0" w:type="dxa"/>
            <w:vAlign w:val="bottom"/>
            <w:tcBorders>
              <w:top w:val="single" w:sz="8" w:color="0000FF"/>
            </w:tcBorders>
            <w:gridSpan w:val="24"/>
          </w:tcPr>
          <w:p>
            <w:pPr>
              <w:spacing w:after="0" w:line="129" w:lineRule="exact"/>
              <w:rPr>
                <w:rFonts w:ascii="Arial" w:cs="Arial" w:eastAsia="Arial" w:hAnsi="Arial"/>
                <w:sz w:val="14"/>
                <w:szCs w:val="14"/>
                <w:color w:val="0000FF"/>
              </w:rPr>
            </w:pPr>
            <w:hyperlink r:id="rId165">
              <w:r>
                <w:rPr>
                  <w:rFonts w:ascii="Arial" w:cs="Arial" w:eastAsia="Arial" w:hAnsi="Arial"/>
                  <w:sz w:val="14"/>
                  <w:szCs w:val="14"/>
                  <w:color w:val="0000FF"/>
                </w:rPr>
                <w:t>on Form 10-Q for the quarterly period ended July 30, 2016 (File No. 001-12107).</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60" w:type="dxa"/>
            <w:vAlign w:val="bottom"/>
            <w:gridSpan w:val="3"/>
          </w:tcPr>
          <w:p>
            <w:pPr>
              <w:spacing w:after="0"/>
              <w:rPr>
                <w:sz w:val="11"/>
                <w:szCs w:val="1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4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920" w:type="dxa"/>
            <w:vAlign w:val="bottom"/>
            <w:shd w:val="clear" w:color="auto" w:fill="F5F5F5"/>
          </w:tcPr>
          <w:p>
            <w:pPr>
              <w:ind w:left="20"/>
              <w:spacing w:after="0"/>
              <w:rPr>
                <w:sz w:val="20"/>
                <w:szCs w:val="20"/>
                <w:color w:val="auto"/>
              </w:rPr>
            </w:pPr>
            <w:r>
              <w:rPr>
                <w:rFonts w:ascii="Arial" w:cs="Arial" w:eastAsia="Arial" w:hAnsi="Arial"/>
                <w:sz w:val="14"/>
                <w:szCs w:val="14"/>
                <w:color w:val="auto"/>
              </w:rPr>
              <w:t>10.47*</w:t>
            </w:r>
          </w:p>
        </w:tc>
        <w:tc>
          <w:tcPr>
            <w:tcW w:w="120" w:type="dxa"/>
            <w:vAlign w:val="bottom"/>
            <w:shd w:val="clear" w:color="auto" w:fill="F5F5F5"/>
          </w:tcPr>
          <w:p>
            <w:pPr>
              <w:spacing w:after="0"/>
              <w:rPr>
                <w:sz w:val="14"/>
                <w:szCs w:val="14"/>
                <w:color w:val="auto"/>
              </w:rPr>
            </w:pPr>
          </w:p>
        </w:tc>
        <w:tc>
          <w:tcPr>
            <w:tcW w:w="10500" w:type="dxa"/>
            <w:vAlign w:val="bottom"/>
            <w:gridSpan w:val="39"/>
            <w:shd w:val="clear" w:color="auto" w:fill="F5F5F5"/>
          </w:tcPr>
          <w:p>
            <w:pPr>
              <w:spacing w:after="0"/>
              <w:rPr>
                <w:rFonts w:ascii="Arial" w:cs="Arial" w:eastAsia="Arial" w:hAnsi="Arial"/>
                <w:sz w:val="14"/>
                <w:szCs w:val="14"/>
                <w:color w:val="0000FF"/>
              </w:rPr>
            </w:pPr>
            <w:hyperlink r:id="rId166">
              <w:r>
                <w:rPr>
                  <w:rFonts w:ascii="Arial" w:cs="Arial" w:eastAsia="Arial" w:hAnsi="Arial"/>
                  <w:sz w:val="14"/>
                  <w:szCs w:val="14"/>
                  <w:color w:val="0000FF"/>
                </w:rPr>
                <w:t>Form of Restricted Stock Unit Award Agreement used to evidence the grant of restricted stock units to non-associate chairperson of the board of A&amp;F under the</w:t>
              </w:r>
            </w:hyperlink>
          </w:p>
        </w:tc>
      </w:tr>
      <w:tr>
        <w:trPr>
          <w:trHeight w:val="135"/>
        </w:trPr>
        <w:tc>
          <w:tcPr>
            <w:tcW w:w="920" w:type="dxa"/>
            <w:vAlign w:val="bottom"/>
            <w:tcBorders>
              <w:top w:val="single" w:sz="8" w:color="F5F5F5"/>
              <w:bottom w:val="single" w:sz="8" w:color="F5F5F5"/>
            </w:tcBorders>
            <w:shd w:val="clear" w:color="auto" w:fill="F5F5F5"/>
          </w:tcPr>
          <w:p>
            <w:pPr>
              <w:spacing w:after="0"/>
              <w:rPr>
                <w:sz w:val="11"/>
                <w:szCs w:val="11"/>
                <w:color w:val="auto"/>
              </w:rPr>
            </w:pPr>
          </w:p>
        </w:tc>
        <w:tc>
          <w:tcPr>
            <w:tcW w:w="120" w:type="dxa"/>
            <w:vAlign w:val="bottom"/>
            <w:tcBorders>
              <w:top w:val="single" w:sz="8" w:color="F5F5F5"/>
              <w:bottom w:val="single" w:sz="8" w:color="F5F5F5"/>
            </w:tcBorders>
            <w:shd w:val="clear" w:color="auto" w:fill="F5F5F5"/>
          </w:tcPr>
          <w:p>
            <w:pPr>
              <w:spacing w:after="0"/>
              <w:rPr>
                <w:sz w:val="11"/>
                <w:szCs w:val="11"/>
                <w:color w:val="auto"/>
              </w:rPr>
            </w:pPr>
          </w:p>
        </w:tc>
        <w:tc>
          <w:tcPr>
            <w:tcW w:w="6220" w:type="dxa"/>
            <w:vAlign w:val="bottom"/>
            <w:tcBorders>
              <w:top w:val="single" w:sz="8" w:color="0000FF"/>
              <w:bottom w:val="single" w:sz="8" w:color="0000FF"/>
            </w:tcBorders>
            <w:gridSpan w:val="13"/>
            <w:shd w:val="clear" w:color="auto" w:fill="F5F5F5"/>
          </w:tcPr>
          <w:p>
            <w:pPr>
              <w:spacing w:after="0" w:line="115" w:lineRule="exact"/>
              <w:rPr>
                <w:rFonts w:ascii="Arial" w:cs="Arial" w:eastAsia="Arial" w:hAnsi="Arial"/>
                <w:sz w:val="13"/>
                <w:szCs w:val="13"/>
                <w:color w:val="0000FF"/>
              </w:rPr>
            </w:pPr>
            <w:hyperlink r:id="rId166">
              <w:r>
                <w:rPr>
                  <w:rFonts w:ascii="Arial" w:cs="Arial" w:eastAsia="Arial" w:hAnsi="Arial"/>
                  <w:sz w:val="13"/>
                  <w:szCs w:val="13"/>
                  <w:color w:val="0000FF"/>
                </w:rPr>
                <w:t>Abercrombie &amp; Fitch Co. 2016 Long-Term Incentive Plan for Directors on and after June 16, 2016.</w:t>
              </w:r>
            </w:hyperlink>
          </w:p>
        </w:tc>
        <w:tc>
          <w:tcPr>
            <w:tcW w:w="4080" w:type="dxa"/>
            <w:vAlign w:val="bottom"/>
            <w:tcBorders>
              <w:top w:val="single" w:sz="8" w:color="0000FF"/>
              <w:bottom w:val="single" w:sz="8" w:color="F5F5F5"/>
            </w:tcBorders>
            <w:gridSpan w:val="16"/>
            <w:shd w:val="clear" w:color="auto" w:fill="F5F5F5"/>
          </w:tcPr>
          <w:p>
            <w:pPr>
              <w:spacing w:after="0"/>
              <w:rPr>
                <w:sz w:val="11"/>
                <w:szCs w:val="11"/>
                <w:color w:val="auto"/>
              </w:rPr>
            </w:pPr>
          </w:p>
        </w:tc>
        <w:tc>
          <w:tcPr>
            <w:tcW w:w="20" w:type="dxa"/>
            <w:vAlign w:val="bottom"/>
            <w:tcBorders>
              <w:top w:val="single" w:sz="8" w:color="F5F5F5"/>
              <w:bottom w:val="single" w:sz="8" w:color="F5F5F5"/>
            </w:tcBorders>
            <w:shd w:val="clear" w:color="auto" w:fill="F5F5F5"/>
          </w:tcPr>
          <w:p>
            <w:pPr>
              <w:spacing w:after="0"/>
              <w:rPr>
                <w:sz w:val="11"/>
                <w:szCs w:val="11"/>
                <w:color w:val="auto"/>
              </w:rPr>
            </w:pPr>
          </w:p>
        </w:tc>
        <w:tc>
          <w:tcPr>
            <w:tcW w:w="20" w:type="dxa"/>
            <w:vAlign w:val="bottom"/>
            <w:tcBorders>
              <w:top w:val="single" w:sz="8" w:color="F5F5F5"/>
              <w:bottom w:val="single" w:sz="8" w:color="F5F5F5"/>
            </w:tcBorders>
            <w:shd w:val="clear" w:color="auto" w:fill="F5F5F5"/>
          </w:tcPr>
          <w:p>
            <w:pPr>
              <w:spacing w:after="0"/>
              <w:rPr>
                <w:sz w:val="11"/>
                <w:szCs w:val="11"/>
                <w:color w:val="auto"/>
              </w:rPr>
            </w:pPr>
          </w:p>
        </w:tc>
        <w:tc>
          <w:tcPr>
            <w:tcW w:w="20" w:type="dxa"/>
            <w:vAlign w:val="bottom"/>
            <w:tcBorders>
              <w:top w:val="single" w:sz="8" w:color="F5F5F5"/>
              <w:bottom w:val="single" w:sz="8" w:color="F5F5F5"/>
            </w:tcBorders>
            <w:shd w:val="clear" w:color="auto" w:fill="F5F5F5"/>
          </w:tcPr>
          <w:p>
            <w:pPr>
              <w:spacing w:after="0"/>
              <w:rPr>
                <w:sz w:val="11"/>
                <w:szCs w:val="11"/>
                <w:color w:val="auto"/>
              </w:rPr>
            </w:pPr>
          </w:p>
        </w:tc>
        <w:tc>
          <w:tcPr>
            <w:tcW w:w="80" w:type="dxa"/>
            <w:vAlign w:val="bottom"/>
            <w:tcBorders>
              <w:top w:val="single" w:sz="8" w:color="F5F5F5"/>
              <w:bottom w:val="single" w:sz="8" w:color="F5F5F5"/>
            </w:tcBorders>
            <w:gridSpan w:val="4"/>
            <w:shd w:val="clear" w:color="auto" w:fill="F5F5F5"/>
          </w:tcPr>
          <w:p>
            <w:pPr>
              <w:spacing w:after="0"/>
              <w:rPr>
                <w:sz w:val="11"/>
                <w:szCs w:val="11"/>
                <w:color w:val="auto"/>
              </w:rPr>
            </w:pPr>
          </w:p>
        </w:tc>
        <w:tc>
          <w:tcPr>
            <w:tcW w:w="60" w:type="dxa"/>
            <w:vAlign w:val="bottom"/>
            <w:tcBorders>
              <w:top w:val="single" w:sz="8" w:color="F5F5F5"/>
              <w:bottom w:val="single" w:sz="8" w:color="F5F5F5"/>
            </w:tcBorders>
            <w:gridSpan w:val="3"/>
            <w:shd w:val="clear" w:color="auto" w:fill="F5F5F5"/>
          </w:tcPr>
          <w:p>
            <w:pPr>
              <w:spacing w:after="0"/>
              <w:rPr>
                <w:sz w:val="11"/>
                <w:szCs w:val="11"/>
                <w:color w:val="auto"/>
              </w:rPr>
            </w:pPr>
          </w:p>
        </w:tc>
      </w:tr>
      <w:tr>
        <w:trPr>
          <w:trHeight w:val="162"/>
        </w:trPr>
        <w:tc>
          <w:tcPr>
            <w:tcW w:w="920" w:type="dxa"/>
            <w:vAlign w:val="bottom"/>
          </w:tcPr>
          <w:p>
            <w:pPr>
              <w:ind w:left="20"/>
              <w:spacing w:after="0"/>
              <w:rPr>
                <w:sz w:val="20"/>
                <w:szCs w:val="20"/>
                <w:color w:val="auto"/>
              </w:rPr>
            </w:pPr>
            <w:r>
              <w:rPr>
                <w:rFonts w:ascii="Arial" w:cs="Arial" w:eastAsia="Arial" w:hAnsi="Arial"/>
                <w:sz w:val="14"/>
                <w:szCs w:val="14"/>
                <w:color w:val="auto"/>
              </w:rPr>
              <w:t>10.48*</w:t>
            </w:r>
          </w:p>
        </w:tc>
        <w:tc>
          <w:tcPr>
            <w:tcW w:w="120" w:type="dxa"/>
            <w:vAlign w:val="bottom"/>
          </w:tcPr>
          <w:p>
            <w:pPr>
              <w:spacing w:after="0"/>
              <w:rPr>
                <w:sz w:val="14"/>
                <w:szCs w:val="14"/>
                <w:color w:val="auto"/>
              </w:rPr>
            </w:pPr>
          </w:p>
        </w:tc>
        <w:tc>
          <w:tcPr>
            <w:tcW w:w="10500" w:type="dxa"/>
            <w:vAlign w:val="bottom"/>
            <w:gridSpan w:val="39"/>
          </w:tcPr>
          <w:p>
            <w:pPr>
              <w:spacing w:after="0"/>
              <w:rPr>
                <w:rFonts w:ascii="Arial" w:cs="Arial" w:eastAsia="Arial" w:hAnsi="Arial"/>
                <w:sz w:val="14"/>
                <w:szCs w:val="14"/>
                <w:color w:val="0000FF"/>
              </w:rPr>
            </w:pPr>
            <w:hyperlink r:id="rId167">
              <w:r>
                <w:rPr>
                  <w:rFonts w:ascii="Arial" w:cs="Arial" w:eastAsia="Arial" w:hAnsi="Arial"/>
                  <w:sz w:val="14"/>
                  <w:szCs w:val="14"/>
                  <w:color w:val="0000FF"/>
                </w:rPr>
                <w:t>Amended and Restated Abercrombie &amp; Fitch Co. Short-Term Cash Incentive Compensation Performance Plan, incorporated herein by reference to Exhibit 10.1</w:t>
              </w:r>
            </w:hyperlink>
          </w:p>
        </w:tc>
      </w:tr>
      <w:tr>
        <w:trPr>
          <w:trHeight w:val="115"/>
        </w:trPr>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180" w:type="dxa"/>
            <w:vAlign w:val="bottom"/>
            <w:tcBorders>
              <w:top w:val="single" w:sz="8" w:color="0000FF"/>
            </w:tcBorders>
            <w:gridSpan w:val="23"/>
          </w:tcPr>
          <w:p>
            <w:pPr>
              <w:spacing w:after="0" w:line="115" w:lineRule="exact"/>
              <w:rPr>
                <w:rFonts w:ascii="Arial" w:cs="Arial" w:eastAsia="Arial" w:hAnsi="Arial"/>
                <w:sz w:val="13"/>
                <w:szCs w:val="13"/>
                <w:color w:val="0000FF"/>
              </w:rPr>
            </w:pPr>
            <w:hyperlink r:id="rId167">
              <w:r>
                <w:rPr>
                  <w:rFonts w:ascii="Arial" w:cs="Arial" w:eastAsia="Arial" w:hAnsi="Arial"/>
                  <w:sz w:val="13"/>
                  <w:szCs w:val="13"/>
                  <w:color w:val="0000FF"/>
                </w:rPr>
                <w:t>to A&amp;F's Current Report on Form 8-K dated and filed March 13, 2024 (File No. 001-12107).</w:t>
              </w:r>
            </w:hyperlink>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60" w:type="dxa"/>
            <w:vAlign w:val="bottom"/>
            <w:gridSpan w:val="3"/>
          </w:tcPr>
          <w:p>
            <w:pPr>
              <w:spacing w:after="0"/>
              <w:rPr>
                <w:sz w:val="10"/>
                <w:szCs w:val="10"/>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4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920" w:type="dxa"/>
            <w:vAlign w:val="bottom"/>
            <w:shd w:val="clear" w:color="auto" w:fill="F5F5F5"/>
          </w:tcPr>
          <w:p>
            <w:pPr>
              <w:ind w:left="20"/>
              <w:spacing w:after="0"/>
              <w:rPr>
                <w:sz w:val="20"/>
                <w:szCs w:val="20"/>
                <w:color w:val="auto"/>
              </w:rPr>
            </w:pPr>
            <w:r>
              <w:rPr>
                <w:rFonts w:ascii="Arial" w:cs="Arial" w:eastAsia="Arial" w:hAnsi="Arial"/>
                <w:sz w:val="14"/>
                <w:szCs w:val="14"/>
                <w:color w:val="auto"/>
              </w:rPr>
              <w:t>10.49*</w:t>
            </w:r>
          </w:p>
        </w:tc>
        <w:tc>
          <w:tcPr>
            <w:tcW w:w="120" w:type="dxa"/>
            <w:vAlign w:val="bottom"/>
            <w:shd w:val="clear" w:color="auto" w:fill="F5F5F5"/>
          </w:tcPr>
          <w:p>
            <w:pPr>
              <w:spacing w:after="0"/>
              <w:rPr>
                <w:sz w:val="14"/>
                <w:szCs w:val="14"/>
                <w:color w:val="auto"/>
              </w:rPr>
            </w:pPr>
          </w:p>
        </w:tc>
        <w:tc>
          <w:tcPr>
            <w:tcW w:w="10500" w:type="dxa"/>
            <w:vAlign w:val="bottom"/>
            <w:gridSpan w:val="39"/>
            <w:shd w:val="clear" w:color="auto" w:fill="F5F5F5"/>
          </w:tcPr>
          <w:p>
            <w:pPr>
              <w:spacing w:after="0"/>
              <w:rPr>
                <w:rFonts w:ascii="Arial" w:cs="Arial" w:eastAsia="Arial" w:hAnsi="Arial"/>
                <w:sz w:val="14"/>
                <w:szCs w:val="14"/>
                <w:color w:val="0000FF"/>
              </w:rPr>
            </w:pPr>
            <w:hyperlink r:id="rId168">
              <w:r>
                <w:rPr>
                  <w:rFonts w:ascii="Arial" w:cs="Arial" w:eastAsia="Arial" w:hAnsi="Arial"/>
                  <w:sz w:val="14"/>
                  <w:szCs w:val="14"/>
                  <w:color w:val="0000FF"/>
                </w:rPr>
                <w:t>Abercrombie &amp; Fitch Co. Long-Term Cash Incentive Compensation Performance Plan, incorporated herein by reference to Exhibit 10.2 to A&amp;F's Current Report</w:t>
              </w:r>
            </w:hyperlink>
          </w:p>
        </w:tc>
      </w:tr>
      <w:tr>
        <w:trPr>
          <w:trHeight w:val="135"/>
        </w:trPr>
        <w:tc>
          <w:tcPr>
            <w:tcW w:w="920" w:type="dxa"/>
            <w:vAlign w:val="bottom"/>
            <w:tcBorders>
              <w:top w:val="single" w:sz="8" w:color="F5F5F5"/>
              <w:bottom w:val="single" w:sz="8" w:color="F5F5F5"/>
            </w:tcBorders>
            <w:shd w:val="clear" w:color="auto" w:fill="F5F5F5"/>
          </w:tcPr>
          <w:p>
            <w:pPr>
              <w:spacing w:after="0"/>
              <w:rPr>
                <w:sz w:val="11"/>
                <w:szCs w:val="11"/>
                <w:color w:val="auto"/>
              </w:rPr>
            </w:pPr>
          </w:p>
        </w:tc>
        <w:tc>
          <w:tcPr>
            <w:tcW w:w="120" w:type="dxa"/>
            <w:vAlign w:val="bottom"/>
            <w:tcBorders>
              <w:top w:val="single" w:sz="8" w:color="F5F5F5"/>
              <w:bottom w:val="single" w:sz="8" w:color="F5F5F5"/>
            </w:tcBorders>
            <w:shd w:val="clear" w:color="auto" w:fill="F5F5F5"/>
          </w:tcPr>
          <w:p>
            <w:pPr>
              <w:spacing w:after="0"/>
              <w:rPr>
                <w:sz w:val="11"/>
                <w:szCs w:val="11"/>
                <w:color w:val="auto"/>
              </w:rPr>
            </w:pPr>
          </w:p>
        </w:tc>
        <w:tc>
          <w:tcPr>
            <w:tcW w:w="4140" w:type="dxa"/>
            <w:vAlign w:val="bottom"/>
            <w:tcBorders>
              <w:top w:val="single" w:sz="8" w:color="0000FF"/>
              <w:bottom w:val="single" w:sz="8" w:color="0000FF"/>
            </w:tcBorders>
            <w:gridSpan w:val="5"/>
            <w:shd w:val="clear" w:color="auto" w:fill="F5F5F5"/>
          </w:tcPr>
          <w:p>
            <w:pPr>
              <w:spacing w:after="0" w:line="115" w:lineRule="exact"/>
              <w:rPr>
                <w:rFonts w:ascii="Arial" w:cs="Arial" w:eastAsia="Arial" w:hAnsi="Arial"/>
                <w:sz w:val="13"/>
                <w:szCs w:val="13"/>
                <w:color w:val="0000FF"/>
              </w:rPr>
            </w:pPr>
            <w:hyperlink r:id="rId168">
              <w:r>
                <w:rPr>
                  <w:rFonts w:ascii="Arial" w:cs="Arial" w:eastAsia="Arial" w:hAnsi="Arial"/>
                  <w:sz w:val="13"/>
                  <w:szCs w:val="13"/>
                  <w:color w:val="0000FF"/>
                </w:rPr>
                <w:t>on Form 8-K dated and filed June 15, 2017 (File No. 001-12107).</w:t>
              </w:r>
            </w:hyperlink>
          </w:p>
        </w:tc>
        <w:tc>
          <w:tcPr>
            <w:tcW w:w="6300" w:type="dxa"/>
            <w:vAlign w:val="bottom"/>
            <w:tcBorders>
              <w:top w:val="single" w:sz="8" w:color="0000FF"/>
              <w:bottom w:val="single" w:sz="8" w:color="F5F5F5"/>
            </w:tcBorders>
            <w:gridSpan w:val="31"/>
            <w:shd w:val="clear" w:color="auto" w:fill="F5F5F5"/>
          </w:tcPr>
          <w:p>
            <w:pPr>
              <w:spacing w:after="0"/>
              <w:rPr>
                <w:sz w:val="11"/>
                <w:szCs w:val="11"/>
                <w:color w:val="auto"/>
              </w:rPr>
            </w:pPr>
          </w:p>
        </w:tc>
        <w:tc>
          <w:tcPr>
            <w:tcW w:w="60" w:type="dxa"/>
            <w:vAlign w:val="bottom"/>
            <w:tcBorders>
              <w:top w:val="single" w:sz="8" w:color="F5F5F5"/>
              <w:bottom w:val="single" w:sz="8" w:color="F5F5F5"/>
            </w:tcBorders>
            <w:gridSpan w:val="3"/>
            <w:shd w:val="clear" w:color="auto" w:fill="F5F5F5"/>
          </w:tcPr>
          <w:p>
            <w:pPr>
              <w:spacing w:after="0"/>
              <w:rPr>
                <w:sz w:val="11"/>
                <w:szCs w:val="11"/>
                <w:color w:val="auto"/>
              </w:rPr>
            </w:pPr>
          </w:p>
        </w:tc>
      </w:tr>
      <w:tr>
        <w:trPr>
          <w:trHeight w:val="162"/>
        </w:trPr>
        <w:tc>
          <w:tcPr>
            <w:tcW w:w="920" w:type="dxa"/>
            <w:vAlign w:val="bottom"/>
          </w:tcPr>
          <w:p>
            <w:pPr>
              <w:ind w:left="20"/>
              <w:spacing w:after="0"/>
              <w:rPr>
                <w:sz w:val="20"/>
                <w:szCs w:val="20"/>
                <w:color w:val="auto"/>
              </w:rPr>
            </w:pPr>
            <w:r>
              <w:rPr>
                <w:rFonts w:ascii="Arial" w:cs="Arial" w:eastAsia="Arial" w:hAnsi="Arial"/>
                <w:sz w:val="14"/>
                <w:szCs w:val="14"/>
                <w:color w:val="auto"/>
              </w:rPr>
              <w:t>10.50*</w:t>
            </w:r>
          </w:p>
        </w:tc>
        <w:tc>
          <w:tcPr>
            <w:tcW w:w="120" w:type="dxa"/>
            <w:vAlign w:val="bottom"/>
          </w:tcPr>
          <w:p>
            <w:pPr>
              <w:spacing w:after="0"/>
              <w:rPr>
                <w:sz w:val="14"/>
                <w:szCs w:val="14"/>
                <w:color w:val="auto"/>
              </w:rPr>
            </w:pPr>
          </w:p>
        </w:tc>
        <w:tc>
          <w:tcPr>
            <w:tcW w:w="10500" w:type="dxa"/>
            <w:vAlign w:val="bottom"/>
            <w:gridSpan w:val="39"/>
          </w:tcPr>
          <w:p>
            <w:pPr>
              <w:spacing w:after="0"/>
              <w:rPr>
                <w:rFonts w:ascii="Arial" w:cs="Arial" w:eastAsia="Arial" w:hAnsi="Arial"/>
                <w:sz w:val="14"/>
                <w:szCs w:val="14"/>
                <w:color w:val="0000FF"/>
              </w:rPr>
            </w:pPr>
            <w:hyperlink r:id="rId169">
              <w:r>
                <w:rPr>
                  <w:rFonts w:ascii="Arial" w:cs="Arial" w:eastAsia="Arial" w:hAnsi="Arial"/>
                  <w:sz w:val="14"/>
                  <w:szCs w:val="14"/>
                  <w:color w:val="0000FF"/>
                </w:rPr>
                <w:t>First Amendment to the Abercrombie &amp; Fitch Co. Long-Term Cash Incentive Compensation Performance Plan, dated as of August 16, 2023, incorporated herein</w:t>
              </w:r>
            </w:hyperlink>
          </w:p>
        </w:tc>
      </w:tr>
      <w:tr>
        <w:trPr>
          <w:trHeight w:val="115"/>
        </w:trPr>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360" w:type="dxa"/>
            <w:vAlign w:val="bottom"/>
            <w:tcBorders>
              <w:top w:val="single" w:sz="8" w:color="0000FF"/>
            </w:tcBorders>
            <w:gridSpan w:val="32"/>
          </w:tcPr>
          <w:p>
            <w:pPr>
              <w:spacing w:after="0" w:line="115" w:lineRule="exact"/>
              <w:rPr>
                <w:rFonts w:ascii="Arial" w:cs="Arial" w:eastAsia="Arial" w:hAnsi="Arial"/>
                <w:sz w:val="13"/>
                <w:szCs w:val="13"/>
                <w:color w:val="0000FF"/>
              </w:rPr>
            </w:pPr>
            <w:hyperlink r:id="rId169">
              <w:r>
                <w:rPr>
                  <w:rFonts w:ascii="Arial" w:cs="Arial" w:eastAsia="Arial" w:hAnsi="Arial"/>
                  <w:sz w:val="13"/>
                  <w:szCs w:val="13"/>
                  <w:color w:val="0000FF"/>
                </w:rPr>
                <w:t>by reference to Exhibit 10.2 to A&amp;F's Quarterly Report on Form 10-Q dated and filed December 4, 2023 for the quarterly period ended October 28, 2023 (File</w:t>
              </w:r>
            </w:hyperlink>
          </w:p>
        </w:tc>
        <w:tc>
          <w:tcPr>
            <w:tcW w:w="140" w:type="dxa"/>
            <w:vAlign w:val="bottom"/>
            <w:gridSpan w:val="7"/>
          </w:tcPr>
          <w:p>
            <w:pPr>
              <w:spacing w:after="0"/>
              <w:rPr>
                <w:sz w:val="10"/>
                <w:szCs w:val="10"/>
                <w:color w:val="auto"/>
              </w:rPr>
            </w:pPr>
          </w:p>
        </w:tc>
      </w:tr>
      <w:tr>
        <w:trPr>
          <w:trHeight w:val="128"/>
        </w:trPr>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320" w:type="dxa"/>
            <w:vAlign w:val="bottom"/>
            <w:tcBorders>
              <w:top w:val="single" w:sz="8" w:color="0000FF"/>
            </w:tcBorders>
            <w:gridSpan w:val="30"/>
          </w:tcPr>
          <w:p>
            <w:pPr>
              <w:spacing w:after="0" w:line="129" w:lineRule="exact"/>
              <w:rPr>
                <w:rFonts w:ascii="Arial" w:cs="Arial" w:eastAsia="Arial" w:hAnsi="Arial"/>
                <w:sz w:val="14"/>
                <w:szCs w:val="14"/>
                <w:color w:val="0000FF"/>
              </w:rPr>
            </w:pPr>
            <w:hyperlink r:id="rId169">
              <w:r>
                <w:rPr>
                  <w:rFonts w:ascii="Arial" w:cs="Arial" w:eastAsia="Arial" w:hAnsi="Arial"/>
                  <w:sz w:val="14"/>
                  <w:szCs w:val="14"/>
                  <w:color w:val="0000FF"/>
                </w:rPr>
                <w:t>No. 001-12107).</w:t>
              </w:r>
            </w:hyperlink>
          </w:p>
        </w:tc>
        <w:tc>
          <w:tcPr>
            <w:tcW w:w="20" w:type="dxa"/>
            <w:vAlign w:val="bottom"/>
          </w:tcPr>
          <w:p>
            <w:pPr>
              <w:spacing w:after="0"/>
              <w:rPr>
                <w:sz w:val="11"/>
                <w:szCs w:val="11"/>
                <w:color w:val="auto"/>
              </w:rPr>
            </w:pPr>
          </w:p>
        </w:tc>
        <w:tc>
          <w:tcPr>
            <w:tcW w:w="160" w:type="dxa"/>
            <w:vAlign w:val="bottom"/>
            <w:gridSpan w:val="8"/>
          </w:tcPr>
          <w:p>
            <w:pPr>
              <w:spacing w:after="0"/>
              <w:rPr>
                <w:sz w:val="11"/>
                <w:szCs w:val="11"/>
                <w:color w:val="auto"/>
              </w:rPr>
            </w:pP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920" w:type="dxa"/>
            <w:vAlign w:val="bottom"/>
            <w:shd w:val="clear" w:color="auto" w:fill="F5F5F5"/>
          </w:tcPr>
          <w:p>
            <w:pPr>
              <w:ind w:left="20"/>
              <w:spacing w:after="0"/>
              <w:rPr>
                <w:sz w:val="20"/>
                <w:szCs w:val="20"/>
                <w:color w:val="auto"/>
              </w:rPr>
            </w:pPr>
            <w:r>
              <w:rPr>
                <w:rFonts w:ascii="Arial" w:cs="Arial" w:eastAsia="Arial" w:hAnsi="Arial"/>
                <w:sz w:val="14"/>
                <w:szCs w:val="14"/>
                <w:color w:val="auto"/>
              </w:rPr>
              <w:t>10.51</w:t>
            </w:r>
          </w:p>
        </w:tc>
        <w:tc>
          <w:tcPr>
            <w:tcW w:w="120" w:type="dxa"/>
            <w:vAlign w:val="bottom"/>
            <w:shd w:val="clear" w:color="auto" w:fill="F5F5F5"/>
          </w:tcPr>
          <w:p>
            <w:pPr>
              <w:spacing w:after="0"/>
              <w:rPr>
                <w:sz w:val="14"/>
                <w:szCs w:val="14"/>
                <w:color w:val="auto"/>
              </w:rPr>
            </w:pPr>
          </w:p>
        </w:tc>
        <w:tc>
          <w:tcPr>
            <w:tcW w:w="10500" w:type="dxa"/>
            <w:vAlign w:val="bottom"/>
            <w:gridSpan w:val="39"/>
            <w:shd w:val="clear" w:color="auto" w:fill="F5F5F5"/>
          </w:tcPr>
          <w:p>
            <w:pPr>
              <w:spacing w:after="0"/>
              <w:rPr>
                <w:rFonts w:ascii="Arial" w:cs="Arial" w:eastAsia="Arial" w:hAnsi="Arial"/>
                <w:sz w:val="14"/>
                <w:szCs w:val="14"/>
                <w:color w:val="0000FF"/>
              </w:rPr>
            </w:pPr>
            <w:hyperlink r:id="rId170">
              <w:r>
                <w:rPr>
                  <w:rFonts w:ascii="Arial" w:cs="Arial" w:eastAsia="Arial" w:hAnsi="Arial"/>
                  <w:sz w:val="14"/>
                  <w:szCs w:val="14"/>
                  <w:color w:val="0000FF"/>
                </w:rPr>
                <w:t>Abercrombie &amp; Fitch Co. Associate Stock Purchase Plan (October 1, 2007 Restatement), incorporated herein by reference to Exhibit 10.6 to A&amp;F's Quarterly</w:t>
              </w:r>
            </w:hyperlink>
          </w:p>
        </w:tc>
      </w:tr>
      <w:tr>
        <w:trPr>
          <w:trHeight w:val="136"/>
        </w:trPr>
        <w:tc>
          <w:tcPr>
            <w:tcW w:w="920" w:type="dxa"/>
            <w:vAlign w:val="bottom"/>
            <w:tcBorders>
              <w:top w:val="single" w:sz="8" w:color="F5F5F5"/>
            </w:tcBorders>
            <w:shd w:val="clear" w:color="auto" w:fill="F5F5F5"/>
          </w:tcPr>
          <w:p>
            <w:pPr>
              <w:spacing w:after="0"/>
              <w:rPr>
                <w:sz w:val="11"/>
                <w:szCs w:val="11"/>
                <w:color w:val="auto"/>
              </w:rPr>
            </w:pPr>
          </w:p>
        </w:tc>
        <w:tc>
          <w:tcPr>
            <w:tcW w:w="120" w:type="dxa"/>
            <w:vAlign w:val="bottom"/>
            <w:tcBorders>
              <w:top w:val="single" w:sz="8" w:color="F5F5F5"/>
            </w:tcBorders>
            <w:shd w:val="clear" w:color="auto" w:fill="F5F5F5"/>
          </w:tcPr>
          <w:p>
            <w:pPr>
              <w:spacing w:after="0"/>
              <w:rPr>
                <w:sz w:val="11"/>
                <w:szCs w:val="11"/>
                <w:color w:val="auto"/>
              </w:rPr>
            </w:pPr>
          </w:p>
        </w:tc>
        <w:tc>
          <w:tcPr>
            <w:tcW w:w="10400" w:type="dxa"/>
            <w:vAlign w:val="bottom"/>
            <w:tcBorders>
              <w:top w:val="single" w:sz="8" w:color="0000FF"/>
            </w:tcBorders>
            <w:gridSpan w:val="34"/>
            <w:shd w:val="clear" w:color="auto" w:fill="F5F5F5"/>
          </w:tcPr>
          <w:p>
            <w:pPr>
              <w:spacing w:after="0" w:line="115" w:lineRule="exact"/>
              <w:rPr>
                <w:rFonts w:ascii="Arial" w:cs="Arial" w:eastAsia="Arial" w:hAnsi="Arial"/>
                <w:sz w:val="13"/>
                <w:szCs w:val="13"/>
                <w:color w:val="0000FF"/>
              </w:rPr>
            </w:pPr>
            <w:hyperlink r:id="rId170">
              <w:r>
                <w:rPr>
                  <w:rFonts w:ascii="Arial" w:cs="Arial" w:eastAsia="Arial" w:hAnsi="Arial"/>
                  <w:sz w:val="13"/>
                  <w:szCs w:val="13"/>
                  <w:color w:val="0000FF"/>
                </w:rPr>
                <w:t>Report on Form 10-Q for the quarterly period ended October 28, 2017 (File No. 001-12107).</w:t>
              </w:r>
            </w:hyperlink>
          </w:p>
        </w:tc>
        <w:tc>
          <w:tcPr>
            <w:tcW w:w="100" w:type="dxa"/>
            <w:vAlign w:val="bottom"/>
            <w:tcBorders>
              <w:top w:val="single" w:sz="8" w:color="F5F5F5"/>
            </w:tcBorders>
            <w:gridSpan w:val="5"/>
            <w:shd w:val="clear" w:color="auto" w:fill="F5F5F5"/>
          </w:tcPr>
          <w:p>
            <w:pPr>
              <w:spacing w:after="0"/>
              <w:rPr>
                <w:sz w:val="11"/>
                <w:szCs w:val="11"/>
                <w:color w:val="auto"/>
              </w:rPr>
            </w:pPr>
          </w:p>
        </w:tc>
      </w:tr>
      <w:tr>
        <w:trPr>
          <w:trHeight w:val="162"/>
        </w:trPr>
        <w:tc>
          <w:tcPr>
            <w:tcW w:w="920" w:type="dxa"/>
            <w:vAlign w:val="bottom"/>
            <w:tcBorders>
              <w:top w:val="single" w:sz="8" w:color="F5F5F5"/>
            </w:tcBorders>
          </w:tcPr>
          <w:p>
            <w:pPr>
              <w:ind w:left="20"/>
              <w:spacing w:after="0"/>
              <w:rPr>
                <w:sz w:val="20"/>
                <w:szCs w:val="20"/>
                <w:color w:val="auto"/>
              </w:rPr>
            </w:pPr>
            <w:r>
              <w:rPr>
                <w:rFonts w:ascii="Arial" w:cs="Arial" w:eastAsia="Arial" w:hAnsi="Arial"/>
                <w:sz w:val="14"/>
                <w:szCs w:val="14"/>
                <w:color w:val="auto"/>
              </w:rPr>
              <w:t>19.1</w:t>
            </w:r>
          </w:p>
        </w:tc>
        <w:tc>
          <w:tcPr>
            <w:tcW w:w="120" w:type="dxa"/>
            <w:vAlign w:val="bottom"/>
            <w:tcBorders>
              <w:top w:val="single" w:sz="8" w:color="F5F5F5"/>
            </w:tcBorders>
          </w:tcPr>
          <w:p>
            <w:pPr>
              <w:spacing w:after="0"/>
              <w:rPr>
                <w:sz w:val="14"/>
                <w:szCs w:val="14"/>
                <w:color w:val="auto"/>
              </w:rPr>
            </w:pPr>
          </w:p>
        </w:tc>
        <w:tc>
          <w:tcPr>
            <w:tcW w:w="5840" w:type="dxa"/>
            <w:vAlign w:val="bottom"/>
            <w:tcBorders>
              <w:top w:val="single" w:sz="8" w:color="0000FF"/>
            </w:tcBorders>
            <w:gridSpan w:val="11"/>
          </w:tcPr>
          <w:p>
            <w:pPr>
              <w:spacing w:after="0"/>
              <w:rPr>
                <w:sz w:val="20"/>
                <w:szCs w:val="20"/>
                <w:color w:val="auto"/>
              </w:rPr>
            </w:pPr>
            <w:r>
              <w:rPr>
                <w:rFonts w:ascii="Arial" w:cs="Arial" w:eastAsia="Arial" w:hAnsi="Arial"/>
                <w:sz w:val="14"/>
                <w:szCs w:val="14"/>
                <w:color w:val="0000FF"/>
              </w:rPr>
              <w:t>Insider Trading Policy</w:t>
            </w:r>
            <w:r>
              <w:rPr>
                <w:rFonts w:ascii="Arial" w:cs="Arial" w:eastAsia="Arial" w:hAnsi="Arial"/>
                <w:sz w:val="14"/>
                <w:szCs w:val="14"/>
                <w:color w:val="000000"/>
              </w:rPr>
              <w:t>.</w:t>
            </w:r>
          </w:p>
        </w:tc>
        <w:tc>
          <w:tcPr>
            <w:tcW w:w="4660" w:type="dxa"/>
            <w:vAlign w:val="bottom"/>
            <w:tcBorders>
              <w:top w:val="single" w:sz="8" w:color="F5F5F5"/>
            </w:tcBorders>
            <w:gridSpan w:val="28"/>
          </w:tcPr>
          <w:p>
            <w:pPr>
              <w:spacing w:after="0"/>
              <w:rPr>
                <w:sz w:val="14"/>
                <w:szCs w:val="14"/>
                <w:color w:val="auto"/>
              </w:rPr>
            </w:pP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920" w:type="dxa"/>
            <w:vAlign w:val="bottom"/>
            <w:shd w:val="clear" w:color="auto" w:fill="F5F5F5"/>
          </w:tcPr>
          <w:p>
            <w:pPr>
              <w:ind w:left="20"/>
              <w:spacing w:after="0"/>
              <w:rPr>
                <w:sz w:val="20"/>
                <w:szCs w:val="20"/>
                <w:color w:val="auto"/>
              </w:rPr>
            </w:pPr>
            <w:r>
              <w:rPr>
                <w:rFonts w:ascii="Arial" w:cs="Arial" w:eastAsia="Arial" w:hAnsi="Arial"/>
                <w:sz w:val="14"/>
                <w:szCs w:val="14"/>
                <w:color w:val="auto"/>
              </w:rPr>
              <w:t>21.1</w:t>
            </w:r>
          </w:p>
        </w:tc>
        <w:tc>
          <w:tcPr>
            <w:tcW w:w="120" w:type="dxa"/>
            <w:vAlign w:val="bottom"/>
            <w:shd w:val="clear" w:color="auto" w:fill="F5F5F5"/>
          </w:tcPr>
          <w:p>
            <w:pPr>
              <w:spacing w:after="0"/>
              <w:rPr>
                <w:sz w:val="14"/>
                <w:szCs w:val="14"/>
                <w:color w:val="auto"/>
              </w:rPr>
            </w:pPr>
          </w:p>
        </w:tc>
        <w:tc>
          <w:tcPr>
            <w:tcW w:w="10500" w:type="dxa"/>
            <w:vAlign w:val="bottom"/>
            <w:gridSpan w:val="39"/>
            <w:shd w:val="clear" w:color="auto" w:fill="F5F5F5"/>
          </w:tcPr>
          <w:p>
            <w:pPr>
              <w:spacing w:after="0"/>
              <w:rPr>
                <w:sz w:val="20"/>
                <w:szCs w:val="20"/>
                <w:color w:val="auto"/>
              </w:rPr>
            </w:pPr>
            <w:r>
              <w:rPr>
                <w:rFonts w:ascii="Arial" w:cs="Arial" w:eastAsia="Arial" w:hAnsi="Arial"/>
                <w:sz w:val="14"/>
                <w:szCs w:val="14"/>
                <w:color w:val="0000FF"/>
              </w:rPr>
              <w:t>List of Subsidiaries of A&amp;F.</w:t>
            </w:r>
          </w:p>
        </w:tc>
      </w:tr>
      <w:tr>
        <w:trPr>
          <w:trHeight w:val="20"/>
        </w:trPr>
        <w:tc>
          <w:tcPr>
            <w:tcW w:w="920" w:type="dxa"/>
            <w:vAlign w:val="bottom"/>
            <w:tcBorders>
              <w:top w:val="single" w:sz="8" w:color="F5F5F5"/>
            </w:tcBorders>
            <w:shd w:val="clear" w:color="auto" w:fill="F5F5F5"/>
          </w:tcPr>
          <w:p>
            <w:pPr>
              <w:spacing w:after="0" w:line="20" w:lineRule="exact"/>
              <w:rPr>
                <w:sz w:val="1"/>
                <w:szCs w:val="1"/>
                <w:color w:val="auto"/>
              </w:rPr>
            </w:pPr>
          </w:p>
        </w:tc>
        <w:tc>
          <w:tcPr>
            <w:tcW w:w="120" w:type="dxa"/>
            <w:vAlign w:val="bottom"/>
            <w:tcBorders>
              <w:top w:val="single" w:sz="8" w:color="F5F5F5"/>
            </w:tcBorders>
            <w:shd w:val="clear" w:color="auto" w:fill="F5F5F5"/>
          </w:tcPr>
          <w:p>
            <w:pPr>
              <w:spacing w:after="0" w:line="20" w:lineRule="exact"/>
              <w:rPr>
                <w:sz w:val="1"/>
                <w:szCs w:val="1"/>
                <w:color w:val="auto"/>
              </w:rPr>
            </w:pPr>
          </w:p>
        </w:tc>
        <w:tc>
          <w:tcPr>
            <w:tcW w:w="1040" w:type="dxa"/>
            <w:vAlign w:val="bottom"/>
            <w:tcBorders>
              <w:top w:val="single" w:sz="8" w:color="0000FF"/>
            </w:tcBorders>
            <w:shd w:val="clear" w:color="auto" w:fill="F5F5F5"/>
          </w:tcPr>
          <w:p>
            <w:pPr>
              <w:spacing w:after="0" w:line="20" w:lineRule="exact"/>
              <w:rPr>
                <w:sz w:val="1"/>
                <w:szCs w:val="1"/>
                <w:color w:val="auto"/>
              </w:rPr>
            </w:pPr>
          </w:p>
        </w:tc>
        <w:tc>
          <w:tcPr>
            <w:tcW w:w="200" w:type="dxa"/>
            <w:vAlign w:val="bottom"/>
            <w:tcBorders>
              <w:top w:val="single" w:sz="8" w:color="0000FF"/>
            </w:tcBorders>
            <w:shd w:val="clear" w:color="auto" w:fill="F5F5F5"/>
          </w:tcPr>
          <w:p>
            <w:pPr>
              <w:spacing w:after="0" w:line="20" w:lineRule="exact"/>
              <w:rPr>
                <w:sz w:val="1"/>
                <w:szCs w:val="1"/>
                <w:color w:val="auto"/>
              </w:rPr>
            </w:pPr>
          </w:p>
        </w:tc>
        <w:tc>
          <w:tcPr>
            <w:tcW w:w="140" w:type="dxa"/>
            <w:vAlign w:val="bottom"/>
            <w:tcBorders>
              <w:top w:val="single" w:sz="8" w:color="0000FF"/>
            </w:tcBorders>
            <w:shd w:val="clear" w:color="auto" w:fill="F5F5F5"/>
          </w:tcPr>
          <w:p>
            <w:pPr>
              <w:spacing w:after="0" w:line="20" w:lineRule="exact"/>
              <w:rPr>
                <w:sz w:val="1"/>
                <w:szCs w:val="1"/>
                <w:color w:val="auto"/>
              </w:rPr>
            </w:pPr>
          </w:p>
        </w:tc>
        <w:tc>
          <w:tcPr>
            <w:tcW w:w="320" w:type="dxa"/>
            <w:vAlign w:val="bottom"/>
            <w:tcBorders>
              <w:top w:val="single" w:sz="8" w:color="0000FF"/>
            </w:tcBorders>
            <w:shd w:val="clear" w:color="auto" w:fill="F5F5F5"/>
          </w:tcPr>
          <w:p>
            <w:pPr>
              <w:spacing w:after="0" w:line="20" w:lineRule="exact"/>
              <w:rPr>
                <w:sz w:val="1"/>
                <w:szCs w:val="1"/>
                <w:color w:val="auto"/>
              </w:rPr>
            </w:pPr>
          </w:p>
        </w:tc>
        <w:tc>
          <w:tcPr>
            <w:tcW w:w="2440" w:type="dxa"/>
            <w:vAlign w:val="bottom"/>
            <w:tcBorders>
              <w:top w:val="single" w:sz="8" w:color="F5F5F5"/>
            </w:tcBorders>
            <w:shd w:val="clear" w:color="auto" w:fill="F5F5F5"/>
          </w:tcPr>
          <w:p>
            <w:pPr>
              <w:spacing w:after="0" w:line="20" w:lineRule="exact"/>
              <w:rPr>
                <w:sz w:val="1"/>
                <w:szCs w:val="1"/>
                <w:color w:val="auto"/>
              </w:rPr>
            </w:pPr>
          </w:p>
        </w:tc>
        <w:tc>
          <w:tcPr>
            <w:tcW w:w="400" w:type="dxa"/>
            <w:vAlign w:val="bottom"/>
            <w:tcBorders>
              <w:top w:val="single" w:sz="8" w:color="F5F5F5"/>
            </w:tcBorders>
            <w:shd w:val="clear" w:color="auto" w:fill="F5F5F5"/>
          </w:tcPr>
          <w:p>
            <w:pPr>
              <w:spacing w:after="0" w:line="20" w:lineRule="exact"/>
              <w:rPr>
                <w:sz w:val="1"/>
                <w:szCs w:val="1"/>
                <w:color w:val="auto"/>
              </w:rPr>
            </w:pPr>
          </w:p>
        </w:tc>
        <w:tc>
          <w:tcPr>
            <w:tcW w:w="580" w:type="dxa"/>
            <w:vAlign w:val="bottom"/>
            <w:tcBorders>
              <w:top w:val="single" w:sz="8" w:color="F5F5F5"/>
            </w:tcBorders>
            <w:shd w:val="clear" w:color="auto" w:fill="F5F5F5"/>
          </w:tcPr>
          <w:p>
            <w:pPr>
              <w:spacing w:after="0" w:line="20" w:lineRule="exact"/>
              <w:rPr>
                <w:sz w:val="1"/>
                <w:szCs w:val="1"/>
                <w:color w:val="auto"/>
              </w:rPr>
            </w:pPr>
          </w:p>
        </w:tc>
        <w:tc>
          <w:tcPr>
            <w:tcW w:w="160" w:type="dxa"/>
            <w:vAlign w:val="bottom"/>
            <w:tcBorders>
              <w:top w:val="single" w:sz="8" w:color="F5F5F5"/>
            </w:tcBorders>
            <w:shd w:val="clear" w:color="auto" w:fill="F5F5F5"/>
          </w:tcPr>
          <w:p>
            <w:pPr>
              <w:spacing w:after="0" w:line="20" w:lineRule="exact"/>
              <w:rPr>
                <w:sz w:val="1"/>
                <w:szCs w:val="1"/>
                <w:color w:val="auto"/>
              </w:rPr>
            </w:pPr>
          </w:p>
        </w:tc>
        <w:tc>
          <w:tcPr>
            <w:tcW w:w="240" w:type="dxa"/>
            <w:vAlign w:val="bottom"/>
            <w:tcBorders>
              <w:top w:val="single" w:sz="8" w:color="F5F5F5"/>
            </w:tcBorders>
            <w:shd w:val="clear" w:color="auto" w:fill="F5F5F5"/>
          </w:tcPr>
          <w:p>
            <w:pPr>
              <w:spacing w:after="0" w:line="20" w:lineRule="exact"/>
              <w:rPr>
                <w:sz w:val="1"/>
                <w:szCs w:val="1"/>
                <w:color w:val="auto"/>
              </w:rPr>
            </w:pPr>
          </w:p>
        </w:tc>
        <w:tc>
          <w:tcPr>
            <w:tcW w:w="280" w:type="dxa"/>
            <w:vAlign w:val="bottom"/>
            <w:tcBorders>
              <w:top w:val="single" w:sz="8" w:color="F5F5F5"/>
            </w:tcBorders>
            <w:shd w:val="clear" w:color="auto" w:fill="F5F5F5"/>
          </w:tcPr>
          <w:p>
            <w:pPr>
              <w:spacing w:after="0" w:line="20" w:lineRule="exact"/>
              <w:rPr>
                <w:sz w:val="1"/>
                <w:szCs w:val="1"/>
                <w:color w:val="auto"/>
              </w:rPr>
            </w:pPr>
          </w:p>
        </w:tc>
        <w:tc>
          <w:tcPr>
            <w:tcW w:w="40" w:type="dxa"/>
            <w:vAlign w:val="bottom"/>
            <w:tcBorders>
              <w:top w:val="single" w:sz="8" w:color="F5F5F5"/>
            </w:tcBorders>
            <w:shd w:val="clear" w:color="auto" w:fill="F5F5F5"/>
          </w:tcPr>
          <w:p>
            <w:pPr>
              <w:spacing w:after="0" w:line="20" w:lineRule="exact"/>
              <w:rPr>
                <w:sz w:val="1"/>
                <w:szCs w:val="1"/>
                <w:color w:val="auto"/>
              </w:rPr>
            </w:pPr>
          </w:p>
        </w:tc>
        <w:tc>
          <w:tcPr>
            <w:tcW w:w="100" w:type="dxa"/>
            <w:vAlign w:val="bottom"/>
            <w:tcBorders>
              <w:top w:val="single" w:sz="8" w:color="F5F5F5"/>
            </w:tcBorders>
            <w:shd w:val="clear" w:color="auto" w:fill="F5F5F5"/>
          </w:tcPr>
          <w:p>
            <w:pPr>
              <w:spacing w:after="0" w:line="20" w:lineRule="exact"/>
              <w:rPr>
                <w:sz w:val="1"/>
                <w:szCs w:val="1"/>
                <w:color w:val="auto"/>
              </w:rPr>
            </w:pPr>
          </w:p>
        </w:tc>
        <w:tc>
          <w:tcPr>
            <w:tcW w:w="280" w:type="dxa"/>
            <w:vAlign w:val="bottom"/>
            <w:tcBorders>
              <w:top w:val="single" w:sz="8" w:color="F5F5F5"/>
            </w:tcBorders>
            <w:shd w:val="clear" w:color="auto" w:fill="F5F5F5"/>
          </w:tcPr>
          <w:p>
            <w:pPr>
              <w:spacing w:after="0" w:line="20" w:lineRule="exact"/>
              <w:rPr>
                <w:sz w:val="1"/>
                <w:szCs w:val="1"/>
                <w:color w:val="auto"/>
              </w:rPr>
            </w:pPr>
          </w:p>
        </w:tc>
        <w:tc>
          <w:tcPr>
            <w:tcW w:w="180" w:type="dxa"/>
            <w:vAlign w:val="bottom"/>
            <w:tcBorders>
              <w:top w:val="single" w:sz="8" w:color="F5F5F5"/>
            </w:tcBorders>
            <w:shd w:val="clear" w:color="auto" w:fill="F5F5F5"/>
          </w:tcPr>
          <w:p>
            <w:pPr>
              <w:spacing w:after="0" w:line="20" w:lineRule="exact"/>
              <w:rPr>
                <w:sz w:val="1"/>
                <w:szCs w:val="1"/>
                <w:color w:val="auto"/>
              </w:rPr>
            </w:pPr>
          </w:p>
        </w:tc>
        <w:tc>
          <w:tcPr>
            <w:tcW w:w="80" w:type="dxa"/>
            <w:vAlign w:val="bottom"/>
            <w:tcBorders>
              <w:top w:val="single" w:sz="8" w:color="F5F5F5"/>
            </w:tcBorders>
            <w:shd w:val="clear" w:color="auto" w:fill="F5F5F5"/>
          </w:tcPr>
          <w:p>
            <w:pPr>
              <w:spacing w:after="0" w:line="20" w:lineRule="exact"/>
              <w:rPr>
                <w:sz w:val="1"/>
                <w:szCs w:val="1"/>
                <w:color w:val="auto"/>
              </w:rPr>
            </w:pPr>
          </w:p>
        </w:tc>
        <w:tc>
          <w:tcPr>
            <w:tcW w:w="60" w:type="dxa"/>
            <w:vAlign w:val="bottom"/>
            <w:tcBorders>
              <w:top w:val="single" w:sz="8" w:color="F5F5F5"/>
            </w:tcBorders>
            <w:shd w:val="clear" w:color="auto" w:fill="F5F5F5"/>
          </w:tcPr>
          <w:p>
            <w:pPr>
              <w:spacing w:after="0" w:line="20" w:lineRule="exact"/>
              <w:rPr>
                <w:sz w:val="1"/>
                <w:szCs w:val="1"/>
                <w:color w:val="auto"/>
              </w:rPr>
            </w:pPr>
          </w:p>
        </w:tc>
        <w:tc>
          <w:tcPr>
            <w:tcW w:w="160" w:type="dxa"/>
            <w:vAlign w:val="bottom"/>
            <w:tcBorders>
              <w:top w:val="single" w:sz="8" w:color="F5F5F5"/>
            </w:tcBorders>
            <w:shd w:val="clear" w:color="auto" w:fill="F5F5F5"/>
          </w:tcPr>
          <w:p>
            <w:pPr>
              <w:spacing w:after="0" w:line="20" w:lineRule="exact"/>
              <w:rPr>
                <w:sz w:val="1"/>
                <w:szCs w:val="1"/>
                <w:color w:val="auto"/>
              </w:rPr>
            </w:pPr>
          </w:p>
        </w:tc>
        <w:tc>
          <w:tcPr>
            <w:tcW w:w="1680" w:type="dxa"/>
            <w:vAlign w:val="bottom"/>
            <w:tcBorders>
              <w:top w:val="single" w:sz="8" w:color="F5F5F5"/>
            </w:tcBorders>
            <w:shd w:val="clear" w:color="auto" w:fill="F5F5F5"/>
          </w:tcPr>
          <w:p>
            <w:pPr>
              <w:spacing w:after="0" w:line="20" w:lineRule="exact"/>
              <w:rPr>
                <w:sz w:val="1"/>
                <w:szCs w:val="1"/>
                <w:color w:val="auto"/>
              </w:rPr>
            </w:pPr>
          </w:p>
        </w:tc>
        <w:tc>
          <w:tcPr>
            <w:tcW w:w="640" w:type="dxa"/>
            <w:vAlign w:val="bottom"/>
            <w:tcBorders>
              <w:top w:val="single" w:sz="8" w:color="F5F5F5"/>
            </w:tcBorders>
            <w:shd w:val="clear" w:color="auto" w:fill="F5F5F5"/>
          </w:tcPr>
          <w:p>
            <w:pPr>
              <w:spacing w:after="0" w:line="20" w:lineRule="exact"/>
              <w:rPr>
                <w:sz w:val="1"/>
                <w:szCs w:val="1"/>
                <w:color w:val="auto"/>
              </w:rPr>
            </w:pPr>
          </w:p>
        </w:tc>
        <w:tc>
          <w:tcPr>
            <w:tcW w:w="1020" w:type="dxa"/>
            <w:vAlign w:val="bottom"/>
            <w:tcBorders>
              <w:top w:val="single" w:sz="8" w:color="F5F5F5"/>
            </w:tcBorders>
            <w:shd w:val="clear" w:color="auto" w:fill="F5F5F5"/>
          </w:tcPr>
          <w:p>
            <w:pPr>
              <w:spacing w:after="0" w:line="20" w:lineRule="exact"/>
              <w:rPr>
                <w:sz w:val="1"/>
                <w:szCs w:val="1"/>
                <w:color w:val="auto"/>
              </w:rPr>
            </w:pPr>
          </w:p>
        </w:tc>
        <w:tc>
          <w:tcPr>
            <w:tcW w:w="40" w:type="dxa"/>
            <w:vAlign w:val="bottom"/>
            <w:tcBorders>
              <w:top w:val="single" w:sz="8" w:color="F5F5F5"/>
            </w:tcBorders>
            <w:shd w:val="clear" w:color="auto" w:fill="F5F5F5"/>
          </w:tcPr>
          <w:p>
            <w:pPr>
              <w:spacing w:after="0" w:line="20" w:lineRule="exact"/>
              <w:rPr>
                <w:sz w:val="1"/>
                <w:szCs w:val="1"/>
                <w:color w:val="auto"/>
              </w:rPr>
            </w:pPr>
          </w:p>
        </w:tc>
        <w:tc>
          <w:tcPr>
            <w:tcW w:w="8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r>
      <w:tr>
        <w:trPr>
          <w:trHeight w:val="162"/>
        </w:trPr>
        <w:tc>
          <w:tcPr>
            <w:tcW w:w="920" w:type="dxa"/>
            <w:vAlign w:val="bottom"/>
          </w:tcPr>
          <w:p>
            <w:pPr>
              <w:ind w:left="20"/>
              <w:spacing w:after="0"/>
              <w:rPr>
                <w:sz w:val="20"/>
                <w:szCs w:val="20"/>
                <w:color w:val="auto"/>
              </w:rPr>
            </w:pPr>
            <w:r>
              <w:rPr>
                <w:rFonts w:ascii="Arial" w:cs="Arial" w:eastAsia="Arial" w:hAnsi="Arial"/>
                <w:sz w:val="14"/>
                <w:szCs w:val="14"/>
                <w:color w:val="auto"/>
              </w:rPr>
              <w:t>23.1</w:t>
            </w:r>
          </w:p>
        </w:tc>
        <w:tc>
          <w:tcPr>
            <w:tcW w:w="120" w:type="dxa"/>
            <w:vAlign w:val="bottom"/>
          </w:tcPr>
          <w:p>
            <w:pPr>
              <w:spacing w:after="0"/>
              <w:rPr>
                <w:sz w:val="14"/>
                <w:szCs w:val="14"/>
                <w:color w:val="auto"/>
              </w:rPr>
            </w:pPr>
          </w:p>
        </w:tc>
        <w:tc>
          <w:tcPr>
            <w:tcW w:w="10500" w:type="dxa"/>
            <w:vAlign w:val="bottom"/>
            <w:gridSpan w:val="39"/>
          </w:tcPr>
          <w:p>
            <w:pPr>
              <w:spacing w:after="0"/>
              <w:rPr>
                <w:sz w:val="20"/>
                <w:szCs w:val="20"/>
                <w:color w:val="auto"/>
              </w:rPr>
            </w:pPr>
            <w:r>
              <w:rPr>
                <w:rFonts w:ascii="Arial" w:cs="Arial" w:eastAsia="Arial" w:hAnsi="Arial"/>
                <w:sz w:val="14"/>
                <w:szCs w:val="14"/>
                <w:color w:val="0000FF"/>
              </w:rPr>
              <w:t>Consent of Independent Registered Public Accounting Firm — PricewaterhouseCoopers LLP.</w:t>
            </w: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4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920" w:type="dxa"/>
            <w:vAlign w:val="bottom"/>
            <w:shd w:val="clear" w:color="auto" w:fill="F5F5F5"/>
          </w:tcPr>
          <w:p>
            <w:pPr>
              <w:ind w:left="20"/>
              <w:spacing w:after="0"/>
              <w:rPr>
                <w:sz w:val="20"/>
                <w:szCs w:val="20"/>
                <w:color w:val="auto"/>
              </w:rPr>
            </w:pPr>
            <w:r>
              <w:rPr>
                <w:rFonts w:ascii="Arial" w:cs="Arial" w:eastAsia="Arial" w:hAnsi="Arial"/>
                <w:sz w:val="14"/>
                <w:szCs w:val="14"/>
                <w:color w:val="auto"/>
              </w:rPr>
              <w:t>24.1</w:t>
            </w:r>
          </w:p>
        </w:tc>
        <w:tc>
          <w:tcPr>
            <w:tcW w:w="120" w:type="dxa"/>
            <w:vAlign w:val="bottom"/>
            <w:shd w:val="clear" w:color="auto" w:fill="F5F5F5"/>
          </w:tcPr>
          <w:p>
            <w:pPr>
              <w:spacing w:after="0"/>
              <w:rPr>
                <w:sz w:val="14"/>
                <w:szCs w:val="14"/>
                <w:color w:val="auto"/>
              </w:rPr>
            </w:pPr>
          </w:p>
        </w:tc>
        <w:tc>
          <w:tcPr>
            <w:tcW w:w="10500" w:type="dxa"/>
            <w:vAlign w:val="bottom"/>
            <w:gridSpan w:val="39"/>
            <w:shd w:val="clear" w:color="auto" w:fill="F5F5F5"/>
          </w:tcPr>
          <w:p>
            <w:pPr>
              <w:spacing w:after="0"/>
              <w:rPr>
                <w:sz w:val="20"/>
                <w:szCs w:val="20"/>
                <w:color w:val="auto"/>
              </w:rPr>
            </w:pPr>
            <w:r>
              <w:rPr>
                <w:rFonts w:ascii="Arial" w:cs="Arial" w:eastAsia="Arial" w:hAnsi="Arial"/>
                <w:sz w:val="14"/>
                <w:szCs w:val="14"/>
                <w:color w:val="0000FF"/>
              </w:rPr>
              <w:t>Powers of Attorney.</w:t>
            </w:r>
          </w:p>
        </w:tc>
      </w:tr>
      <w:tr>
        <w:trPr>
          <w:trHeight w:val="21"/>
        </w:trPr>
        <w:tc>
          <w:tcPr>
            <w:tcW w:w="920" w:type="dxa"/>
            <w:vAlign w:val="bottom"/>
            <w:tcBorders>
              <w:top w:val="single" w:sz="8" w:color="F5F5F5"/>
            </w:tcBorders>
            <w:shd w:val="clear" w:color="auto" w:fill="F5F5F5"/>
          </w:tcPr>
          <w:p>
            <w:pPr>
              <w:spacing w:after="0" w:line="20" w:lineRule="exact"/>
              <w:rPr>
                <w:sz w:val="1"/>
                <w:szCs w:val="1"/>
                <w:color w:val="auto"/>
              </w:rPr>
            </w:pPr>
          </w:p>
        </w:tc>
        <w:tc>
          <w:tcPr>
            <w:tcW w:w="120" w:type="dxa"/>
            <w:vAlign w:val="bottom"/>
            <w:tcBorders>
              <w:top w:val="single" w:sz="8" w:color="F5F5F5"/>
            </w:tcBorders>
            <w:shd w:val="clear" w:color="auto" w:fill="F5F5F5"/>
          </w:tcPr>
          <w:p>
            <w:pPr>
              <w:spacing w:after="0" w:line="20" w:lineRule="exact"/>
              <w:rPr>
                <w:sz w:val="1"/>
                <w:szCs w:val="1"/>
                <w:color w:val="auto"/>
              </w:rPr>
            </w:pPr>
          </w:p>
        </w:tc>
        <w:tc>
          <w:tcPr>
            <w:tcW w:w="1040" w:type="dxa"/>
            <w:vAlign w:val="bottom"/>
            <w:tcBorders>
              <w:top w:val="single" w:sz="8" w:color="0000FF"/>
            </w:tcBorders>
            <w:shd w:val="clear" w:color="auto" w:fill="F5F5F5"/>
          </w:tcPr>
          <w:p>
            <w:pPr>
              <w:spacing w:after="0" w:line="20" w:lineRule="exact"/>
              <w:rPr>
                <w:sz w:val="1"/>
                <w:szCs w:val="1"/>
                <w:color w:val="auto"/>
              </w:rPr>
            </w:pPr>
          </w:p>
        </w:tc>
        <w:tc>
          <w:tcPr>
            <w:tcW w:w="200" w:type="dxa"/>
            <w:vAlign w:val="bottom"/>
            <w:tcBorders>
              <w:top w:val="single" w:sz="8" w:color="0000FF"/>
            </w:tcBorders>
            <w:shd w:val="clear" w:color="auto" w:fill="F5F5F5"/>
          </w:tcPr>
          <w:p>
            <w:pPr>
              <w:spacing w:after="0" w:line="20" w:lineRule="exact"/>
              <w:rPr>
                <w:sz w:val="1"/>
                <w:szCs w:val="1"/>
                <w:color w:val="auto"/>
              </w:rPr>
            </w:pPr>
          </w:p>
        </w:tc>
        <w:tc>
          <w:tcPr>
            <w:tcW w:w="140" w:type="dxa"/>
            <w:vAlign w:val="bottom"/>
            <w:tcBorders>
              <w:top w:val="single" w:sz="8" w:color="F5F5F5"/>
            </w:tcBorders>
            <w:shd w:val="clear" w:color="auto" w:fill="F5F5F5"/>
          </w:tcPr>
          <w:p>
            <w:pPr>
              <w:spacing w:after="0" w:line="20" w:lineRule="exact"/>
              <w:rPr>
                <w:sz w:val="1"/>
                <w:szCs w:val="1"/>
                <w:color w:val="auto"/>
              </w:rPr>
            </w:pPr>
          </w:p>
        </w:tc>
        <w:tc>
          <w:tcPr>
            <w:tcW w:w="320" w:type="dxa"/>
            <w:vAlign w:val="bottom"/>
            <w:tcBorders>
              <w:top w:val="single" w:sz="8" w:color="F5F5F5"/>
            </w:tcBorders>
            <w:shd w:val="clear" w:color="auto" w:fill="F5F5F5"/>
          </w:tcPr>
          <w:p>
            <w:pPr>
              <w:spacing w:after="0" w:line="20" w:lineRule="exact"/>
              <w:rPr>
                <w:sz w:val="1"/>
                <w:szCs w:val="1"/>
                <w:color w:val="auto"/>
              </w:rPr>
            </w:pPr>
          </w:p>
        </w:tc>
        <w:tc>
          <w:tcPr>
            <w:tcW w:w="2440" w:type="dxa"/>
            <w:vAlign w:val="bottom"/>
            <w:tcBorders>
              <w:top w:val="single" w:sz="8" w:color="F5F5F5"/>
            </w:tcBorders>
            <w:shd w:val="clear" w:color="auto" w:fill="F5F5F5"/>
          </w:tcPr>
          <w:p>
            <w:pPr>
              <w:spacing w:after="0" w:line="20" w:lineRule="exact"/>
              <w:rPr>
                <w:sz w:val="1"/>
                <w:szCs w:val="1"/>
                <w:color w:val="auto"/>
              </w:rPr>
            </w:pPr>
          </w:p>
        </w:tc>
        <w:tc>
          <w:tcPr>
            <w:tcW w:w="400" w:type="dxa"/>
            <w:vAlign w:val="bottom"/>
            <w:tcBorders>
              <w:top w:val="single" w:sz="8" w:color="F5F5F5"/>
            </w:tcBorders>
            <w:shd w:val="clear" w:color="auto" w:fill="F5F5F5"/>
          </w:tcPr>
          <w:p>
            <w:pPr>
              <w:spacing w:after="0" w:line="20" w:lineRule="exact"/>
              <w:rPr>
                <w:sz w:val="1"/>
                <w:szCs w:val="1"/>
                <w:color w:val="auto"/>
              </w:rPr>
            </w:pPr>
          </w:p>
        </w:tc>
        <w:tc>
          <w:tcPr>
            <w:tcW w:w="580" w:type="dxa"/>
            <w:vAlign w:val="bottom"/>
            <w:tcBorders>
              <w:top w:val="single" w:sz="8" w:color="F5F5F5"/>
            </w:tcBorders>
            <w:shd w:val="clear" w:color="auto" w:fill="F5F5F5"/>
          </w:tcPr>
          <w:p>
            <w:pPr>
              <w:spacing w:after="0" w:line="20" w:lineRule="exact"/>
              <w:rPr>
                <w:sz w:val="1"/>
                <w:szCs w:val="1"/>
                <w:color w:val="auto"/>
              </w:rPr>
            </w:pPr>
          </w:p>
        </w:tc>
        <w:tc>
          <w:tcPr>
            <w:tcW w:w="160" w:type="dxa"/>
            <w:vAlign w:val="bottom"/>
            <w:tcBorders>
              <w:top w:val="single" w:sz="8" w:color="F5F5F5"/>
            </w:tcBorders>
            <w:shd w:val="clear" w:color="auto" w:fill="F5F5F5"/>
          </w:tcPr>
          <w:p>
            <w:pPr>
              <w:spacing w:after="0" w:line="20" w:lineRule="exact"/>
              <w:rPr>
                <w:sz w:val="1"/>
                <w:szCs w:val="1"/>
                <w:color w:val="auto"/>
              </w:rPr>
            </w:pPr>
          </w:p>
        </w:tc>
        <w:tc>
          <w:tcPr>
            <w:tcW w:w="240" w:type="dxa"/>
            <w:vAlign w:val="bottom"/>
            <w:tcBorders>
              <w:top w:val="single" w:sz="8" w:color="F5F5F5"/>
            </w:tcBorders>
            <w:shd w:val="clear" w:color="auto" w:fill="F5F5F5"/>
          </w:tcPr>
          <w:p>
            <w:pPr>
              <w:spacing w:after="0" w:line="20" w:lineRule="exact"/>
              <w:rPr>
                <w:sz w:val="1"/>
                <w:szCs w:val="1"/>
                <w:color w:val="auto"/>
              </w:rPr>
            </w:pPr>
          </w:p>
        </w:tc>
        <w:tc>
          <w:tcPr>
            <w:tcW w:w="280" w:type="dxa"/>
            <w:vAlign w:val="bottom"/>
            <w:tcBorders>
              <w:top w:val="single" w:sz="8" w:color="F5F5F5"/>
            </w:tcBorders>
            <w:shd w:val="clear" w:color="auto" w:fill="F5F5F5"/>
          </w:tcPr>
          <w:p>
            <w:pPr>
              <w:spacing w:after="0" w:line="20" w:lineRule="exact"/>
              <w:rPr>
                <w:sz w:val="1"/>
                <w:szCs w:val="1"/>
                <w:color w:val="auto"/>
              </w:rPr>
            </w:pPr>
          </w:p>
        </w:tc>
        <w:tc>
          <w:tcPr>
            <w:tcW w:w="40" w:type="dxa"/>
            <w:vAlign w:val="bottom"/>
            <w:tcBorders>
              <w:top w:val="single" w:sz="8" w:color="F5F5F5"/>
            </w:tcBorders>
            <w:shd w:val="clear" w:color="auto" w:fill="F5F5F5"/>
          </w:tcPr>
          <w:p>
            <w:pPr>
              <w:spacing w:after="0" w:line="20" w:lineRule="exact"/>
              <w:rPr>
                <w:sz w:val="1"/>
                <w:szCs w:val="1"/>
                <w:color w:val="auto"/>
              </w:rPr>
            </w:pPr>
          </w:p>
        </w:tc>
        <w:tc>
          <w:tcPr>
            <w:tcW w:w="100" w:type="dxa"/>
            <w:vAlign w:val="bottom"/>
            <w:tcBorders>
              <w:top w:val="single" w:sz="8" w:color="F5F5F5"/>
            </w:tcBorders>
            <w:shd w:val="clear" w:color="auto" w:fill="F5F5F5"/>
          </w:tcPr>
          <w:p>
            <w:pPr>
              <w:spacing w:after="0" w:line="20" w:lineRule="exact"/>
              <w:rPr>
                <w:sz w:val="1"/>
                <w:szCs w:val="1"/>
                <w:color w:val="auto"/>
              </w:rPr>
            </w:pPr>
          </w:p>
        </w:tc>
        <w:tc>
          <w:tcPr>
            <w:tcW w:w="280" w:type="dxa"/>
            <w:vAlign w:val="bottom"/>
            <w:tcBorders>
              <w:top w:val="single" w:sz="8" w:color="F5F5F5"/>
            </w:tcBorders>
            <w:shd w:val="clear" w:color="auto" w:fill="F5F5F5"/>
          </w:tcPr>
          <w:p>
            <w:pPr>
              <w:spacing w:after="0" w:line="20" w:lineRule="exact"/>
              <w:rPr>
                <w:sz w:val="1"/>
                <w:szCs w:val="1"/>
                <w:color w:val="auto"/>
              </w:rPr>
            </w:pPr>
          </w:p>
        </w:tc>
        <w:tc>
          <w:tcPr>
            <w:tcW w:w="180" w:type="dxa"/>
            <w:vAlign w:val="bottom"/>
            <w:tcBorders>
              <w:top w:val="single" w:sz="8" w:color="F5F5F5"/>
            </w:tcBorders>
            <w:shd w:val="clear" w:color="auto" w:fill="F5F5F5"/>
          </w:tcPr>
          <w:p>
            <w:pPr>
              <w:spacing w:after="0" w:line="20" w:lineRule="exact"/>
              <w:rPr>
                <w:sz w:val="1"/>
                <w:szCs w:val="1"/>
                <w:color w:val="auto"/>
              </w:rPr>
            </w:pPr>
          </w:p>
        </w:tc>
        <w:tc>
          <w:tcPr>
            <w:tcW w:w="80" w:type="dxa"/>
            <w:vAlign w:val="bottom"/>
            <w:tcBorders>
              <w:top w:val="single" w:sz="8" w:color="F5F5F5"/>
            </w:tcBorders>
            <w:shd w:val="clear" w:color="auto" w:fill="F5F5F5"/>
          </w:tcPr>
          <w:p>
            <w:pPr>
              <w:spacing w:after="0" w:line="20" w:lineRule="exact"/>
              <w:rPr>
                <w:sz w:val="1"/>
                <w:szCs w:val="1"/>
                <w:color w:val="auto"/>
              </w:rPr>
            </w:pPr>
          </w:p>
        </w:tc>
        <w:tc>
          <w:tcPr>
            <w:tcW w:w="60" w:type="dxa"/>
            <w:vAlign w:val="bottom"/>
            <w:tcBorders>
              <w:top w:val="single" w:sz="8" w:color="F5F5F5"/>
            </w:tcBorders>
            <w:shd w:val="clear" w:color="auto" w:fill="F5F5F5"/>
          </w:tcPr>
          <w:p>
            <w:pPr>
              <w:spacing w:after="0" w:line="20" w:lineRule="exact"/>
              <w:rPr>
                <w:sz w:val="1"/>
                <w:szCs w:val="1"/>
                <w:color w:val="auto"/>
              </w:rPr>
            </w:pPr>
          </w:p>
        </w:tc>
        <w:tc>
          <w:tcPr>
            <w:tcW w:w="160" w:type="dxa"/>
            <w:vAlign w:val="bottom"/>
            <w:tcBorders>
              <w:top w:val="single" w:sz="8" w:color="F5F5F5"/>
            </w:tcBorders>
            <w:shd w:val="clear" w:color="auto" w:fill="F5F5F5"/>
          </w:tcPr>
          <w:p>
            <w:pPr>
              <w:spacing w:after="0" w:line="20" w:lineRule="exact"/>
              <w:rPr>
                <w:sz w:val="1"/>
                <w:szCs w:val="1"/>
                <w:color w:val="auto"/>
              </w:rPr>
            </w:pPr>
          </w:p>
        </w:tc>
        <w:tc>
          <w:tcPr>
            <w:tcW w:w="1680" w:type="dxa"/>
            <w:vAlign w:val="bottom"/>
            <w:tcBorders>
              <w:top w:val="single" w:sz="8" w:color="F5F5F5"/>
            </w:tcBorders>
            <w:shd w:val="clear" w:color="auto" w:fill="F5F5F5"/>
          </w:tcPr>
          <w:p>
            <w:pPr>
              <w:spacing w:after="0" w:line="20" w:lineRule="exact"/>
              <w:rPr>
                <w:sz w:val="1"/>
                <w:szCs w:val="1"/>
                <w:color w:val="auto"/>
              </w:rPr>
            </w:pPr>
          </w:p>
        </w:tc>
        <w:tc>
          <w:tcPr>
            <w:tcW w:w="640" w:type="dxa"/>
            <w:vAlign w:val="bottom"/>
            <w:tcBorders>
              <w:top w:val="single" w:sz="8" w:color="F5F5F5"/>
            </w:tcBorders>
            <w:shd w:val="clear" w:color="auto" w:fill="F5F5F5"/>
          </w:tcPr>
          <w:p>
            <w:pPr>
              <w:spacing w:after="0" w:line="20" w:lineRule="exact"/>
              <w:rPr>
                <w:sz w:val="1"/>
                <w:szCs w:val="1"/>
                <w:color w:val="auto"/>
              </w:rPr>
            </w:pPr>
          </w:p>
        </w:tc>
        <w:tc>
          <w:tcPr>
            <w:tcW w:w="1020" w:type="dxa"/>
            <w:vAlign w:val="bottom"/>
            <w:tcBorders>
              <w:top w:val="single" w:sz="8" w:color="F5F5F5"/>
            </w:tcBorders>
            <w:shd w:val="clear" w:color="auto" w:fill="F5F5F5"/>
          </w:tcPr>
          <w:p>
            <w:pPr>
              <w:spacing w:after="0" w:line="20" w:lineRule="exact"/>
              <w:rPr>
                <w:sz w:val="1"/>
                <w:szCs w:val="1"/>
                <w:color w:val="auto"/>
              </w:rPr>
            </w:pPr>
          </w:p>
        </w:tc>
        <w:tc>
          <w:tcPr>
            <w:tcW w:w="40" w:type="dxa"/>
            <w:vAlign w:val="bottom"/>
            <w:tcBorders>
              <w:top w:val="single" w:sz="8" w:color="F5F5F5"/>
            </w:tcBorders>
            <w:shd w:val="clear" w:color="auto" w:fill="F5F5F5"/>
          </w:tcPr>
          <w:p>
            <w:pPr>
              <w:spacing w:after="0" w:line="20" w:lineRule="exact"/>
              <w:rPr>
                <w:sz w:val="1"/>
                <w:szCs w:val="1"/>
                <w:color w:val="auto"/>
              </w:rPr>
            </w:pPr>
          </w:p>
        </w:tc>
        <w:tc>
          <w:tcPr>
            <w:tcW w:w="8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r>
      <w:tr>
        <w:trPr>
          <w:trHeight w:val="162"/>
        </w:trPr>
        <w:tc>
          <w:tcPr>
            <w:tcW w:w="920" w:type="dxa"/>
            <w:vAlign w:val="bottom"/>
          </w:tcPr>
          <w:p>
            <w:pPr>
              <w:ind w:left="20"/>
              <w:spacing w:after="0"/>
              <w:rPr>
                <w:sz w:val="20"/>
                <w:szCs w:val="20"/>
                <w:color w:val="auto"/>
              </w:rPr>
            </w:pPr>
            <w:r>
              <w:rPr>
                <w:rFonts w:ascii="Arial" w:cs="Arial" w:eastAsia="Arial" w:hAnsi="Arial"/>
                <w:sz w:val="14"/>
                <w:szCs w:val="14"/>
                <w:color w:val="auto"/>
              </w:rPr>
              <w:t>31.1</w:t>
            </w:r>
          </w:p>
        </w:tc>
        <w:tc>
          <w:tcPr>
            <w:tcW w:w="120" w:type="dxa"/>
            <w:vAlign w:val="bottom"/>
          </w:tcPr>
          <w:p>
            <w:pPr>
              <w:spacing w:after="0"/>
              <w:rPr>
                <w:sz w:val="14"/>
                <w:szCs w:val="14"/>
                <w:color w:val="auto"/>
              </w:rPr>
            </w:pPr>
          </w:p>
        </w:tc>
        <w:tc>
          <w:tcPr>
            <w:tcW w:w="10500" w:type="dxa"/>
            <w:vAlign w:val="bottom"/>
            <w:gridSpan w:val="39"/>
          </w:tcPr>
          <w:p>
            <w:pPr>
              <w:spacing w:after="0"/>
              <w:rPr>
                <w:sz w:val="20"/>
                <w:szCs w:val="20"/>
                <w:color w:val="auto"/>
              </w:rPr>
            </w:pPr>
            <w:r>
              <w:rPr>
                <w:rFonts w:ascii="Arial" w:cs="Arial" w:eastAsia="Arial" w:hAnsi="Arial"/>
                <w:sz w:val="14"/>
                <w:szCs w:val="14"/>
                <w:color w:val="0000FF"/>
              </w:rPr>
              <w:t>Certifications by Chief Executive Officer (Principal Executive Officer) pursuant to Rule 13a-14(a) or Rule 15d-14(a) under the Securities Exchange Act of 1934,</w:t>
            </w:r>
          </w:p>
        </w:tc>
      </w:tr>
      <w:tr>
        <w:trPr>
          <w:trHeight w:val="115"/>
        </w:trPr>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340" w:type="dxa"/>
            <w:vAlign w:val="bottom"/>
            <w:tcBorders>
              <w:top w:val="single" w:sz="8" w:color="0000FF"/>
            </w:tcBorders>
            <w:gridSpan w:val="31"/>
          </w:tcPr>
          <w:p>
            <w:pPr>
              <w:spacing w:after="0" w:line="115" w:lineRule="exact"/>
              <w:rPr>
                <w:sz w:val="20"/>
                <w:szCs w:val="20"/>
                <w:color w:val="auto"/>
              </w:rPr>
            </w:pPr>
            <w:r>
              <w:rPr>
                <w:rFonts w:ascii="Arial" w:cs="Arial" w:eastAsia="Arial" w:hAnsi="Arial"/>
                <w:sz w:val="13"/>
                <w:szCs w:val="13"/>
                <w:color w:val="0000FF"/>
              </w:rPr>
              <w:t>as adopted pursuant to Section 302 of the Sarbanes-Oxley Act of 2002.</w:t>
            </w:r>
          </w:p>
        </w:tc>
        <w:tc>
          <w:tcPr>
            <w:tcW w:w="160" w:type="dxa"/>
            <w:vAlign w:val="bottom"/>
            <w:gridSpan w:val="8"/>
          </w:tcPr>
          <w:p>
            <w:pPr>
              <w:spacing w:after="0"/>
              <w:rPr>
                <w:sz w:val="10"/>
                <w:szCs w:val="10"/>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4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920" w:type="dxa"/>
            <w:vAlign w:val="bottom"/>
            <w:shd w:val="clear" w:color="auto" w:fill="F5F5F5"/>
          </w:tcPr>
          <w:p>
            <w:pPr>
              <w:ind w:left="20"/>
              <w:spacing w:after="0"/>
              <w:rPr>
                <w:sz w:val="20"/>
                <w:szCs w:val="20"/>
                <w:color w:val="auto"/>
              </w:rPr>
            </w:pPr>
            <w:r>
              <w:rPr>
                <w:rFonts w:ascii="Arial" w:cs="Arial" w:eastAsia="Arial" w:hAnsi="Arial"/>
                <w:sz w:val="14"/>
                <w:szCs w:val="14"/>
                <w:color w:val="auto"/>
              </w:rPr>
              <w:t>31.2</w:t>
            </w:r>
          </w:p>
        </w:tc>
        <w:tc>
          <w:tcPr>
            <w:tcW w:w="120" w:type="dxa"/>
            <w:vAlign w:val="bottom"/>
            <w:shd w:val="clear" w:color="auto" w:fill="F5F5F5"/>
          </w:tcPr>
          <w:p>
            <w:pPr>
              <w:spacing w:after="0"/>
              <w:rPr>
                <w:sz w:val="14"/>
                <w:szCs w:val="14"/>
                <w:color w:val="auto"/>
              </w:rPr>
            </w:pPr>
          </w:p>
        </w:tc>
        <w:tc>
          <w:tcPr>
            <w:tcW w:w="10500" w:type="dxa"/>
            <w:vAlign w:val="bottom"/>
            <w:gridSpan w:val="39"/>
            <w:shd w:val="clear" w:color="auto" w:fill="F5F5F5"/>
          </w:tcPr>
          <w:p>
            <w:pPr>
              <w:spacing w:after="0"/>
              <w:rPr>
                <w:sz w:val="20"/>
                <w:szCs w:val="20"/>
                <w:color w:val="auto"/>
              </w:rPr>
            </w:pPr>
            <w:r>
              <w:rPr>
                <w:rFonts w:ascii="Arial" w:cs="Arial" w:eastAsia="Arial" w:hAnsi="Arial"/>
                <w:sz w:val="14"/>
                <w:szCs w:val="14"/>
                <w:color w:val="0000FF"/>
              </w:rPr>
              <w:t>Certifications by Senior Vice President and Chief Financial Officer (Principal Financial Officer) pursuant to Rule 13a-14(a) or Rule 15d-14(a) under the</w:t>
            </w:r>
          </w:p>
        </w:tc>
      </w:tr>
      <w:tr>
        <w:trPr>
          <w:trHeight w:val="115"/>
        </w:trPr>
        <w:tc>
          <w:tcPr>
            <w:tcW w:w="920" w:type="dxa"/>
            <w:vAlign w:val="bottom"/>
            <w:tcBorders>
              <w:top w:val="single" w:sz="8" w:color="F5F5F5"/>
            </w:tcBorders>
            <w:shd w:val="clear" w:color="auto" w:fill="F5F5F5"/>
          </w:tcPr>
          <w:p>
            <w:pPr>
              <w:spacing w:after="0"/>
              <w:rPr>
                <w:sz w:val="10"/>
                <w:szCs w:val="10"/>
                <w:color w:val="auto"/>
              </w:rPr>
            </w:pPr>
          </w:p>
        </w:tc>
        <w:tc>
          <w:tcPr>
            <w:tcW w:w="120" w:type="dxa"/>
            <w:vAlign w:val="bottom"/>
            <w:tcBorders>
              <w:top w:val="single" w:sz="8" w:color="F5F5F5"/>
            </w:tcBorders>
            <w:shd w:val="clear" w:color="auto" w:fill="F5F5F5"/>
          </w:tcPr>
          <w:p>
            <w:pPr>
              <w:spacing w:after="0"/>
              <w:rPr>
                <w:sz w:val="10"/>
                <w:szCs w:val="10"/>
                <w:color w:val="auto"/>
              </w:rPr>
            </w:pPr>
          </w:p>
        </w:tc>
        <w:tc>
          <w:tcPr>
            <w:tcW w:w="10260" w:type="dxa"/>
            <w:vAlign w:val="bottom"/>
            <w:tcBorders>
              <w:top w:val="single" w:sz="8" w:color="0000FF"/>
            </w:tcBorders>
            <w:gridSpan w:val="27"/>
            <w:shd w:val="clear" w:color="auto" w:fill="F5F5F5"/>
          </w:tcPr>
          <w:p>
            <w:pPr>
              <w:spacing w:after="0" w:line="115" w:lineRule="exact"/>
              <w:rPr>
                <w:sz w:val="20"/>
                <w:szCs w:val="20"/>
                <w:color w:val="auto"/>
              </w:rPr>
            </w:pPr>
            <w:r>
              <w:rPr>
                <w:rFonts w:ascii="Arial" w:cs="Arial" w:eastAsia="Arial" w:hAnsi="Arial"/>
                <w:sz w:val="13"/>
                <w:szCs w:val="13"/>
                <w:color w:val="0000FF"/>
              </w:rPr>
              <w:t>Securities Exchange Act of 1934, as adopted pursuant to Section 302 of the Sarbanes-Oxley Act of 2002.</w:t>
            </w:r>
          </w:p>
        </w:tc>
        <w:tc>
          <w:tcPr>
            <w:tcW w:w="240" w:type="dxa"/>
            <w:vAlign w:val="bottom"/>
            <w:tcBorders>
              <w:top w:val="single" w:sz="8" w:color="F5F5F5"/>
            </w:tcBorders>
            <w:gridSpan w:val="12"/>
            <w:shd w:val="clear" w:color="auto" w:fill="F5F5F5"/>
          </w:tcPr>
          <w:p>
            <w:pPr>
              <w:spacing w:after="0"/>
              <w:rPr>
                <w:sz w:val="10"/>
                <w:szCs w:val="10"/>
                <w:color w:val="auto"/>
              </w:rPr>
            </w:pPr>
          </w:p>
        </w:tc>
      </w:tr>
      <w:tr>
        <w:trPr>
          <w:trHeight w:val="20"/>
        </w:trPr>
        <w:tc>
          <w:tcPr>
            <w:tcW w:w="920" w:type="dxa"/>
            <w:vAlign w:val="bottom"/>
            <w:tcBorders>
              <w:top w:val="single" w:sz="8" w:color="F5F5F5"/>
            </w:tcBorders>
            <w:shd w:val="clear" w:color="auto" w:fill="F5F5F5"/>
          </w:tcPr>
          <w:p>
            <w:pPr>
              <w:spacing w:after="0" w:line="20" w:lineRule="exact"/>
              <w:rPr>
                <w:sz w:val="1"/>
                <w:szCs w:val="1"/>
                <w:color w:val="auto"/>
              </w:rPr>
            </w:pPr>
          </w:p>
        </w:tc>
        <w:tc>
          <w:tcPr>
            <w:tcW w:w="120" w:type="dxa"/>
            <w:vAlign w:val="bottom"/>
            <w:tcBorders>
              <w:top w:val="single" w:sz="8" w:color="F5F5F5"/>
            </w:tcBorders>
            <w:shd w:val="clear" w:color="auto" w:fill="F5F5F5"/>
          </w:tcPr>
          <w:p>
            <w:pPr>
              <w:spacing w:after="0" w:line="20" w:lineRule="exact"/>
              <w:rPr>
                <w:sz w:val="1"/>
                <w:szCs w:val="1"/>
                <w:color w:val="auto"/>
              </w:rPr>
            </w:pPr>
          </w:p>
        </w:tc>
        <w:tc>
          <w:tcPr>
            <w:tcW w:w="1040" w:type="dxa"/>
            <w:vAlign w:val="bottom"/>
            <w:tcBorders>
              <w:top w:val="single" w:sz="8" w:color="0000FF"/>
            </w:tcBorders>
            <w:shd w:val="clear" w:color="auto" w:fill="F5F5F5"/>
          </w:tcPr>
          <w:p>
            <w:pPr>
              <w:spacing w:after="0" w:line="20" w:lineRule="exact"/>
              <w:rPr>
                <w:sz w:val="1"/>
                <w:szCs w:val="1"/>
                <w:color w:val="auto"/>
              </w:rPr>
            </w:pPr>
          </w:p>
        </w:tc>
        <w:tc>
          <w:tcPr>
            <w:tcW w:w="200" w:type="dxa"/>
            <w:vAlign w:val="bottom"/>
            <w:tcBorders>
              <w:top w:val="single" w:sz="8" w:color="0000FF"/>
            </w:tcBorders>
            <w:shd w:val="clear" w:color="auto" w:fill="F5F5F5"/>
          </w:tcPr>
          <w:p>
            <w:pPr>
              <w:spacing w:after="0" w:line="20" w:lineRule="exact"/>
              <w:rPr>
                <w:sz w:val="1"/>
                <w:szCs w:val="1"/>
                <w:color w:val="auto"/>
              </w:rPr>
            </w:pPr>
          </w:p>
        </w:tc>
        <w:tc>
          <w:tcPr>
            <w:tcW w:w="140" w:type="dxa"/>
            <w:vAlign w:val="bottom"/>
            <w:tcBorders>
              <w:top w:val="single" w:sz="8" w:color="0000FF"/>
            </w:tcBorders>
            <w:shd w:val="clear" w:color="auto" w:fill="F5F5F5"/>
          </w:tcPr>
          <w:p>
            <w:pPr>
              <w:spacing w:after="0" w:line="20" w:lineRule="exact"/>
              <w:rPr>
                <w:sz w:val="1"/>
                <w:szCs w:val="1"/>
                <w:color w:val="auto"/>
              </w:rPr>
            </w:pPr>
          </w:p>
        </w:tc>
        <w:tc>
          <w:tcPr>
            <w:tcW w:w="320" w:type="dxa"/>
            <w:vAlign w:val="bottom"/>
            <w:tcBorders>
              <w:top w:val="single" w:sz="8" w:color="0000FF"/>
            </w:tcBorders>
            <w:shd w:val="clear" w:color="auto" w:fill="F5F5F5"/>
          </w:tcPr>
          <w:p>
            <w:pPr>
              <w:spacing w:after="0" w:line="20" w:lineRule="exact"/>
              <w:rPr>
                <w:sz w:val="1"/>
                <w:szCs w:val="1"/>
                <w:color w:val="auto"/>
              </w:rPr>
            </w:pPr>
          </w:p>
        </w:tc>
        <w:tc>
          <w:tcPr>
            <w:tcW w:w="2440" w:type="dxa"/>
            <w:vAlign w:val="bottom"/>
            <w:tcBorders>
              <w:top w:val="single" w:sz="8" w:color="0000FF"/>
            </w:tcBorders>
            <w:shd w:val="clear" w:color="auto" w:fill="F5F5F5"/>
          </w:tcPr>
          <w:p>
            <w:pPr>
              <w:spacing w:after="0" w:line="20" w:lineRule="exact"/>
              <w:rPr>
                <w:sz w:val="1"/>
                <w:szCs w:val="1"/>
                <w:color w:val="auto"/>
              </w:rPr>
            </w:pPr>
          </w:p>
        </w:tc>
        <w:tc>
          <w:tcPr>
            <w:tcW w:w="400" w:type="dxa"/>
            <w:vAlign w:val="bottom"/>
            <w:tcBorders>
              <w:top w:val="single" w:sz="8" w:color="0000FF"/>
            </w:tcBorders>
            <w:shd w:val="clear" w:color="auto" w:fill="F5F5F5"/>
          </w:tcPr>
          <w:p>
            <w:pPr>
              <w:spacing w:after="0" w:line="20" w:lineRule="exact"/>
              <w:rPr>
                <w:sz w:val="1"/>
                <w:szCs w:val="1"/>
                <w:color w:val="auto"/>
              </w:rPr>
            </w:pPr>
          </w:p>
        </w:tc>
        <w:tc>
          <w:tcPr>
            <w:tcW w:w="580" w:type="dxa"/>
            <w:vAlign w:val="bottom"/>
            <w:tcBorders>
              <w:top w:val="single" w:sz="8" w:color="0000FF"/>
            </w:tcBorders>
            <w:shd w:val="clear" w:color="auto" w:fill="F5F5F5"/>
          </w:tcPr>
          <w:p>
            <w:pPr>
              <w:spacing w:after="0" w:line="20" w:lineRule="exact"/>
              <w:rPr>
                <w:sz w:val="1"/>
                <w:szCs w:val="1"/>
                <w:color w:val="auto"/>
              </w:rPr>
            </w:pPr>
          </w:p>
        </w:tc>
        <w:tc>
          <w:tcPr>
            <w:tcW w:w="160" w:type="dxa"/>
            <w:vAlign w:val="bottom"/>
            <w:tcBorders>
              <w:top w:val="single" w:sz="8" w:color="0000FF"/>
            </w:tcBorders>
            <w:shd w:val="clear" w:color="auto" w:fill="F5F5F5"/>
          </w:tcPr>
          <w:p>
            <w:pPr>
              <w:spacing w:after="0" w:line="20" w:lineRule="exact"/>
              <w:rPr>
                <w:sz w:val="1"/>
                <w:szCs w:val="1"/>
                <w:color w:val="auto"/>
              </w:rPr>
            </w:pPr>
          </w:p>
        </w:tc>
        <w:tc>
          <w:tcPr>
            <w:tcW w:w="240" w:type="dxa"/>
            <w:vAlign w:val="bottom"/>
            <w:tcBorders>
              <w:top w:val="single" w:sz="8" w:color="0000FF"/>
            </w:tcBorders>
            <w:shd w:val="clear" w:color="auto" w:fill="F5F5F5"/>
          </w:tcPr>
          <w:p>
            <w:pPr>
              <w:spacing w:after="0" w:line="20" w:lineRule="exact"/>
              <w:rPr>
                <w:sz w:val="1"/>
                <w:szCs w:val="1"/>
                <w:color w:val="auto"/>
              </w:rPr>
            </w:pPr>
          </w:p>
        </w:tc>
        <w:tc>
          <w:tcPr>
            <w:tcW w:w="280" w:type="dxa"/>
            <w:vAlign w:val="bottom"/>
            <w:tcBorders>
              <w:top w:val="single" w:sz="8" w:color="0000FF"/>
            </w:tcBorders>
            <w:shd w:val="clear" w:color="auto" w:fill="F5F5F5"/>
          </w:tcPr>
          <w:p>
            <w:pPr>
              <w:spacing w:after="0" w:line="20" w:lineRule="exact"/>
              <w:rPr>
                <w:sz w:val="1"/>
                <w:szCs w:val="1"/>
                <w:color w:val="auto"/>
              </w:rPr>
            </w:pPr>
          </w:p>
        </w:tc>
        <w:tc>
          <w:tcPr>
            <w:tcW w:w="40" w:type="dxa"/>
            <w:vAlign w:val="bottom"/>
            <w:tcBorders>
              <w:top w:val="single" w:sz="8" w:color="0000FF"/>
            </w:tcBorders>
            <w:shd w:val="clear" w:color="auto" w:fill="F5F5F5"/>
          </w:tcPr>
          <w:p>
            <w:pPr>
              <w:spacing w:after="0" w:line="20" w:lineRule="exact"/>
              <w:rPr>
                <w:sz w:val="1"/>
                <w:szCs w:val="1"/>
                <w:color w:val="auto"/>
              </w:rPr>
            </w:pPr>
          </w:p>
        </w:tc>
        <w:tc>
          <w:tcPr>
            <w:tcW w:w="100" w:type="dxa"/>
            <w:vAlign w:val="bottom"/>
            <w:tcBorders>
              <w:top w:val="single" w:sz="8" w:color="0000FF"/>
            </w:tcBorders>
            <w:shd w:val="clear" w:color="auto" w:fill="F5F5F5"/>
          </w:tcPr>
          <w:p>
            <w:pPr>
              <w:spacing w:after="0" w:line="20" w:lineRule="exact"/>
              <w:rPr>
                <w:sz w:val="1"/>
                <w:szCs w:val="1"/>
                <w:color w:val="auto"/>
              </w:rPr>
            </w:pPr>
          </w:p>
        </w:tc>
        <w:tc>
          <w:tcPr>
            <w:tcW w:w="280" w:type="dxa"/>
            <w:vAlign w:val="bottom"/>
            <w:tcBorders>
              <w:top w:val="single" w:sz="8" w:color="0000FF"/>
            </w:tcBorders>
            <w:shd w:val="clear" w:color="auto" w:fill="F5F5F5"/>
          </w:tcPr>
          <w:p>
            <w:pPr>
              <w:spacing w:after="0" w:line="20" w:lineRule="exact"/>
              <w:rPr>
                <w:sz w:val="1"/>
                <w:szCs w:val="1"/>
                <w:color w:val="auto"/>
              </w:rPr>
            </w:pPr>
          </w:p>
        </w:tc>
        <w:tc>
          <w:tcPr>
            <w:tcW w:w="180" w:type="dxa"/>
            <w:vAlign w:val="bottom"/>
            <w:tcBorders>
              <w:top w:val="single" w:sz="8" w:color="0000FF"/>
            </w:tcBorders>
            <w:shd w:val="clear" w:color="auto" w:fill="F5F5F5"/>
          </w:tcPr>
          <w:p>
            <w:pPr>
              <w:spacing w:after="0" w:line="20" w:lineRule="exact"/>
              <w:rPr>
                <w:sz w:val="1"/>
                <w:szCs w:val="1"/>
                <w:color w:val="auto"/>
              </w:rPr>
            </w:pPr>
          </w:p>
        </w:tc>
        <w:tc>
          <w:tcPr>
            <w:tcW w:w="80" w:type="dxa"/>
            <w:vAlign w:val="bottom"/>
            <w:tcBorders>
              <w:top w:val="single" w:sz="8" w:color="0000FF"/>
            </w:tcBorders>
            <w:shd w:val="clear" w:color="auto" w:fill="F5F5F5"/>
          </w:tcPr>
          <w:p>
            <w:pPr>
              <w:spacing w:after="0" w:line="20" w:lineRule="exact"/>
              <w:rPr>
                <w:sz w:val="1"/>
                <w:szCs w:val="1"/>
                <w:color w:val="auto"/>
              </w:rPr>
            </w:pPr>
          </w:p>
        </w:tc>
        <w:tc>
          <w:tcPr>
            <w:tcW w:w="60" w:type="dxa"/>
            <w:vAlign w:val="bottom"/>
            <w:tcBorders>
              <w:top w:val="single" w:sz="8" w:color="0000FF"/>
            </w:tcBorders>
            <w:shd w:val="clear" w:color="auto" w:fill="F5F5F5"/>
          </w:tcPr>
          <w:p>
            <w:pPr>
              <w:spacing w:after="0" w:line="20" w:lineRule="exact"/>
              <w:rPr>
                <w:sz w:val="1"/>
                <w:szCs w:val="1"/>
                <w:color w:val="auto"/>
              </w:rPr>
            </w:pPr>
          </w:p>
        </w:tc>
        <w:tc>
          <w:tcPr>
            <w:tcW w:w="160" w:type="dxa"/>
            <w:vAlign w:val="bottom"/>
            <w:tcBorders>
              <w:top w:val="single" w:sz="8" w:color="0000FF"/>
            </w:tcBorders>
            <w:shd w:val="clear" w:color="auto" w:fill="F5F5F5"/>
          </w:tcPr>
          <w:p>
            <w:pPr>
              <w:spacing w:after="0" w:line="20" w:lineRule="exact"/>
              <w:rPr>
                <w:sz w:val="1"/>
                <w:szCs w:val="1"/>
                <w:color w:val="auto"/>
              </w:rPr>
            </w:pPr>
          </w:p>
        </w:tc>
        <w:tc>
          <w:tcPr>
            <w:tcW w:w="1680" w:type="dxa"/>
            <w:vAlign w:val="bottom"/>
            <w:tcBorders>
              <w:top w:val="single" w:sz="8" w:color="F5F5F5"/>
            </w:tcBorders>
            <w:shd w:val="clear" w:color="auto" w:fill="F5F5F5"/>
          </w:tcPr>
          <w:p>
            <w:pPr>
              <w:spacing w:after="0" w:line="20" w:lineRule="exact"/>
              <w:rPr>
                <w:sz w:val="1"/>
                <w:szCs w:val="1"/>
                <w:color w:val="auto"/>
              </w:rPr>
            </w:pPr>
          </w:p>
        </w:tc>
        <w:tc>
          <w:tcPr>
            <w:tcW w:w="640" w:type="dxa"/>
            <w:vAlign w:val="bottom"/>
            <w:tcBorders>
              <w:top w:val="single" w:sz="8" w:color="F5F5F5"/>
            </w:tcBorders>
            <w:shd w:val="clear" w:color="auto" w:fill="F5F5F5"/>
          </w:tcPr>
          <w:p>
            <w:pPr>
              <w:spacing w:after="0" w:line="20" w:lineRule="exact"/>
              <w:rPr>
                <w:sz w:val="1"/>
                <w:szCs w:val="1"/>
                <w:color w:val="auto"/>
              </w:rPr>
            </w:pPr>
          </w:p>
        </w:tc>
        <w:tc>
          <w:tcPr>
            <w:tcW w:w="1020" w:type="dxa"/>
            <w:vAlign w:val="bottom"/>
            <w:tcBorders>
              <w:top w:val="single" w:sz="8" w:color="F5F5F5"/>
            </w:tcBorders>
            <w:shd w:val="clear" w:color="auto" w:fill="F5F5F5"/>
          </w:tcPr>
          <w:p>
            <w:pPr>
              <w:spacing w:after="0" w:line="20" w:lineRule="exact"/>
              <w:rPr>
                <w:sz w:val="1"/>
                <w:szCs w:val="1"/>
                <w:color w:val="auto"/>
              </w:rPr>
            </w:pPr>
          </w:p>
        </w:tc>
        <w:tc>
          <w:tcPr>
            <w:tcW w:w="40" w:type="dxa"/>
            <w:vAlign w:val="bottom"/>
            <w:tcBorders>
              <w:top w:val="single" w:sz="8" w:color="F5F5F5"/>
            </w:tcBorders>
            <w:shd w:val="clear" w:color="auto" w:fill="F5F5F5"/>
          </w:tcPr>
          <w:p>
            <w:pPr>
              <w:spacing w:after="0" w:line="20" w:lineRule="exact"/>
              <w:rPr>
                <w:sz w:val="1"/>
                <w:szCs w:val="1"/>
                <w:color w:val="auto"/>
              </w:rPr>
            </w:pPr>
          </w:p>
        </w:tc>
        <w:tc>
          <w:tcPr>
            <w:tcW w:w="8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c>
          <w:tcPr>
            <w:tcW w:w="20" w:type="dxa"/>
            <w:vAlign w:val="bottom"/>
            <w:tcBorders>
              <w:top w:val="single" w:sz="8" w:color="F5F5F5"/>
            </w:tcBorders>
            <w:shd w:val="clear" w:color="auto" w:fill="F5F5F5"/>
          </w:tcPr>
          <w:p>
            <w:pPr>
              <w:spacing w:after="0" w:line="20" w:lineRule="exact"/>
              <w:rPr>
                <w:sz w:val="1"/>
                <w:szCs w:val="1"/>
                <w:color w:val="auto"/>
              </w:rPr>
            </w:pPr>
          </w:p>
        </w:tc>
      </w:tr>
      <w:tr>
        <w:trPr>
          <w:trHeight w:val="162"/>
        </w:trPr>
        <w:tc>
          <w:tcPr>
            <w:tcW w:w="920" w:type="dxa"/>
            <w:vAlign w:val="bottom"/>
          </w:tcPr>
          <w:p>
            <w:pPr>
              <w:ind w:left="20"/>
              <w:spacing w:after="0"/>
              <w:rPr>
                <w:sz w:val="20"/>
                <w:szCs w:val="20"/>
                <w:color w:val="auto"/>
              </w:rPr>
            </w:pPr>
            <w:r>
              <w:rPr>
                <w:rFonts w:ascii="Arial" w:cs="Arial" w:eastAsia="Arial" w:hAnsi="Arial"/>
                <w:sz w:val="14"/>
                <w:szCs w:val="14"/>
                <w:color w:val="auto"/>
              </w:rPr>
              <w:t>32.1</w:t>
            </w:r>
          </w:p>
        </w:tc>
        <w:tc>
          <w:tcPr>
            <w:tcW w:w="120" w:type="dxa"/>
            <w:vAlign w:val="bottom"/>
          </w:tcPr>
          <w:p>
            <w:pPr>
              <w:spacing w:after="0"/>
              <w:rPr>
                <w:sz w:val="14"/>
                <w:szCs w:val="14"/>
                <w:color w:val="auto"/>
              </w:rPr>
            </w:pPr>
          </w:p>
        </w:tc>
        <w:tc>
          <w:tcPr>
            <w:tcW w:w="10500" w:type="dxa"/>
            <w:vAlign w:val="bottom"/>
            <w:gridSpan w:val="39"/>
          </w:tcPr>
          <w:p>
            <w:pPr>
              <w:spacing w:after="0"/>
              <w:rPr>
                <w:sz w:val="20"/>
                <w:szCs w:val="20"/>
                <w:color w:val="auto"/>
              </w:rPr>
            </w:pPr>
            <w:r>
              <w:rPr>
                <w:rFonts w:ascii="Arial" w:cs="Arial" w:eastAsia="Arial" w:hAnsi="Arial"/>
                <w:sz w:val="14"/>
                <w:szCs w:val="14"/>
                <w:color w:val="0000FF"/>
              </w:rPr>
              <w:t>Certifications by Chief Executive Officer (Principal Executive Officer) and Senior Vice President and Chief Financial Officer (Principal Financial Officer) pursuant</w:t>
            </w:r>
          </w:p>
        </w:tc>
      </w:tr>
      <w:tr>
        <w:trPr>
          <w:trHeight w:val="115"/>
        </w:trPr>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20" w:type="dxa"/>
            <w:vAlign w:val="bottom"/>
            <w:tcBorders>
              <w:top w:val="single" w:sz="8" w:color="0000FF"/>
            </w:tcBorders>
            <w:gridSpan w:val="25"/>
          </w:tcPr>
          <w:p>
            <w:pPr>
              <w:spacing w:after="0" w:line="115" w:lineRule="exact"/>
              <w:rPr>
                <w:sz w:val="20"/>
                <w:szCs w:val="20"/>
                <w:color w:val="auto"/>
              </w:rPr>
            </w:pPr>
            <w:r>
              <w:rPr>
                <w:rFonts w:ascii="Arial" w:cs="Arial" w:eastAsia="Arial" w:hAnsi="Arial"/>
                <w:sz w:val="13"/>
                <w:szCs w:val="13"/>
                <w:color w:val="0000FF"/>
              </w:rPr>
              <w:t>to 18 U.S.C. Section 1350, as adopted pursuant to Section 906 of the Sarbanes-Oxley Act of 2002.**</w:t>
            </w:r>
          </w:p>
        </w:tc>
        <w:tc>
          <w:tcPr>
            <w:tcW w:w="280" w:type="dxa"/>
            <w:vAlign w:val="bottom"/>
            <w:gridSpan w:val="14"/>
          </w:tcPr>
          <w:p>
            <w:pPr>
              <w:spacing w:after="0"/>
              <w:rPr>
                <w:sz w:val="10"/>
                <w:szCs w:val="10"/>
                <w:color w:val="auto"/>
              </w:rPr>
            </w:pP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4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920" w:type="dxa"/>
            <w:vAlign w:val="bottom"/>
            <w:shd w:val="clear" w:color="auto" w:fill="F5F5F5"/>
          </w:tcPr>
          <w:p>
            <w:pPr>
              <w:ind w:left="20"/>
              <w:spacing w:after="0"/>
              <w:rPr>
                <w:sz w:val="20"/>
                <w:szCs w:val="20"/>
                <w:color w:val="auto"/>
              </w:rPr>
            </w:pPr>
            <w:r>
              <w:rPr>
                <w:rFonts w:ascii="Arial" w:cs="Arial" w:eastAsia="Arial" w:hAnsi="Arial"/>
                <w:sz w:val="14"/>
                <w:szCs w:val="14"/>
                <w:color w:val="auto"/>
              </w:rPr>
              <w:t>97.1</w:t>
            </w:r>
          </w:p>
        </w:tc>
        <w:tc>
          <w:tcPr>
            <w:tcW w:w="120" w:type="dxa"/>
            <w:vAlign w:val="bottom"/>
            <w:shd w:val="clear" w:color="auto" w:fill="F5F5F5"/>
          </w:tcPr>
          <w:p>
            <w:pPr>
              <w:spacing w:after="0"/>
              <w:rPr>
                <w:sz w:val="14"/>
                <w:szCs w:val="14"/>
                <w:color w:val="auto"/>
              </w:rPr>
            </w:pPr>
          </w:p>
        </w:tc>
        <w:tc>
          <w:tcPr>
            <w:tcW w:w="10500" w:type="dxa"/>
            <w:vAlign w:val="bottom"/>
            <w:gridSpan w:val="39"/>
            <w:shd w:val="clear" w:color="auto" w:fill="F5F5F5"/>
          </w:tcPr>
          <w:p>
            <w:pPr>
              <w:spacing w:after="0"/>
              <w:rPr>
                <w:rFonts w:ascii="Arial" w:cs="Arial" w:eastAsia="Arial" w:hAnsi="Arial"/>
                <w:sz w:val="14"/>
                <w:szCs w:val="14"/>
                <w:color w:val="0000FF"/>
              </w:rPr>
            </w:pPr>
            <w:hyperlink r:id="rId171">
              <w:r>
                <w:rPr>
                  <w:rFonts w:ascii="Arial" w:cs="Arial" w:eastAsia="Arial" w:hAnsi="Arial"/>
                  <w:sz w:val="14"/>
                  <w:szCs w:val="14"/>
                  <w:color w:val="0000FF"/>
                </w:rPr>
                <w:t>Abercrombie &amp; Fitch Co. Compensation Recoupment Policy, effective as of December 1, 2023, incorporated herein by reference to Exhibit 97.1 to A&amp;F’s Annual</w:t>
              </w:r>
            </w:hyperlink>
          </w:p>
        </w:tc>
      </w:tr>
      <w:tr>
        <w:trPr>
          <w:trHeight w:val="136"/>
        </w:trPr>
        <w:tc>
          <w:tcPr>
            <w:tcW w:w="920" w:type="dxa"/>
            <w:vAlign w:val="bottom"/>
            <w:tcBorders>
              <w:top w:val="single" w:sz="8" w:color="F5F5F5"/>
              <w:bottom w:val="single" w:sz="8" w:color="F5F5F5"/>
            </w:tcBorders>
            <w:shd w:val="clear" w:color="auto" w:fill="F5F5F5"/>
          </w:tcPr>
          <w:p>
            <w:pPr>
              <w:spacing w:after="0"/>
              <w:rPr>
                <w:sz w:val="11"/>
                <w:szCs w:val="11"/>
                <w:color w:val="auto"/>
              </w:rPr>
            </w:pPr>
          </w:p>
        </w:tc>
        <w:tc>
          <w:tcPr>
            <w:tcW w:w="120" w:type="dxa"/>
            <w:vAlign w:val="bottom"/>
            <w:tcBorders>
              <w:top w:val="single" w:sz="8" w:color="F5F5F5"/>
              <w:bottom w:val="single" w:sz="8" w:color="F5F5F5"/>
            </w:tcBorders>
            <w:shd w:val="clear" w:color="auto" w:fill="F5F5F5"/>
          </w:tcPr>
          <w:p>
            <w:pPr>
              <w:spacing w:after="0"/>
              <w:rPr>
                <w:sz w:val="11"/>
                <w:szCs w:val="11"/>
                <w:color w:val="auto"/>
              </w:rPr>
            </w:pPr>
          </w:p>
        </w:tc>
        <w:tc>
          <w:tcPr>
            <w:tcW w:w="5520" w:type="dxa"/>
            <w:vAlign w:val="bottom"/>
            <w:tcBorders>
              <w:top w:val="single" w:sz="8" w:color="0000FF"/>
              <w:bottom w:val="single" w:sz="8" w:color="0000FF"/>
            </w:tcBorders>
            <w:gridSpan w:val="9"/>
            <w:shd w:val="clear" w:color="auto" w:fill="F5F5F5"/>
          </w:tcPr>
          <w:p>
            <w:pPr>
              <w:spacing w:after="0" w:line="115" w:lineRule="exact"/>
              <w:rPr>
                <w:rFonts w:ascii="Arial" w:cs="Arial" w:eastAsia="Arial" w:hAnsi="Arial"/>
                <w:sz w:val="13"/>
                <w:szCs w:val="13"/>
                <w:color w:val="0000FF"/>
              </w:rPr>
            </w:pPr>
            <w:hyperlink r:id="rId171">
              <w:r>
                <w:rPr>
                  <w:rFonts w:ascii="Arial" w:cs="Arial" w:eastAsia="Arial" w:hAnsi="Arial"/>
                  <w:sz w:val="13"/>
                  <w:szCs w:val="13"/>
                  <w:color w:val="0000FF"/>
                </w:rPr>
                <w:t>Report on Form 10-K for the Fiscal Year ended February 3, 2024 (File No. 001-12107).</w:t>
              </w:r>
            </w:hyperlink>
          </w:p>
        </w:tc>
        <w:tc>
          <w:tcPr>
            <w:tcW w:w="4640" w:type="dxa"/>
            <w:vAlign w:val="bottom"/>
            <w:tcBorders>
              <w:top w:val="single" w:sz="8" w:color="0000FF"/>
              <w:bottom w:val="single" w:sz="8" w:color="F5F5F5"/>
            </w:tcBorders>
            <w:gridSpan w:val="13"/>
            <w:shd w:val="clear" w:color="auto" w:fill="F5F5F5"/>
          </w:tcPr>
          <w:p>
            <w:pPr>
              <w:spacing w:after="0"/>
              <w:rPr>
                <w:sz w:val="11"/>
                <w:szCs w:val="11"/>
                <w:color w:val="auto"/>
              </w:rPr>
            </w:pPr>
          </w:p>
        </w:tc>
        <w:tc>
          <w:tcPr>
            <w:tcW w:w="340" w:type="dxa"/>
            <w:vAlign w:val="bottom"/>
            <w:tcBorders>
              <w:top w:val="single" w:sz="8" w:color="F5F5F5"/>
              <w:bottom w:val="single" w:sz="8" w:color="F5F5F5"/>
            </w:tcBorders>
            <w:gridSpan w:val="17"/>
            <w:shd w:val="clear" w:color="auto" w:fill="F5F5F5"/>
          </w:tcPr>
          <w:p>
            <w:pPr>
              <w:spacing w:after="0"/>
              <w:rPr>
                <w:sz w:val="11"/>
                <w:szCs w:val="11"/>
                <w:color w:val="auto"/>
              </w:rPr>
            </w:pPr>
          </w:p>
        </w:tc>
      </w:tr>
      <w:tr>
        <w:trPr>
          <w:trHeight w:val="148"/>
        </w:trPr>
        <w:tc>
          <w:tcPr>
            <w:tcW w:w="920" w:type="dxa"/>
            <w:vAlign w:val="bottom"/>
          </w:tcPr>
          <w:p>
            <w:pPr>
              <w:ind w:left="20"/>
              <w:spacing w:after="0" w:line="149" w:lineRule="exact"/>
              <w:rPr>
                <w:sz w:val="20"/>
                <w:szCs w:val="20"/>
                <w:color w:val="auto"/>
              </w:rPr>
            </w:pPr>
            <w:r>
              <w:rPr>
                <w:rFonts w:ascii="Arial" w:cs="Arial" w:eastAsia="Arial" w:hAnsi="Arial"/>
                <w:sz w:val="14"/>
                <w:szCs w:val="14"/>
                <w:color w:val="auto"/>
              </w:rPr>
              <w:t>101.INS</w:t>
            </w:r>
          </w:p>
        </w:tc>
        <w:tc>
          <w:tcPr>
            <w:tcW w:w="120" w:type="dxa"/>
            <w:vAlign w:val="bottom"/>
          </w:tcPr>
          <w:p>
            <w:pPr>
              <w:spacing w:after="0"/>
              <w:rPr>
                <w:sz w:val="12"/>
                <w:szCs w:val="12"/>
                <w:color w:val="auto"/>
              </w:rPr>
            </w:pPr>
          </w:p>
        </w:tc>
        <w:tc>
          <w:tcPr>
            <w:tcW w:w="10500" w:type="dxa"/>
            <w:vAlign w:val="bottom"/>
            <w:gridSpan w:val="39"/>
          </w:tcPr>
          <w:p>
            <w:pPr>
              <w:spacing w:after="0" w:line="149" w:lineRule="exact"/>
              <w:rPr>
                <w:sz w:val="20"/>
                <w:szCs w:val="20"/>
                <w:color w:val="auto"/>
              </w:rPr>
            </w:pPr>
            <w:r>
              <w:rPr>
                <w:rFonts w:ascii="Arial" w:cs="Arial" w:eastAsia="Arial" w:hAnsi="Arial"/>
                <w:sz w:val="14"/>
                <w:szCs w:val="14"/>
                <w:color w:val="auto"/>
              </w:rPr>
              <w:t>Inline XBRL Instance Document - the instance document does not appear in the Interactive Data File because its XBRL tags are embedded within the Inline</w:t>
            </w:r>
          </w:p>
        </w:tc>
      </w:tr>
      <w:tr>
        <w:trPr>
          <w:trHeight w:val="189"/>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500" w:type="dxa"/>
            <w:vAlign w:val="bottom"/>
            <w:gridSpan w:val="39"/>
          </w:tcPr>
          <w:p>
            <w:pPr>
              <w:spacing w:after="0"/>
              <w:rPr>
                <w:sz w:val="20"/>
                <w:szCs w:val="20"/>
                <w:color w:val="auto"/>
              </w:rPr>
            </w:pPr>
            <w:r>
              <w:rPr>
                <w:rFonts w:ascii="Arial" w:cs="Arial" w:eastAsia="Arial" w:hAnsi="Arial"/>
                <w:sz w:val="14"/>
                <w:szCs w:val="14"/>
                <w:color w:val="auto"/>
              </w:rPr>
              <w:t>XBRL document.</w:t>
            </w:r>
          </w:p>
        </w:tc>
      </w:tr>
      <w:tr>
        <w:trPr>
          <w:trHeight w:val="203"/>
        </w:trPr>
        <w:tc>
          <w:tcPr>
            <w:tcW w:w="920" w:type="dxa"/>
            <w:vAlign w:val="bottom"/>
            <w:shd w:val="clear" w:color="auto" w:fill="F5F5F5"/>
          </w:tcPr>
          <w:p>
            <w:pPr>
              <w:ind w:left="20"/>
              <w:spacing w:after="0"/>
              <w:rPr>
                <w:sz w:val="20"/>
                <w:szCs w:val="20"/>
                <w:color w:val="auto"/>
              </w:rPr>
            </w:pPr>
            <w:r>
              <w:rPr>
                <w:rFonts w:ascii="Arial" w:cs="Arial" w:eastAsia="Arial" w:hAnsi="Arial"/>
                <w:sz w:val="14"/>
                <w:szCs w:val="14"/>
                <w:color w:val="auto"/>
              </w:rPr>
              <w:t>101.SCH</w:t>
            </w:r>
          </w:p>
        </w:tc>
        <w:tc>
          <w:tcPr>
            <w:tcW w:w="120" w:type="dxa"/>
            <w:vAlign w:val="bottom"/>
            <w:shd w:val="clear" w:color="auto" w:fill="F5F5F5"/>
          </w:tcPr>
          <w:p>
            <w:pPr>
              <w:spacing w:after="0"/>
              <w:rPr>
                <w:sz w:val="17"/>
                <w:szCs w:val="17"/>
                <w:color w:val="auto"/>
              </w:rPr>
            </w:pPr>
          </w:p>
        </w:tc>
        <w:tc>
          <w:tcPr>
            <w:tcW w:w="10500" w:type="dxa"/>
            <w:vAlign w:val="bottom"/>
            <w:gridSpan w:val="39"/>
            <w:shd w:val="clear" w:color="auto" w:fill="F5F5F5"/>
          </w:tcPr>
          <w:p>
            <w:pPr>
              <w:spacing w:after="0"/>
              <w:rPr>
                <w:sz w:val="20"/>
                <w:szCs w:val="20"/>
                <w:color w:val="auto"/>
              </w:rPr>
            </w:pPr>
            <w:r>
              <w:rPr>
                <w:rFonts w:ascii="Arial" w:cs="Arial" w:eastAsia="Arial" w:hAnsi="Arial"/>
                <w:sz w:val="14"/>
                <w:szCs w:val="14"/>
                <w:color w:val="auto"/>
              </w:rPr>
              <w:t>Inline XBRL Taxonomy Extension Schema Document.</w:t>
            </w:r>
          </w:p>
        </w:tc>
      </w:tr>
      <w:tr>
        <w:trPr>
          <w:trHeight w:val="198"/>
        </w:trPr>
        <w:tc>
          <w:tcPr>
            <w:tcW w:w="920" w:type="dxa"/>
            <w:vAlign w:val="bottom"/>
          </w:tcPr>
          <w:p>
            <w:pPr>
              <w:ind w:left="20"/>
              <w:spacing w:after="0"/>
              <w:rPr>
                <w:sz w:val="20"/>
                <w:szCs w:val="20"/>
                <w:color w:val="auto"/>
              </w:rPr>
            </w:pPr>
            <w:r>
              <w:rPr>
                <w:rFonts w:ascii="Arial" w:cs="Arial" w:eastAsia="Arial" w:hAnsi="Arial"/>
                <w:sz w:val="14"/>
                <w:szCs w:val="14"/>
                <w:color w:val="auto"/>
              </w:rPr>
              <w:t>101.CAL</w:t>
            </w:r>
          </w:p>
        </w:tc>
        <w:tc>
          <w:tcPr>
            <w:tcW w:w="120" w:type="dxa"/>
            <w:vAlign w:val="bottom"/>
          </w:tcPr>
          <w:p>
            <w:pPr>
              <w:spacing w:after="0"/>
              <w:rPr>
                <w:sz w:val="17"/>
                <w:szCs w:val="17"/>
                <w:color w:val="auto"/>
              </w:rPr>
            </w:pPr>
          </w:p>
        </w:tc>
        <w:tc>
          <w:tcPr>
            <w:tcW w:w="10500" w:type="dxa"/>
            <w:vAlign w:val="bottom"/>
            <w:gridSpan w:val="39"/>
          </w:tcPr>
          <w:p>
            <w:pPr>
              <w:spacing w:after="0"/>
              <w:rPr>
                <w:sz w:val="20"/>
                <w:szCs w:val="20"/>
                <w:color w:val="auto"/>
              </w:rPr>
            </w:pPr>
            <w:r>
              <w:rPr>
                <w:rFonts w:ascii="Arial" w:cs="Arial" w:eastAsia="Arial" w:hAnsi="Arial"/>
                <w:sz w:val="14"/>
                <w:szCs w:val="14"/>
                <w:color w:val="auto"/>
              </w:rPr>
              <w:t>Inline XBRL Taxonomy Extension Calculation Linkbase Document.</w:t>
            </w:r>
          </w:p>
        </w:tc>
      </w:tr>
      <w:tr>
        <w:trPr>
          <w:trHeight w:val="207"/>
        </w:trPr>
        <w:tc>
          <w:tcPr>
            <w:tcW w:w="920" w:type="dxa"/>
            <w:vAlign w:val="bottom"/>
            <w:shd w:val="clear" w:color="auto" w:fill="F5F5F5"/>
          </w:tcPr>
          <w:p>
            <w:pPr>
              <w:ind w:left="20"/>
              <w:spacing w:after="0"/>
              <w:rPr>
                <w:sz w:val="20"/>
                <w:szCs w:val="20"/>
                <w:color w:val="auto"/>
              </w:rPr>
            </w:pPr>
            <w:r>
              <w:rPr>
                <w:rFonts w:ascii="Arial" w:cs="Arial" w:eastAsia="Arial" w:hAnsi="Arial"/>
                <w:sz w:val="14"/>
                <w:szCs w:val="14"/>
                <w:color w:val="auto"/>
              </w:rPr>
              <w:t>101.DEF</w:t>
            </w:r>
          </w:p>
        </w:tc>
        <w:tc>
          <w:tcPr>
            <w:tcW w:w="120" w:type="dxa"/>
            <w:vAlign w:val="bottom"/>
            <w:shd w:val="clear" w:color="auto" w:fill="F5F5F5"/>
          </w:tcPr>
          <w:p>
            <w:pPr>
              <w:spacing w:after="0"/>
              <w:rPr>
                <w:sz w:val="17"/>
                <w:szCs w:val="17"/>
                <w:color w:val="auto"/>
              </w:rPr>
            </w:pPr>
          </w:p>
        </w:tc>
        <w:tc>
          <w:tcPr>
            <w:tcW w:w="10500" w:type="dxa"/>
            <w:vAlign w:val="bottom"/>
            <w:gridSpan w:val="39"/>
            <w:shd w:val="clear" w:color="auto" w:fill="F5F5F5"/>
          </w:tcPr>
          <w:p>
            <w:pPr>
              <w:spacing w:after="0"/>
              <w:rPr>
                <w:sz w:val="20"/>
                <w:szCs w:val="20"/>
                <w:color w:val="auto"/>
              </w:rPr>
            </w:pPr>
            <w:r>
              <w:rPr>
                <w:rFonts w:ascii="Arial" w:cs="Arial" w:eastAsia="Arial" w:hAnsi="Arial"/>
                <w:sz w:val="14"/>
                <w:szCs w:val="14"/>
                <w:color w:val="auto"/>
              </w:rPr>
              <w:t>Inline XBRL Taxonomy Extension Definition Linkbase Document.</w:t>
            </w:r>
          </w:p>
        </w:tc>
      </w:tr>
      <w:tr>
        <w:trPr>
          <w:trHeight w:val="198"/>
        </w:trPr>
        <w:tc>
          <w:tcPr>
            <w:tcW w:w="920" w:type="dxa"/>
            <w:vAlign w:val="bottom"/>
          </w:tcPr>
          <w:p>
            <w:pPr>
              <w:ind w:left="20"/>
              <w:spacing w:after="0"/>
              <w:rPr>
                <w:sz w:val="20"/>
                <w:szCs w:val="20"/>
                <w:color w:val="auto"/>
              </w:rPr>
            </w:pPr>
            <w:r>
              <w:rPr>
                <w:rFonts w:ascii="Arial" w:cs="Arial" w:eastAsia="Arial" w:hAnsi="Arial"/>
                <w:sz w:val="14"/>
                <w:szCs w:val="14"/>
                <w:color w:val="auto"/>
              </w:rPr>
              <w:t>101.LAB</w:t>
            </w:r>
          </w:p>
        </w:tc>
        <w:tc>
          <w:tcPr>
            <w:tcW w:w="120" w:type="dxa"/>
            <w:vAlign w:val="bottom"/>
          </w:tcPr>
          <w:p>
            <w:pPr>
              <w:spacing w:after="0"/>
              <w:rPr>
                <w:sz w:val="17"/>
                <w:szCs w:val="17"/>
                <w:color w:val="auto"/>
              </w:rPr>
            </w:pPr>
          </w:p>
        </w:tc>
        <w:tc>
          <w:tcPr>
            <w:tcW w:w="10500" w:type="dxa"/>
            <w:vAlign w:val="bottom"/>
            <w:gridSpan w:val="39"/>
          </w:tcPr>
          <w:p>
            <w:pPr>
              <w:spacing w:after="0"/>
              <w:rPr>
                <w:sz w:val="20"/>
                <w:szCs w:val="20"/>
                <w:color w:val="auto"/>
              </w:rPr>
            </w:pPr>
            <w:r>
              <w:rPr>
                <w:rFonts w:ascii="Arial" w:cs="Arial" w:eastAsia="Arial" w:hAnsi="Arial"/>
                <w:sz w:val="14"/>
                <w:szCs w:val="14"/>
                <w:color w:val="auto"/>
              </w:rPr>
              <w:t>Inline XBRL Taxonomy Extension Label Linkbase Document.</w:t>
            </w:r>
          </w:p>
        </w:tc>
      </w:tr>
      <w:tr>
        <w:trPr>
          <w:trHeight w:val="207"/>
        </w:trPr>
        <w:tc>
          <w:tcPr>
            <w:tcW w:w="920" w:type="dxa"/>
            <w:vAlign w:val="bottom"/>
            <w:shd w:val="clear" w:color="auto" w:fill="F5F5F5"/>
          </w:tcPr>
          <w:p>
            <w:pPr>
              <w:ind w:left="20"/>
              <w:spacing w:after="0"/>
              <w:rPr>
                <w:sz w:val="20"/>
                <w:szCs w:val="20"/>
                <w:color w:val="auto"/>
              </w:rPr>
            </w:pPr>
            <w:r>
              <w:rPr>
                <w:rFonts w:ascii="Arial" w:cs="Arial" w:eastAsia="Arial" w:hAnsi="Arial"/>
                <w:sz w:val="14"/>
                <w:szCs w:val="14"/>
                <w:color w:val="auto"/>
              </w:rPr>
              <w:t>101.PRE</w:t>
            </w:r>
          </w:p>
        </w:tc>
        <w:tc>
          <w:tcPr>
            <w:tcW w:w="120" w:type="dxa"/>
            <w:vAlign w:val="bottom"/>
            <w:shd w:val="clear" w:color="auto" w:fill="F5F5F5"/>
          </w:tcPr>
          <w:p>
            <w:pPr>
              <w:spacing w:after="0"/>
              <w:rPr>
                <w:sz w:val="17"/>
                <w:szCs w:val="17"/>
                <w:color w:val="auto"/>
              </w:rPr>
            </w:pPr>
          </w:p>
        </w:tc>
        <w:tc>
          <w:tcPr>
            <w:tcW w:w="10500" w:type="dxa"/>
            <w:vAlign w:val="bottom"/>
            <w:gridSpan w:val="39"/>
            <w:shd w:val="clear" w:color="auto" w:fill="F5F5F5"/>
          </w:tcPr>
          <w:p>
            <w:pPr>
              <w:spacing w:after="0"/>
              <w:rPr>
                <w:sz w:val="20"/>
                <w:szCs w:val="20"/>
                <w:color w:val="auto"/>
              </w:rPr>
            </w:pPr>
            <w:r>
              <w:rPr>
                <w:rFonts w:ascii="Arial" w:cs="Arial" w:eastAsia="Arial" w:hAnsi="Arial"/>
                <w:sz w:val="14"/>
                <w:szCs w:val="14"/>
                <w:color w:val="auto"/>
              </w:rPr>
              <w:t>Inline XBRL Taxonomy Extension Presentation Linkbase Document.</w:t>
            </w:r>
          </w:p>
        </w:tc>
      </w:tr>
      <w:tr>
        <w:trPr>
          <w:trHeight w:val="195"/>
        </w:trPr>
        <w:tc>
          <w:tcPr>
            <w:tcW w:w="920" w:type="dxa"/>
            <w:vAlign w:val="bottom"/>
          </w:tcPr>
          <w:p>
            <w:pPr>
              <w:ind w:left="20"/>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16"/>
                <w:szCs w:val="16"/>
                <w:color w:val="auto"/>
              </w:rPr>
            </w:pPr>
          </w:p>
        </w:tc>
        <w:tc>
          <w:tcPr>
            <w:tcW w:w="10500" w:type="dxa"/>
            <w:vAlign w:val="bottom"/>
            <w:gridSpan w:val="39"/>
          </w:tcPr>
          <w:p>
            <w:pPr>
              <w:spacing w:after="0"/>
              <w:rPr>
                <w:sz w:val="20"/>
                <w:szCs w:val="20"/>
                <w:color w:val="auto"/>
              </w:rPr>
            </w:pPr>
            <w:r>
              <w:rPr>
                <w:rFonts w:ascii="Arial" w:cs="Arial" w:eastAsia="Arial" w:hAnsi="Arial"/>
                <w:sz w:val="14"/>
                <w:szCs w:val="14"/>
                <w:color w:val="auto"/>
              </w:rPr>
              <w:t>Cover Page Interactive Data File (formatted as Inline XBRL with applicable taxonomy extension information contained in Exhibits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137985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2">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245" w:lineRule="exact"/>
        <w:rPr>
          <w:sz w:val="20"/>
          <w:szCs w:val="20"/>
          <w:color w:val="auto"/>
        </w:rPr>
      </w:pPr>
    </w:p>
    <w:p>
      <w:pPr>
        <w:ind w:left="660" w:hanging="287"/>
        <w:spacing w:after="0" w:line="302" w:lineRule="auto"/>
        <w:tabs>
          <w:tab w:leader="none" w:pos="592" w:val="left"/>
        </w:tabs>
        <w:numPr>
          <w:ilvl w:val="0"/>
          <w:numId w:val="80"/>
        </w:numPr>
        <w:rPr>
          <w:rFonts w:ascii="Arial" w:cs="Arial" w:eastAsia="Arial" w:hAnsi="Arial"/>
          <w:sz w:val="13"/>
          <w:szCs w:val="13"/>
          <w:color w:val="auto"/>
        </w:rPr>
      </w:pPr>
      <w:r>
        <w:rPr>
          <w:rFonts w:ascii="Arial" w:cs="Arial" w:eastAsia="Arial" w:hAnsi="Arial"/>
          <w:sz w:val="13"/>
          <w:szCs w:val="13"/>
          <w:color w:val="auto"/>
        </w:rPr>
        <w:t>Management contract or compensatory plan or arrangement required to be filed as an exhibit to this Annual Report on Form 10-K pursuant to Item 15(a)(3) and Item 15(b) of this Annual Report on Form 10-K.</w:t>
      </w:r>
    </w:p>
    <w:p>
      <w:pPr>
        <w:spacing w:after="0" w:line="2" w:lineRule="exact"/>
        <w:rPr>
          <w:sz w:val="20"/>
          <w:szCs w:val="20"/>
          <w:color w:val="auto"/>
        </w:rPr>
      </w:pPr>
    </w:p>
    <w:p>
      <w:pPr>
        <w:ind w:left="580" w:hanging="248"/>
        <w:spacing w:after="0"/>
        <w:tabs>
          <w:tab w:leader="none" w:pos="5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These certifications are furnished.</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3"/>
          <w:szCs w:val="13"/>
          <w:color w:val="auto"/>
        </w:rPr>
        <w:t>† Certain portions of this exhibit have been omitted pursuant to Item 601(b)(10)(iv) of Regulation S-K</w:t>
      </w:r>
      <w:r>
        <w:rPr>
          <w:rFonts w:ascii="Arial" w:cs="Arial" w:eastAsia="Arial" w:hAnsi="Arial"/>
          <w:sz w:val="21"/>
          <w:szCs w:val="21"/>
          <w:color w:val="008080"/>
        </w:rPr>
        <w:t>.</w:t>
      </w:r>
    </w:p>
    <w:p>
      <w:pPr>
        <w:spacing w:after="0" w:line="13" w:lineRule="exact"/>
        <w:rPr>
          <w:sz w:val="20"/>
          <w:szCs w:val="20"/>
          <w:color w:val="auto"/>
        </w:rPr>
      </w:pPr>
    </w:p>
    <w:p>
      <w:pPr>
        <w:ind w:left="660" w:hanging="328"/>
        <w:spacing w:after="0" w:line="283" w:lineRule="auto"/>
        <w:tabs>
          <w:tab w:leader="none" w:pos="677" w:val="left"/>
        </w:tabs>
        <w:numPr>
          <w:ilvl w:val="0"/>
          <w:numId w:val="82"/>
        </w:numPr>
        <w:rPr>
          <w:rFonts w:ascii="Arial" w:cs="Arial" w:eastAsia="Arial" w:hAnsi="Arial"/>
          <w:sz w:val="13"/>
          <w:szCs w:val="13"/>
          <w:color w:val="auto"/>
        </w:rPr>
      </w:pPr>
      <w:r>
        <w:rPr>
          <w:rFonts w:ascii="Arial" w:cs="Arial" w:eastAsia="Arial" w:hAnsi="Arial"/>
          <w:sz w:val="13"/>
          <w:szCs w:val="13"/>
          <w:color w:val="auto"/>
        </w:rPr>
        <w:t>Certain portions of this exhibit have been omitted based upon a request for confidential treatment filed with the SEC. The non-public information has been separately filed with the SEC in connection with that request.</w:t>
      </w:r>
    </w:p>
    <w:p>
      <w:pPr>
        <w:spacing w:after="0" w:line="200" w:lineRule="exact"/>
        <w:rPr>
          <w:sz w:val="20"/>
          <w:szCs w:val="20"/>
          <w:color w:val="auto"/>
        </w:rPr>
      </w:pPr>
    </w:p>
    <w:p>
      <w:pPr>
        <w:spacing w:after="0" w:line="249"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89</w:t>
      </w:r>
      <w:r>
        <w:rPr>
          <w:sz w:val="20"/>
          <w:szCs w:val="20"/>
          <w:color w:val="auto"/>
        </w:rPr>
        <w:tab/>
      </w:r>
      <w:r>
        <w:rPr>
          <w:rFonts w:ascii="Arial" w:cs="Arial" w:eastAsia="Arial" w:hAnsi="Arial"/>
          <w:sz w:val="14"/>
          <w:szCs w:val="14"/>
          <w:color w:val="auto"/>
        </w:rPr>
        <w:t>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9"/>
          <w:szCs w:val="29"/>
          <w:u w:val="single" w:color="auto"/>
          <w:color w:val="AC7E65"/>
        </w:rPr>
        <w:t>Signatures</w:t>
      </w:r>
    </w:p>
    <w:p>
      <w:pPr>
        <w:spacing w:after="0" w:line="2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2"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ABERCROMBIE &amp; FITCH CO.</w:t>
      </w:r>
    </w:p>
    <w:p>
      <w:pPr>
        <w:spacing w:after="0" w:line="86" w:lineRule="exact"/>
        <w:rPr>
          <w:sz w:val="20"/>
          <w:szCs w:val="20"/>
          <w:color w:val="auto"/>
        </w:rPr>
      </w:pPr>
    </w:p>
    <w:p>
      <w:pPr>
        <w:ind w:left="20"/>
        <w:spacing w:after="0"/>
        <w:tabs>
          <w:tab w:leader="none" w:pos="5320" w:val="left"/>
        </w:tabs>
        <w:rPr>
          <w:sz w:val="20"/>
          <w:szCs w:val="20"/>
          <w:color w:val="auto"/>
        </w:rPr>
      </w:pPr>
      <w:r>
        <w:rPr>
          <w:rFonts w:ascii="Arial" w:cs="Arial" w:eastAsia="Arial" w:hAnsi="Arial"/>
          <w:sz w:val="16"/>
          <w:szCs w:val="16"/>
          <w:color w:val="auto"/>
        </w:rPr>
        <w:t>Date: March 31, 2025</w:t>
      </w:r>
      <w:r>
        <w:rPr>
          <w:sz w:val="20"/>
          <w:szCs w:val="20"/>
          <w:color w:val="auto"/>
        </w:rPr>
        <w:tab/>
      </w:r>
      <w:r>
        <w:rPr>
          <w:rFonts w:ascii="Arial" w:cs="Arial" w:eastAsia="Arial" w:hAnsi="Arial"/>
          <w:sz w:val="15"/>
          <w:szCs w:val="15"/>
          <w:color w:val="auto"/>
        </w:rPr>
        <w:t>By: /s/ Robert J. Ball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20955</wp:posOffset>
            </wp:positionV>
            <wp:extent cx="353187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4">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26"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Robert J. Ball</w:t>
      </w:r>
    </w:p>
    <w:p>
      <w:pPr>
        <w:spacing w:after="0" w:line="26"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Senior Vice President, Chief Financial Officer</w:t>
      </w:r>
    </w:p>
    <w:p>
      <w:pPr>
        <w:ind w:left="5600"/>
        <w:spacing w:after="0"/>
        <w:rPr>
          <w:sz w:val="20"/>
          <w:szCs w:val="20"/>
          <w:color w:val="auto"/>
        </w:rPr>
      </w:pPr>
      <w:r>
        <w:rPr>
          <w:rFonts w:ascii="Arial" w:cs="Arial" w:eastAsia="Arial" w:hAnsi="Arial"/>
          <w:sz w:val="16"/>
          <w:szCs w:val="16"/>
          <w:color w:val="auto"/>
        </w:rPr>
        <w:t>(Principal Financial Officer and Authorized Officer)</w:t>
      </w:r>
    </w:p>
    <w:p>
      <w:pPr>
        <w:spacing w:after="0" w:line="178"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By: /s/ Joseph Frericks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20955</wp:posOffset>
            </wp:positionV>
            <wp:extent cx="35318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5">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26"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Joseph Frericks</w:t>
      </w:r>
    </w:p>
    <w:p>
      <w:pPr>
        <w:spacing w:after="0" w:line="26"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Group Vice President, Corporate Controller</w:t>
      </w:r>
    </w:p>
    <w:p>
      <w:pPr>
        <w:ind w:left="5600"/>
        <w:spacing w:after="0"/>
        <w:rPr>
          <w:sz w:val="20"/>
          <w:szCs w:val="20"/>
          <w:color w:val="auto"/>
        </w:rPr>
      </w:pPr>
      <w:r>
        <w:rPr>
          <w:rFonts w:ascii="Arial" w:cs="Arial" w:eastAsia="Arial" w:hAnsi="Arial"/>
          <w:sz w:val="16"/>
          <w:szCs w:val="16"/>
          <w:color w:val="auto"/>
        </w:rPr>
        <w:t>(Principal Accounting Officer)</w:t>
      </w:r>
    </w:p>
    <w:p>
      <w:pPr>
        <w:spacing w:after="0" w:line="200" w:lineRule="exact"/>
        <w:rPr>
          <w:sz w:val="20"/>
          <w:szCs w:val="20"/>
          <w:color w:val="auto"/>
        </w:rPr>
      </w:pPr>
    </w:p>
    <w:p>
      <w:pPr>
        <w:spacing w:after="0" w:line="2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indicated on March 31, 2025.</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80" w:type="dxa"/>
            <w:vAlign w:val="bottom"/>
            <w:tcBorders>
              <w:bottom w:val="single" w:sz="8" w:color="auto"/>
            </w:tcBorders>
          </w:tcPr>
          <w:p>
            <w:pPr>
              <w:ind w:left="1420"/>
              <w:spacing w:after="0"/>
              <w:rPr>
                <w:sz w:val="20"/>
                <w:szCs w:val="20"/>
                <w:color w:val="auto"/>
              </w:rPr>
            </w:pPr>
            <w:r>
              <w:rPr>
                <w:rFonts w:ascii="Arial" w:cs="Arial" w:eastAsia="Arial" w:hAnsi="Arial"/>
                <w:sz w:val="16"/>
                <w:szCs w:val="16"/>
                <w:color w:val="auto"/>
              </w:rPr>
              <w:t>*</w:t>
            </w:r>
          </w:p>
        </w:tc>
        <w:tc>
          <w:tcPr>
            <w:tcW w:w="7000" w:type="dxa"/>
            <w:vAlign w:val="bottom"/>
          </w:tcPr>
          <w:p>
            <w:pPr>
              <w:spacing w:after="0"/>
              <w:rPr>
                <w:sz w:val="18"/>
                <w:szCs w:val="18"/>
                <w:color w:val="auto"/>
              </w:rPr>
            </w:pPr>
          </w:p>
        </w:tc>
      </w:tr>
      <w:tr>
        <w:trPr>
          <w:trHeight w:val="210"/>
        </w:trPr>
        <w:tc>
          <w:tcPr>
            <w:tcW w:w="2880" w:type="dxa"/>
            <w:vAlign w:val="bottom"/>
          </w:tcPr>
          <w:p>
            <w:pPr>
              <w:ind w:left="20"/>
              <w:spacing w:after="0"/>
              <w:rPr>
                <w:sz w:val="20"/>
                <w:szCs w:val="20"/>
                <w:color w:val="auto"/>
              </w:rPr>
            </w:pPr>
            <w:r>
              <w:rPr>
                <w:rFonts w:ascii="Arial" w:cs="Arial" w:eastAsia="Arial" w:hAnsi="Arial"/>
                <w:sz w:val="16"/>
                <w:szCs w:val="16"/>
                <w:color w:val="auto"/>
              </w:rPr>
              <w:t>Nigel Travis</w:t>
            </w:r>
          </w:p>
        </w:tc>
        <w:tc>
          <w:tcPr>
            <w:tcW w:w="7000" w:type="dxa"/>
            <w:vAlign w:val="bottom"/>
          </w:tcPr>
          <w:p>
            <w:pPr>
              <w:ind w:left="120"/>
              <w:spacing w:after="0"/>
              <w:rPr>
                <w:sz w:val="20"/>
                <w:szCs w:val="20"/>
                <w:color w:val="auto"/>
              </w:rPr>
            </w:pPr>
            <w:r>
              <w:rPr>
                <w:rFonts w:ascii="Arial" w:cs="Arial" w:eastAsia="Arial" w:hAnsi="Arial"/>
                <w:sz w:val="16"/>
                <w:szCs w:val="16"/>
                <w:color w:val="auto"/>
              </w:rPr>
              <w:t>Chairperson of the Board and Director</w:t>
            </w:r>
          </w:p>
        </w:tc>
      </w:tr>
      <w:tr>
        <w:trPr>
          <w:trHeight w:val="269"/>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Fran Horowitz</w:t>
            </w:r>
          </w:p>
        </w:tc>
        <w:tc>
          <w:tcPr>
            <w:tcW w:w="7000" w:type="dxa"/>
            <w:vAlign w:val="bottom"/>
          </w:tcPr>
          <w:p>
            <w:pPr>
              <w:spacing w:after="0"/>
              <w:rPr>
                <w:sz w:val="23"/>
                <w:szCs w:val="23"/>
                <w:color w:val="auto"/>
              </w:rPr>
            </w:pPr>
          </w:p>
        </w:tc>
      </w:tr>
      <w:tr>
        <w:trPr>
          <w:trHeight w:val="210"/>
        </w:trPr>
        <w:tc>
          <w:tcPr>
            <w:tcW w:w="2880" w:type="dxa"/>
            <w:vAlign w:val="bottom"/>
          </w:tcPr>
          <w:p>
            <w:pPr>
              <w:ind w:left="20"/>
              <w:spacing w:after="0"/>
              <w:rPr>
                <w:sz w:val="20"/>
                <w:szCs w:val="20"/>
                <w:color w:val="auto"/>
              </w:rPr>
            </w:pPr>
            <w:r>
              <w:rPr>
                <w:rFonts w:ascii="Arial" w:cs="Arial" w:eastAsia="Arial" w:hAnsi="Arial"/>
                <w:sz w:val="16"/>
                <w:szCs w:val="16"/>
                <w:color w:val="auto"/>
              </w:rPr>
              <w:t>Fran Horowitz</w:t>
            </w:r>
          </w:p>
        </w:tc>
        <w:tc>
          <w:tcPr>
            <w:tcW w:w="7000" w:type="dxa"/>
            <w:vAlign w:val="bottom"/>
          </w:tcPr>
          <w:p>
            <w:pPr>
              <w:ind w:left="120"/>
              <w:spacing w:after="0"/>
              <w:rPr>
                <w:sz w:val="20"/>
                <w:szCs w:val="20"/>
                <w:color w:val="auto"/>
              </w:rPr>
            </w:pPr>
            <w:r>
              <w:rPr>
                <w:rFonts w:ascii="Arial" w:cs="Arial" w:eastAsia="Arial" w:hAnsi="Arial"/>
                <w:sz w:val="16"/>
                <w:szCs w:val="16"/>
                <w:color w:val="auto"/>
              </w:rPr>
              <w:t>Chief Executive Officer and Director (Principal Executive Officer)</w:t>
            </w:r>
          </w:p>
        </w:tc>
      </w:tr>
      <w:tr>
        <w:trPr>
          <w:trHeight w:val="215"/>
        </w:trPr>
        <w:tc>
          <w:tcPr>
            <w:tcW w:w="2880" w:type="dxa"/>
            <w:vAlign w:val="bottom"/>
            <w:tcBorders>
              <w:bottom w:val="single" w:sz="8" w:color="auto"/>
            </w:tcBorders>
          </w:tcPr>
          <w:p>
            <w:pPr>
              <w:ind w:left="1420"/>
              <w:spacing w:after="0"/>
              <w:rPr>
                <w:sz w:val="20"/>
                <w:szCs w:val="20"/>
                <w:color w:val="auto"/>
              </w:rPr>
            </w:pPr>
            <w:r>
              <w:rPr>
                <w:rFonts w:ascii="Arial" w:cs="Arial" w:eastAsia="Arial" w:hAnsi="Arial"/>
                <w:sz w:val="16"/>
                <w:szCs w:val="16"/>
                <w:color w:val="auto"/>
              </w:rPr>
              <w:t>*</w:t>
            </w:r>
          </w:p>
        </w:tc>
        <w:tc>
          <w:tcPr>
            <w:tcW w:w="7000" w:type="dxa"/>
            <w:vAlign w:val="bottom"/>
          </w:tcPr>
          <w:p>
            <w:pPr>
              <w:spacing w:after="0"/>
              <w:rPr>
                <w:sz w:val="18"/>
                <w:szCs w:val="18"/>
                <w:color w:val="auto"/>
              </w:rPr>
            </w:pPr>
          </w:p>
        </w:tc>
      </w:tr>
      <w:tr>
        <w:trPr>
          <w:trHeight w:val="210"/>
        </w:trPr>
        <w:tc>
          <w:tcPr>
            <w:tcW w:w="2880" w:type="dxa"/>
            <w:vAlign w:val="bottom"/>
          </w:tcPr>
          <w:p>
            <w:pPr>
              <w:ind w:left="20"/>
              <w:spacing w:after="0"/>
              <w:rPr>
                <w:sz w:val="20"/>
                <w:szCs w:val="20"/>
                <w:color w:val="auto"/>
              </w:rPr>
            </w:pPr>
            <w:r>
              <w:rPr>
                <w:rFonts w:ascii="Arial" w:cs="Arial" w:eastAsia="Arial" w:hAnsi="Arial"/>
                <w:sz w:val="16"/>
                <w:szCs w:val="16"/>
                <w:color w:val="auto"/>
              </w:rPr>
              <w:t>Kerrii B. Anderson</w:t>
            </w:r>
          </w:p>
        </w:tc>
        <w:tc>
          <w:tcPr>
            <w:tcW w:w="7000" w:type="dxa"/>
            <w:vAlign w:val="bottom"/>
          </w:tcPr>
          <w:p>
            <w:pPr>
              <w:ind w:left="120"/>
              <w:spacing w:after="0"/>
              <w:rPr>
                <w:sz w:val="20"/>
                <w:szCs w:val="20"/>
                <w:color w:val="auto"/>
              </w:rPr>
            </w:pPr>
            <w:r>
              <w:rPr>
                <w:rFonts w:ascii="Arial" w:cs="Arial" w:eastAsia="Arial" w:hAnsi="Arial"/>
                <w:sz w:val="16"/>
                <w:szCs w:val="16"/>
                <w:color w:val="auto"/>
              </w:rPr>
              <w:t>Director</w:t>
            </w:r>
          </w:p>
        </w:tc>
      </w:tr>
      <w:tr>
        <w:trPr>
          <w:trHeight w:val="269"/>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Robert J. Ball</w:t>
            </w:r>
          </w:p>
        </w:tc>
        <w:tc>
          <w:tcPr>
            <w:tcW w:w="7000" w:type="dxa"/>
            <w:vAlign w:val="bottom"/>
          </w:tcPr>
          <w:p>
            <w:pPr>
              <w:spacing w:after="0"/>
              <w:rPr>
                <w:sz w:val="23"/>
                <w:szCs w:val="23"/>
                <w:color w:val="auto"/>
              </w:rPr>
            </w:pPr>
          </w:p>
        </w:tc>
      </w:tr>
      <w:tr>
        <w:trPr>
          <w:trHeight w:val="210"/>
        </w:trPr>
        <w:tc>
          <w:tcPr>
            <w:tcW w:w="2880" w:type="dxa"/>
            <w:vAlign w:val="bottom"/>
          </w:tcPr>
          <w:p>
            <w:pPr>
              <w:ind w:left="20"/>
              <w:spacing w:after="0"/>
              <w:rPr>
                <w:sz w:val="20"/>
                <w:szCs w:val="20"/>
                <w:color w:val="auto"/>
              </w:rPr>
            </w:pPr>
            <w:r>
              <w:rPr>
                <w:rFonts w:ascii="Arial" w:cs="Arial" w:eastAsia="Arial" w:hAnsi="Arial"/>
                <w:sz w:val="16"/>
                <w:szCs w:val="16"/>
                <w:color w:val="auto"/>
              </w:rPr>
              <w:t>Robert J. Ball</w:t>
            </w:r>
          </w:p>
        </w:tc>
        <w:tc>
          <w:tcPr>
            <w:tcW w:w="7000" w:type="dxa"/>
            <w:vAlign w:val="bottom"/>
          </w:tcPr>
          <w:p>
            <w:pPr>
              <w:ind w:left="120"/>
              <w:spacing w:after="0"/>
              <w:rPr>
                <w:sz w:val="20"/>
                <w:szCs w:val="20"/>
                <w:color w:val="auto"/>
              </w:rPr>
            </w:pPr>
            <w:r>
              <w:rPr>
                <w:rFonts w:ascii="Arial" w:cs="Arial" w:eastAsia="Arial" w:hAnsi="Arial"/>
                <w:sz w:val="16"/>
                <w:szCs w:val="16"/>
                <w:color w:val="auto"/>
              </w:rPr>
              <w:t>Senior Vice President, Chief Financial Officer (Principal Financial Officer and Authorized Officer)</w:t>
            </w:r>
          </w:p>
        </w:tc>
      </w:tr>
      <w:tr>
        <w:trPr>
          <w:trHeight w:val="215"/>
        </w:trPr>
        <w:tc>
          <w:tcPr>
            <w:tcW w:w="2880" w:type="dxa"/>
            <w:vAlign w:val="bottom"/>
            <w:tcBorders>
              <w:bottom w:val="single" w:sz="8" w:color="auto"/>
            </w:tcBorders>
          </w:tcPr>
          <w:p>
            <w:pPr>
              <w:ind w:left="1420"/>
              <w:spacing w:after="0"/>
              <w:rPr>
                <w:sz w:val="20"/>
                <w:szCs w:val="20"/>
                <w:color w:val="auto"/>
              </w:rPr>
            </w:pPr>
            <w:r>
              <w:rPr>
                <w:rFonts w:ascii="Arial" w:cs="Arial" w:eastAsia="Arial" w:hAnsi="Arial"/>
                <w:sz w:val="16"/>
                <w:szCs w:val="16"/>
                <w:color w:val="auto"/>
              </w:rPr>
              <w:t>*</w:t>
            </w:r>
          </w:p>
        </w:tc>
        <w:tc>
          <w:tcPr>
            <w:tcW w:w="7000" w:type="dxa"/>
            <w:vAlign w:val="bottom"/>
          </w:tcPr>
          <w:p>
            <w:pPr>
              <w:spacing w:after="0"/>
              <w:rPr>
                <w:sz w:val="18"/>
                <w:szCs w:val="18"/>
                <w:color w:val="auto"/>
              </w:rPr>
            </w:pPr>
          </w:p>
        </w:tc>
      </w:tr>
      <w:tr>
        <w:trPr>
          <w:trHeight w:val="210"/>
        </w:trPr>
        <w:tc>
          <w:tcPr>
            <w:tcW w:w="2880" w:type="dxa"/>
            <w:vAlign w:val="bottom"/>
          </w:tcPr>
          <w:p>
            <w:pPr>
              <w:ind w:left="20"/>
              <w:spacing w:after="0"/>
              <w:rPr>
                <w:sz w:val="20"/>
                <w:szCs w:val="20"/>
                <w:color w:val="auto"/>
              </w:rPr>
            </w:pPr>
            <w:r>
              <w:rPr>
                <w:rFonts w:ascii="Arial" w:cs="Arial" w:eastAsia="Arial" w:hAnsi="Arial"/>
                <w:sz w:val="16"/>
                <w:szCs w:val="16"/>
                <w:color w:val="auto"/>
              </w:rPr>
              <w:t>Andrew Clarke</w:t>
            </w:r>
          </w:p>
        </w:tc>
        <w:tc>
          <w:tcPr>
            <w:tcW w:w="7000" w:type="dxa"/>
            <w:vAlign w:val="bottom"/>
          </w:tcPr>
          <w:p>
            <w:pPr>
              <w:ind w:left="120"/>
              <w:spacing w:after="0"/>
              <w:rPr>
                <w:sz w:val="20"/>
                <w:szCs w:val="20"/>
                <w:color w:val="auto"/>
              </w:rPr>
            </w:pPr>
            <w:r>
              <w:rPr>
                <w:rFonts w:ascii="Arial" w:cs="Arial" w:eastAsia="Arial" w:hAnsi="Arial"/>
                <w:sz w:val="16"/>
                <w:szCs w:val="16"/>
                <w:color w:val="auto"/>
              </w:rPr>
              <w:t>Director</w:t>
            </w:r>
          </w:p>
        </w:tc>
      </w:tr>
      <w:tr>
        <w:trPr>
          <w:trHeight w:val="215"/>
        </w:trPr>
        <w:tc>
          <w:tcPr>
            <w:tcW w:w="2880" w:type="dxa"/>
            <w:vAlign w:val="bottom"/>
            <w:tcBorders>
              <w:bottom w:val="single" w:sz="8" w:color="auto"/>
            </w:tcBorders>
          </w:tcPr>
          <w:p>
            <w:pPr>
              <w:ind w:left="1420"/>
              <w:spacing w:after="0"/>
              <w:rPr>
                <w:sz w:val="20"/>
                <w:szCs w:val="20"/>
                <w:color w:val="auto"/>
              </w:rPr>
            </w:pPr>
            <w:r>
              <w:rPr>
                <w:rFonts w:ascii="Arial" w:cs="Arial" w:eastAsia="Arial" w:hAnsi="Arial"/>
                <w:sz w:val="16"/>
                <w:szCs w:val="16"/>
                <w:color w:val="auto"/>
              </w:rPr>
              <w:t>*</w:t>
            </w:r>
          </w:p>
        </w:tc>
        <w:tc>
          <w:tcPr>
            <w:tcW w:w="7000" w:type="dxa"/>
            <w:vAlign w:val="bottom"/>
          </w:tcPr>
          <w:p>
            <w:pPr>
              <w:spacing w:after="0"/>
              <w:rPr>
                <w:sz w:val="18"/>
                <w:szCs w:val="18"/>
                <w:color w:val="auto"/>
              </w:rPr>
            </w:pPr>
          </w:p>
        </w:tc>
      </w:tr>
      <w:tr>
        <w:trPr>
          <w:trHeight w:val="210"/>
        </w:trPr>
        <w:tc>
          <w:tcPr>
            <w:tcW w:w="2880" w:type="dxa"/>
            <w:vAlign w:val="bottom"/>
          </w:tcPr>
          <w:p>
            <w:pPr>
              <w:ind w:left="20"/>
              <w:spacing w:after="0"/>
              <w:rPr>
                <w:sz w:val="20"/>
                <w:szCs w:val="20"/>
                <w:color w:val="auto"/>
              </w:rPr>
            </w:pPr>
            <w:r>
              <w:rPr>
                <w:rFonts w:ascii="Arial" w:cs="Arial" w:eastAsia="Arial" w:hAnsi="Arial"/>
                <w:sz w:val="16"/>
                <w:szCs w:val="16"/>
                <w:color w:val="auto"/>
              </w:rPr>
              <w:t>Susie Coulter</w:t>
            </w:r>
          </w:p>
        </w:tc>
        <w:tc>
          <w:tcPr>
            <w:tcW w:w="7000" w:type="dxa"/>
            <w:vAlign w:val="bottom"/>
          </w:tcPr>
          <w:p>
            <w:pPr>
              <w:ind w:left="120"/>
              <w:spacing w:after="0"/>
              <w:rPr>
                <w:sz w:val="20"/>
                <w:szCs w:val="20"/>
                <w:color w:val="auto"/>
              </w:rPr>
            </w:pPr>
            <w:r>
              <w:rPr>
                <w:rFonts w:ascii="Arial" w:cs="Arial" w:eastAsia="Arial" w:hAnsi="Arial"/>
                <w:sz w:val="16"/>
                <w:szCs w:val="16"/>
                <w:color w:val="auto"/>
              </w:rPr>
              <w:t>Director</w:t>
            </w:r>
          </w:p>
        </w:tc>
      </w:tr>
      <w:tr>
        <w:trPr>
          <w:trHeight w:val="215"/>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Joseph Frericks</w:t>
            </w:r>
          </w:p>
        </w:tc>
        <w:tc>
          <w:tcPr>
            <w:tcW w:w="7000" w:type="dxa"/>
            <w:vAlign w:val="bottom"/>
          </w:tcPr>
          <w:p>
            <w:pPr>
              <w:spacing w:after="0"/>
              <w:rPr>
                <w:sz w:val="18"/>
                <w:szCs w:val="18"/>
                <w:color w:val="auto"/>
              </w:rPr>
            </w:pPr>
          </w:p>
        </w:tc>
      </w:tr>
      <w:tr>
        <w:trPr>
          <w:trHeight w:val="210"/>
        </w:trPr>
        <w:tc>
          <w:tcPr>
            <w:tcW w:w="2880" w:type="dxa"/>
            <w:vAlign w:val="bottom"/>
          </w:tcPr>
          <w:p>
            <w:pPr>
              <w:ind w:left="20"/>
              <w:spacing w:after="0"/>
              <w:rPr>
                <w:sz w:val="20"/>
                <w:szCs w:val="20"/>
                <w:color w:val="auto"/>
              </w:rPr>
            </w:pPr>
            <w:r>
              <w:rPr>
                <w:rFonts w:ascii="Arial" w:cs="Arial" w:eastAsia="Arial" w:hAnsi="Arial"/>
                <w:sz w:val="16"/>
                <w:szCs w:val="16"/>
                <w:color w:val="auto"/>
              </w:rPr>
              <w:t>Joseph Frericks</w:t>
            </w:r>
          </w:p>
        </w:tc>
        <w:tc>
          <w:tcPr>
            <w:tcW w:w="7000" w:type="dxa"/>
            <w:vAlign w:val="bottom"/>
          </w:tcPr>
          <w:p>
            <w:pPr>
              <w:ind w:left="120"/>
              <w:spacing w:after="0"/>
              <w:rPr>
                <w:sz w:val="20"/>
                <w:szCs w:val="20"/>
                <w:color w:val="auto"/>
              </w:rPr>
            </w:pPr>
            <w:r>
              <w:rPr>
                <w:rFonts w:ascii="Arial" w:cs="Arial" w:eastAsia="Arial" w:hAnsi="Arial"/>
                <w:sz w:val="16"/>
                <w:szCs w:val="16"/>
                <w:color w:val="auto"/>
              </w:rPr>
              <w:t>Group Vice President, Corporate Controller (Principal Accounting Officer)</w:t>
            </w:r>
          </w:p>
        </w:tc>
      </w:tr>
      <w:tr>
        <w:trPr>
          <w:trHeight w:val="215"/>
        </w:trPr>
        <w:tc>
          <w:tcPr>
            <w:tcW w:w="2880" w:type="dxa"/>
            <w:vAlign w:val="bottom"/>
            <w:tcBorders>
              <w:bottom w:val="single" w:sz="8" w:color="auto"/>
            </w:tcBorders>
          </w:tcPr>
          <w:p>
            <w:pPr>
              <w:ind w:left="1420"/>
              <w:spacing w:after="0"/>
              <w:rPr>
                <w:sz w:val="20"/>
                <w:szCs w:val="20"/>
                <w:color w:val="auto"/>
              </w:rPr>
            </w:pPr>
            <w:r>
              <w:rPr>
                <w:rFonts w:ascii="Arial" w:cs="Arial" w:eastAsia="Arial" w:hAnsi="Arial"/>
                <w:sz w:val="16"/>
                <w:szCs w:val="16"/>
                <w:color w:val="auto"/>
              </w:rPr>
              <w:t>*</w:t>
            </w:r>
          </w:p>
        </w:tc>
        <w:tc>
          <w:tcPr>
            <w:tcW w:w="7000" w:type="dxa"/>
            <w:vAlign w:val="bottom"/>
          </w:tcPr>
          <w:p>
            <w:pPr>
              <w:spacing w:after="0"/>
              <w:rPr>
                <w:sz w:val="18"/>
                <w:szCs w:val="18"/>
                <w:color w:val="auto"/>
              </w:rPr>
            </w:pPr>
          </w:p>
        </w:tc>
      </w:tr>
      <w:tr>
        <w:trPr>
          <w:trHeight w:val="210"/>
        </w:trPr>
        <w:tc>
          <w:tcPr>
            <w:tcW w:w="2880" w:type="dxa"/>
            <w:vAlign w:val="bottom"/>
          </w:tcPr>
          <w:p>
            <w:pPr>
              <w:ind w:left="20"/>
              <w:spacing w:after="0"/>
              <w:rPr>
                <w:sz w:val="20"/>
                <w:szCs w:val="20"/>
                <w:color w:val="auto"/>
              </w:rPr>
            </w:pPr>
            <w:r>
              <w:rPr>
                <w:rFonts w:ascii="Arial" w:cs="Arial" w:eastAsia="Arial" w:hAnsi="Arial"/>
                <w:sz w:val="16"/>
                <w:szCs w:val="16"/>
                <w:color w:val="auto"/>
              </w:rPr>
              <w:t>James A. Goldman</w:t>
            </w:r>
          </w:p>
        </w:tc>
        <w:tc>
          <w:tcPr>
            <w:tcW w:w="7000" w:type="dxa"/>
            <w:vAlign w:val="bottom"/>
          </w:tcPr>
          <w:p>
            <w:pPr>
              <w:ind w:left="120"/>
              <w:spacing w:after="0"/>
              <w:rPr>
                <w:sz w:val="20"/>
                <w:szCs w:val="20"/>
                <w:color w:val="auto"/>
              </w:rPr>
            </w:pPr>
            <w:r>
              <w:rPr>
                <w:rFonts w:ascii="Arial" w:cs="Arial" w:eastAsia="Arial" w:hAnsi="Arial"/>
                <w:sz w:val="16"/>
                <w:szCs w:val="16"/>
                <w:color w:val="auto"/>
              </w:rPr>
              <w:t>Director</w:t>
            </w:r>
          </w:p>
        </w:tc>
      </w:tr>
      <w:tr>
        <w:trPr>
          <w:trHeight w:val="215"/>
        </w:trPr>
        <w:tc>
          <w:tcPr>
            <w:tcW w:w="2880" w:type="dxa"/>
            <w:vAlign w:val="bottom"/>
            <w:tcBorders>
              <w:bottom w:val="single" w:sz="8" w:color="auto"/>
            </w:tcBorders>
          </w:tcPr>
          <w:p>
            <w:pPr>
              <w:ind w:left="1420"/>
              <w:spacing w:after="0"/>
              <w:rPr>
                <w:sz w:val="20"/>
                <w:szCs w:val="20"/>
                <w:color w:val="auto"/>
              </w:rPr>
            </w:pPr>
            <w:r>
              <w:rPr>
                <w:rFonts w:ascii="Arial" w:cs="Arial" w:eastAsia="Arial" w:hAnsi="Arial"/>
                <w:sz w:val="16"/>
                <w:szCs w:val="16"/>
                <w:color w:val="auto"/>
              </w:rPr>
              <w:t>*</w:t>
            </w:r>
          </w:p>
        </w:tc>
        <w:tc>
          <w:tcPr>
            <w:tcW w:w="7000" w:type="dxa"/>
            <w:vAlign w:val="bottom"/>
          </w:tcPr>
          <w:p>
            <w:pPr>
              <w:spacing w:after="0"/>
              <w:rPr>
                <w:sz w:val="18"/>
                <w:szCs w:val="18"/>
                <w:color w:val="auto"/>
              </w:rPr>
            </w:pPr>
          </w:p>
        </w:tc>
      </w:tr>
      <w:tr>
        <w:trPr>
          <w:trHeight w:val="210"/>
        </w:trPr>
        <w:tc>
          <w:tcPr>
            <w:tcW w:w="2880" w:type="dxa"/>
            <w:vAlign w:val="bottom"/>
          </w:tcPr>
          <w:p>
            <w:pPr>
              <w:ind w:left="20"/>
              <w:spacing w:after="0"/>
              <w:rPr>
                <w:sz w:val="20"/>
                <w:szCs w:val="20"/>
                <w:color w:val="auto"/>
              </w:rPr>
            </w:pPr>
            <w:r>
              <w:rPr>
                <w:rFonts w:ascii="Arial" w:cs="Arial" w:eastAsia="Arial" w:hAnsi="Arial"/>
                <w:sz w:val="16"/>
                <w:szCs w:val="16"/>
                <w:color w:val="auto"/>
              </w:rPr>
              <w:t>Helen E. McCluskey</w:t>
            </w:r>
          </w:p>
        </w:tc>
        <w:tc>
          <w:tcPr>
            <w:tcW w:w="7000" w:type="dxa"/>
            <w:vAlign w:val="bottom"/>
          </w:tcPr>
          <w:p>
            <w:pPr>
              <w:ind w:left="120"/>
              <w:spacing w:after="0"/>
              <w:rPr>
                <w:sz w:val="20"/>
                <w:szCs w:val="20"/>
                <w:color w:val="auto"/>
              </w:rPr>
            </w:pPr>
            <w:r>
              <w:rPr>
                <w:rFonts w:ascii="Arial" w:cs="Arial" w:eastAsia="Arial" w:hAnsi="Arial"/>
                <w:sz w:val="16"/>
                <w:szCs w:val="16"/>
                <w:color w:val="auto"/>
              </w:rPr>
              <w:t>Director</w:t>
            </w:r>
          </w:p>
        </w:tc>
      </w:tr>
      <w:tr>
        <w:trPr>
          <w:trHeight w:val="215"/>
        </w:trPr>
        <w:tc>
          <w:tcPr>
            <w:tcW w:w="2880" w:type="dxa"/>
            <w:vAlign w:val="bottom"/>
            <w:tcBorders>
              <w:bottom w:val="single" w:sz="8" w:color="auto"/>
            </w:tcBorders>
          </w:tcPr>
          <w:p>
            <w:pPr>
              <w:ind w:left="1420"/>
              <w:spacing w:after="0"/>
              <w:rPr>
                <w:sz w:val="20"/>
                <w:szCs w:val="20"/>
                <w:color w:val="auto"/>
              </w:rPr>
            </w:pPr>
            <w:r>
              <w:rPr>
                <w:rFonts w:ascii="Arial" w:cs="Arial" w:eastAsia="Arial" w:hAnsi="Arial"/>
                <w:sz w:val="16"/>
                <w:szCs w:val="16"/>
                <w:color w:val="auto"/>
              </w:rPr>
              <w:t>*</w:t>
            </w:r>
          </w:p>
        </w:tc>
        <w:tc>
          <w:tcPr>
            <w:tcW w:w="7000" w:type="dxa"/>
            <w:vAlign w:val="bottom"/>
          </w:tcPr>
          <w:p>
            <w:pPr>
              <w:spacing w:after="0"/>
              <w:rPr>
                <w:sz w:val="18"/>
                <w:szCs w:val="18"/>
                <w:color w:val="auto"/>
              </w:rPr>
            </w:pPr>
          </w:p>
        </w:tc>
      </w:tr>
      <w:tr>
        <w:trPr>
          <w:trHeight w:val="210"/>
        </w:trPr>
        <w:tc>
          <w:tcPr>
            <w:tcW w:w="2880" w:type="dxa"/>
            <w:vAlign w:val="bottom"/>
          </w:tcPr>
          <w:p>
            <w:pPr>
              <w:ind w:left="20"/>
              <w:spacing w:after="0"/>
              <w:rPr>
                <w:sz w:val="20"/>
                <w:szCs w:val="20"/>
                <w:color w:val="auto"/>
              </w:rPr>
            </w:pPr>
            <w:r>
              <w:rPr>
                <w:rFonts w:ascii="Arial" w:cs="Arial" w:eastAsia="Arial" w:hAnsi="Arial"/>
                <w:sz w:val="16"/>
                <w:szCs w:val="16"/>
                <w:color w:val="auto"/>
              </w:rPr>
              <w:t>Arturo Nuñez</w:t>
            </w:r>
          </w:p>
        </w:tc>
        <w:tc>
          <w:tcPr>
            <w:tcW w:w="7000" w:type="dxa"/>
            <w:vAlign w:val="bottom"/>
          </w:tcPr>
          <w:p>
            <w:pPr>
              <w:ind w:left="120"/>
              <w:spacing w:after="0"/>
              <w:rPr>
                <w:sz w:val="20"/>
                <w:szCs w:val="20"/>
                <w:color w:val="auto"/>
              </w:rPr>
            </w:pPr>
            <w:r>
              <w:rPr>
                <w:rFonts w:ascii="Arial" w:cs="Arial" w:eastAsia="Arial" w:hAnsi="Arial"/>
                <w:sz w:val="16"/>
                <w:szCs w:val="16"/>
                <w:color w:val="auto"/>
              </w:rPr>
              <w:t>Director</w:t>
            </w:r>
          </w:p>
        </w:tc>
      </w:tr>
      <w:tr>
        <w:trPr>
          <w:trHeight w:val="215"/>
        </w:trPr>
        <w:tc>
          <w:tcPr>
            <w:tcW w:w="2880" w:type="dxa"/>
            <w:vAlign w:val="bottom"/>
            <w:tcBorders>
              <w:bottom w:val="single" w:sz="8" w:color="auto"/>
            </w:tcBorders>
          </w:tcPr>
          <w:p>
            <w:pPr>
              <w:ind w:left="1420"/>
              <w:spacing w:after="0"/>
              <w:rPr>
                <w:sz w:val="20"/>
                <w:szCs w:val="20"/>
                <w:color w:val="auto"/>
              </w:rPr>
            </w:pPr>
            <w:r>
              <w:rPr>
                <w:rFonts w:ascii="Arial" w:cs="Arial" w:eastAsia="Arial" w:hAnsi="Arial"/>
                <w:sz w:val="16"/>
                <w:szCs w:val="16"/>
                <w:color w:val="auto"/>
              </w:rPr>
              <w:t>*</w:t>
            </w:r>
          </w:p>
        </w:tc>
        <w:tc>
          <w:tcPr>
            <w:tcW w:w="7000" w:type="dxa"/>
            <w:vAlign w:val="bottom"/>
          </w:tcPr>
          <w:p>
            <w:pPr>
              <w:spacing w:after="0"/>
              <w:rPr>
                <w:sz w:val="18"/>
                <w:szCs w:val="18"/>
                <w:color w:val="auto"/>
              </w:rPr>
            </w:pPr>
          </w:p>
        </w:tc>
      </w:tr>
      <w:tr>
        <w:trPr>
          <w:trHeight w:val="210"/>
        </w:trPr>
        <w:tc>
          <w:tcPr>
            <w:tcW w:w="2880" w:type="dxa"/>
            <w:vAlign w:val="bottom"/>
          </w:tcPr>
          <w:p>
            <w:pPr>
              <w:ind w:left="20"/>
              <w:spacing w:after="0"/>
              <w:rPr>
                <w:sz w:val="20"/>
                <w:szCs w:val="20"/>
                <w:color w:val="auto"/>
              </w:rPr>
            </w:pPr>
            <w:r>
              <w:rPr>
                <w:rFonts w:ascii="Arial" w:cs="Arial" w:eastAsia="Arial" w:hAnsi="Arial"/>
                <w:sz w:val="16"/>
                <w:szCs w:val="16"/>
                <w:color w:val="auto"/>
              </w:rPr>
              <w:t>Kenneth B. Robinson</w:t>
            </w:r>
          </w:p>
        </w:tc>
        <w:tc>
          <w:tcPr>
            <w:tcW w:w="7000" w:type="dxa"/>
            <w:vAlign w:val="bottom"/>
          </w:tcPr>
          <w:p>
            <w:pPr>
              <w:ind w:left="120"/>
              <w:spacing w:after="0"/>
              <w:rPr>
                <w:sz w:val="20"/>
                <w:szCs w:val="20"/>
                <w:color w:val="auto"/>
              </w:rPr>
            </w:pPr>
            <w:r>
              <w:rPr>
                <w:rFonts w:ascii="Arial" w:cs="Arial" w:eastAsia="Arial" w:hAnsi="Arial"/>
                <w:sz w:val="16"/>
                <w:szCs w:val="16"/>
                <w:color w:val="auto"/>
              </w:rPr>
              <w:t>Director</w:t>
            </w:r>
          </w:p>
        </w:tc>
      </w:tr>
      <w:tr>
        <w:trPr>
          <w:trHeight w:val="215"/>
        </w:trPr>
        <w:tc>
          <w:tcPr>
            <w:tcW w:w="2880" w:type="dxa"/>
            <w:vAlign w:val="bottom"/>
            <w:tcBorders>
              <w:bottom w:val="single" w:sz="8" w:color="auto"/>
            </w:tcBorders>
          </w:tcPr>
          <w:p>
            <w:pPr>
              <w:ind w:left="1420"/>
              <w:spacing w:after="0"/>
              <w:rPr>
                <w:sz w:val="20"/>
                <w:szCs w:val="20"/>
                <w:color w:val="auto"/>
              </w:rPr>
            </w:pPr>
            <w:r>
              <w:rPr>
                <w:rFonts w:ascii="Arial" w:cs="Arial" w:eastAsia="Arial" w:hAnsi="Arial"/>
                <w:sz w:val="16"/>
                <w:szCs w:val="16"/>
                <w:color w:val="auto"/>
              </w:rPr>
              <w:t>*</w:t>
            </w:r>
          </w:p>
        </w:tc>
        <w:tc>
          <w:tcPr>
            <w:tcW w:w="7000" w:type="dxa"/>
            <w:vAlign w:val="bottom"/>
          </w:tcPr>
          <w:p>
            <w:pPr>
              <w:spacing w:after="0"/>
              <w:rPr>
                <w:sz w:val="18"/>
                <w:szCs w:val="18"/>
                <w:color w:val="auto"/>
              </w:rPr>
            </w:pPr>
          </w:p>
        </w:tc>
      </w:tr>
      <w:tr>
        <w:trPr>
          <w:trHeight w:val="210"/>
        </w:trPr>
        <w:tc>
          <w:tcPr>
            <w:tcW w:w="2880" w:type="dxa"/>
            <w:vAlign w:val="bottom"/>
          </w:tcPr>
          <w:p>
            <w:pPr>
              <w:ind w:left="20"/>
              <w:spacing w:after="0"/>
              <w:rPr>
                <w:sz w:val="20"/>
                <w:szCs w:val="20"/>
                <w:color w:val="auto"/>
              </w:rPr>
            </w:pPr>
            <w:r>
              <w:rPr>
                <w:rFonts w:ascii="Arial" w:cs="Arial" w:eastAsia="Arial" w:hAnsi="Arial"/>
                <w:sz w:val="16"/>
                <w:szCs w:val="16"/>
                <w:color w:val="auto"/>
              </w:rPr>
              <w:t>Helen Vaid</w:t>
            </w:r>
          </w:p>
        </w:tc>
        <w:tc>
          <w:tcPr>
            <w:tcW w:w="7000" w:type="dxa"/>
            <w:vAlign w:val="bottom"/>
          </w:tcPr>
          <w:p>
            <w:pPr>
              <w:ind w:left="120"/>
              <w:spacing w:after="0"/>
              <w:rPr>
                <w:sz w:val="20"/>
                <w:szCs w:val="20"/>
                <w:color w:val="auto"/>
              </w:rPr>
            </w:pPr>
            <w:r>
              <w:rPr>
                <w:rFonts w:ascii="Arial" w:cs="Arial" w:eastAsia="Arial" w:hAnsi="Arial"/>
                <w:sz w:val="16"/>
                <w:szCs w:val="16"/>
                <w:color w:val="auto"/>
              </w:rPr>
              <w:t>Director</w:t>
            </w:r>
          </w:p>
        </w:tc>
      </w:tr>
    </w:tbl>
    <w:p>
      <w:pPr>
        <w:spacing w:after="0" w:line="3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undersigned, by signing his name hereto, does hereby sign this Annual Report on Form 10-K on behalf of each of the above-named directors of the Registrant pursuant to powers of attorney executed by such directors, which powers of attorney are filed with this Annual Report on Form 10-K as Exhibit 24.1</w:t>
      </w:r>
    </w:p>
    <w:p>
      <w:pPr>
        <w:spacing w:after="0" w:line="275" w:lineRule="exact"/>
        <w:rPr>
          <w:sz w:val="20"/>
          <w:szCs w:val="20"/>
          <w:color w:val="auto"/>
        </w:rPr>
      </w:pPr>
    </w:p>
    <w:p>
      <w:pPr>
        <w:ind w:left="840"/>
        <w:spacing w:after="0"/>
        <w:tabs>
          <w:tab w:leader="none" w:pos="1200" w:val="left"/>
        </w:tabs>
        <w:rPr>
          <w:sz w:val="20"/>
          <w:szCs w:val="20"/>
          <w:color w:val="auto"/>
        </w:rPr>
      </w:pPr>
      <w:r>
        <w:rPr>
          <w:rFonts w:ascii="Arial" w:cs="Arial" w:eastAsia="Arial" w:hAnsi="Arial"/>
          <w:sz w:val="16"/>
          <w:szCs w:val="16"/>
          <w:color w:val="auto"/>
        </w:rPr>
        <w:t>By:</w:t>
        <w:tab/>
        <w:t>/s/ Robert J. Ball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20955</wp:posOffset>
            </wp:positionV>
            <wp:extent cx="635190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6">
                      <a:extLst>
                        <a:ext uri="{28A0092B-C50C-407E-A947-70E740481C1C}"/>
                      </a:extLst>
                    </a:blip>
                    <a:srcRect/>
                    <a:stretch>
                      <a:fillRect/>
                    </a:stretch>
                  </pic:blipFill>
                  <pic:spPr bwMode="auto">
                    <a:xfrm>
                      <a:off x="0" y="0"/>
                      <a:ext cx="6351905" cy="8255"/>
                    </a:xfrm>
                    <a:prstGeom prst="rect">
                      <a:avLst/>
                    </a:prstGeom>
                    <a:noFill/>
                  </pic:spPr>
                </pic:pic>
              </a:graphicData>
            </a:graphic>
          </wp:anchor>
        </w:drawing>
      </w:r>
    </w:p>
    <w:p>
      <w:pPr>
        <w:spacing w:after="0" w:line="26"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Robert J. Ball</w:t>
      </w:r>
    </w:p>
    <w:p>
      <w:pPr>
        <w:spacing w:after="0" w:line="32"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Attorney-in-fact</w:t>
      </w:r>
    </w:p>
    <w:p>
      <w:pPr>
        <w:spacing w:after="0" w:line="200" w:lineRule="exact"/>
        <w:rPr>
          <w:sz w:val="20"/>
          <w:szCs w:val="20"/>
          <w:color w:val="auto"/>
        </w:rPr>
      </w:pPr>
    </w:p>
    <w:p>
      <w:pPr>
        <w:spacing w:after="0" w:line="390" w:lineRule="exact"/>
        <w:rPr>
          <w:sz w:val="20"/>
          <w:szCs w:val="20"/>
          <w:color w:val="auto"/>
        </w:rPr>
      </w:pPr>
    </w:p>
    <w:p>
      <w:pPr>
        <w:ind w:left="720"/>
        <w:spacing w:after="0"/>
        <w:tabs>
          <w:tab w:leader="none" w:pos="5520" w:val="left"/>
          <w:tab w:leader="none" w:pos="9460" w:val="left"/>
        </w:tabs>
        <w:rPr>
          <w:sz w:val="20"/>
          <w:szCs w:val="20"/>
          <w:color w:val="auto"/>
        </w:rPr>
      </w:pPr>
      <w:r>
        <w:rPr>
          <w:rFonts w:ascii="Arial" w:cs="Arial" w:eastAsia="Arial" w:hAnsi="Arial"/>
          <w:sz w:val="14"/>
          <w:szCs w:val="14"/>
          <w:color w:val="auto"/>
        </w:rPr>
        <w:t>Abercrombie &amp; Fitch Co.</w:t>
      </w:r>
      <w:r>
        <w:rPr>
          <w:sz w:val="20"/>
          <w:szCs w:val="20"/>
          <w:color w:val="auto"/>
        </w:rPr>
        <w:tab/>
      </w:r>
      <w:r>
        <w:rPr>
          <w:rFonts w:ascii="Arial" w:cs="Arial" w:eastAsia="Arial" w:hAnsi="Arial"/>
          <w:sz w:val="14"/>
          <w:szCs w:val="14"/>
          <w:color w:val="auto"/>
        </w:rPr>
        <w:t>90</w:t>
      </w:r>
      <w:r>
        <w:rPr>
          <w:sz w:val="20"/>
          <w:szCs w:val="20"/>
          <w:color w:val="auto"/>
        </w:rPr>
        <w:tab/>
      </w:r>
      <w:r>
        <w:rPr>
          <w:rFonts w:ascii="Arial" w:cs="Arial" w:eastAsia="Arial" w:hAnsi="Arial"/>
          <w:sz w:val="14"/>
          <w:szCs w:val="14"/>
          <w:color w:val="auto"/>
        </w:rPr>
        <w:t>2024 Form 10-K</w:t>
      </w:r>
    </w:p>
    <w:p>
      <w:pPr>
        <w:sectPr>
          <w:pgSz w:w="11900" w:h="16838" w:orient="portrait"/>
          <w:cols w:equalWidth="0" w:num="1">
            <w:col w:w="11240"/>
          </w:cols>
          <w:pgMar w:left="320" w:top="125"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6"/>
          <w:szCs w:val="16"/>
          <w:color w:val="auto"/>
        </w:rPr>
        <w:t>Exhibit 4.1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Abercrombie &amp; Fitch Co.</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6301 Fitch Path</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New Albany, Ohio 43054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(614) 283-6500</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March 31, 2025</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United States Securities and Exchange Commission</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Washington, D.C. 20549</w:t>
      </w:r>
    </w:p>
    <w:p>
      <w:pPr>
        <w:spacing w:after="0" w:line="232" w:lineRule="exact"/>
        <w:rPr>
          <w:sz w:val="20"/>
          <w:szCs w:val="20"/>
          <w:color w:val="auto"/>
        </w:rPr>
      </w:pPr>
    </w:p>
    <w:p>
      <w:pPr>
        <w:spacing w:after="0"/>
        <w:tabs>
          <w:tab w:leader="none" w:pos="460" w:val="left"/>
        </w:tabs>
        <w:rPr>
          <w:sz w:val="20"/>
          <w:szCs w:val="20"/>
          <w:color w:val="auto"/>
        </w:rPr>
      </w:pPr>
      <w:r>
        <w:rPr>
          <w:rFonts w:ascii="Arial" w:cs="Arial" w:eastAsia="Arial" w:hAnsi="Arial"/>
          <w:sz w:val="16"/>
          <w:szCs w:val="16"/>
          <w:color w:val="auto"/>
        </w:rPr>
        <w:t>Re:</w:t>
        <w:tab/>
        <w:t>Abercrombie &amp; Fitch Co.</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Commission File Number: 001-12107</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Annual Report on Form 10-K for the Fiscal Year Ended February 1, 2025</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Ladies and Gentlemen:</w:t>
      </w:r>
    </w:p>
    <w:p>
      <w:pPr>
        <w:spacing w:after="0" w:line="26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Abercrombie &amp; Fitch Co., a Delaware corporation (“A&amp;F”), is today filing with the Securities and Exchange Commission (the “SEC”) the Annual Report on Form 10-K of A&amp;F for the fiscal year ended February 1, 2025 (“A&amp;F’s Fiscal 2024 Form 10-K”).</w:t>
      </w:r>
    </w:p>
    <w:p>
      <w:pPr>
        <w:spacing w:after="0" w:line="19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Neither (i) A&amp;F nor (ii) any of A&amp;F’s consolidated subsidiaries has outstanding any instrument or agreement with respect to its long-term debt, other than those filed or incorporated by reference as an exhibit to A&amp;F’s Fiscal 2024 Form 10-K, under which the total amount of long-term debt authorized exceeds 10% of the total assets of A&amp;F and A&amp;F’s subsidiaries on a consolidated basis. In accordance with the provisions of Item 601(b)(4)(iii) of SEC Regulation S-K, A&amp;F hereby agrees to furnish to the SEC, upon request, a copy of each instrument or agreement defining (i) the rights of holders of long-term debt of A&amp;F or (ii) the rights of holders of long-term debt of a consolidated subsidiary of A&amp;F, in each case which is not being filed or incorporated by reference as an exhibit to A&amp;F’s Fiscal 2024 Form 10-K.</w:t>
      </w:r>
    </w:p>
    <w:p>
      <w:pPr>
        <w:spacing w:after="0" w:line="338"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Very truly yours,</w:t>
      </w:r>
    </w:p>
    <w:p>
      <w:pPr>
        <w:spacing w:after="0" w:line="289"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ABERCROMBIE &amp; FITCH CO.</w:t>
      </w:r>
    </w:p>
    <w:p>
      <w:pPr>
        <w:spacing w:after="0" w:line="289"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/s/ Robert J. Ball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20955</wp:posOffset>
            </wp:positionV>
            <wp:extent cx="342074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7">
                      <a:extLst>
                        <a:ext uri="{28A0092B-C50C-407E-A947-70E740481C1C}"/>
                      </a:extLst>
                    </a:blip>
                    <a:srcRect/>
                    <a:stretch>
                      <a:fillRect/>
                    </a:stretch>
                  </pic:blipFill>
                  <pic:spPr bwMode="auto">
                    <a:xfrm>
                      <a:off x="0" y="0"/>
                      <a:ext cx="3420745" cy="8255"/>
                    </a:xfrm>
                    <a:prstGeom prst="rect">
                      <a:avLst/>
                    </a:prstGeom>
                    <a:noFill/>
                  </pic:spPr>
                </pic:pic>
              </a:graphicData>
            </a:graphic>
          </wp:anchor>
        </w:drawing>
      </w:r>
    </w:p>
    <w:p>
      <w:pPr>
        <w:spacing w:after="0" w:line="20"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Robert J. Ball</w:t>
      </w:r>
    </w:p>
    <w:p>
      <w:pPr>
        <w:ind w:left="5840"/>
        <w:spacing w:after="0" w:line="211" w:lineRule="auto"/>
        <w:rPr>
          <w:sz w:val="20"/>
          <w:szCs w:val="20"/>
          <w:color w:val="auto"/>
        </w:rPr>
      </w:pPr>
      <w:r>
        <w:rPr>
          <w:rFonts w:ascii="Arial" w:cs="Arial" w:eastAsia="Arial" w:hAnsi="Arial"/>
          <w:sz w:val="16"/>
          <w:szCs w:val="16"/>
          <w:color w:val="auto"/>
        </w:rPr>
        <w:t>Senior Vice President and Chief Financial Officer</w:t>
      </w:r>
    </w:p>
    <w:p>
      <w:pPr>
        <w:ind w:left="5840"/>
        <w:spacing w:after="0"/>
        <w:rPr>
          <w:sz w:val="20"/>
          <w:szCs w:val="20"/>
          <w:color w:val="auto"/>
        </w:rPr>
      </w:pPr>
      <w:r>
        <w:rPr>
          <w:rFonts w:ascii="Arial" w:cs="Arial" w:eastAsia="Arial" w:hAnsi="Arial"/>
          <w:sz w:val="16"/>
          <w:szCs w:val="16"/>
          <w:color w:val="auto"/>
        </w:rPr>
        <w:t>(Principal Financial Officer and Authorized Officer)</w:t>
      </w:r>
    </w:p>
    <w:p>
      <w:pPr>
        <w:sectPr>
          <w:pgSz w:w="11900" w:h="16838" w:orient="portrait"/>
          <w:cols w:equalWidth="0" w:num="1">
            <w:col w:w="11240"/>
          </w:cols>
          <w:pgMar w:left="320" w:top="895"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10.41</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RESTRICTED STOCK UNIT AWARD AGREEMENT</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(2016 Long-Term Incentive Plan for Associates)</w:t>
      </w:r>
    </w:p>
    <w:p>
      <w:pPr>
        <w:spacing w:after="0" w:line="22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This RESTRICTED STOCK UNIT AWARD AGREEMENT (this “AGREEMENT”) is made to be effective as of [Grant Date] (the date on which the COMMITTEE (as defined below) approves the award, referred to as the “GRANT DATE”), by and between Abercrombie &amp; Fitch Co., a Delaware corporation (the “COMPANY”), and [Participant Name], an employee of the COMPANY or one of the COMPANY’s subsidiaries or affiliates (“PARTICIPANT”).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WITNESSETH</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WHEREAS, pursuant to the provisions of the 2016 Long-Term Incentive Plan for Associates of the COMPANY (the “PLAN”), the Compensation and Human Capital Committee (the “COMMITTEE”) of the Board of Directors of the COMPANY (the “BOARD”) administers the PLAN; and</w:t>
      </w:r>
    </w:p>
    <w:p>
      <w:pPr>
        <w:spacing w:after="0" w:line="1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the COMMITTEE has determined that PARTICIPANT should be granted rights to receive [Shares Granted] shares of Class A Common Stock, $0.01 par value, of the COMPANY (such rights, the “RESTRICTED STOCK UNITS”), subject to the restrictions, conditions and other terms set forth in this AGREEMENT;</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NOW, THEREFORE, in consideration of the premises, the parties hereto make the following agreement, intending to be legally bound thereby:</w:t>
      </w:r>
    </w:p>
    <w:p>
      <w:pPr>
        <w:spacing w:after="0" w:line="144" w:lineRule="exact"/>
        <w:rPr>
          <w:sz w:val="20"/>
          <w:szCs w:val="20"/>
          <w:color w:val="auto"/>
        </w:rPr>
      </w:pPr>
    </w:p>
    <w:p>
      <w:pPr>
        <w:jc w:val="both"/>
        <w:ind w:firstLine="656"/>
        <w:spacing w:after="0" w:line="251" w:lineRule="auto"/>
        <w:tabs>
          <w:tab w:leader="none" w:pos="1147"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RESTRICTED STOCK UNITS</w:t>
      </w:r>
      <w:r>
        <w:rPr>
          <w:rFonts w:ascii="Times New Roman" w:cs="Times New Roman" w:eastAsia="Times New Roman" w:hAnsi="Times New Roman"/>
          <w:sz w:val="22"/>
          <w:szCs w:val="22"/>
          <w:color w:val="auto"/>
        </w:rPr>
        <w:t>. Pursuant to, and subject to, the terms and conditions set forth in this AGREEMENT and in the PLAN, the COMPANY hereby grants to PARTICIPANT [Shares Granted] RESTRICTED STOCK UNITS of the COMPANY (subject to adjustment as provided in Section 11(c) of the PLAN and Section 5(F) of this AGREEMENT, if applicable). Each RESTRICTED STOCK UNIT shall represent the right to receive one issued and outstanding share of Class A Common Stock, $0.01 par value (the “SHARES”), of the COMPANY, but shall be subject to the restrictions, conditions and other terms set forth in this AGREEMENT.</w:t>
      </w:r>
    </w:p>
    <w:p>
      <w:pPr>
        <w:spacing w:after="0" w:line="181"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Terms and Conditions of the RESTRICTED STOCK UNITS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63" w:lineRule="auto"/>
        <w:tabs>
          <w:tab w:leader="none" w:pos="1866"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PERIOD</w:t>
      </w:r>
      <w:r>
        <w:rPr>
          <w:rFonts w:ascii="Times New Roman" w:cs="Times New Roman" w:eastAsia="Times New Roman" w:hAnsi="Times New Roman"/>
          <w:sz w:val="22"/>
          <w:szCs w:val="22"/>
          <w:color w:val="auto"/>
        </w:rPr>
        <w:t>. Except as provided under Sections 3 and 4 of this AGREEMENT, the period of restriction (the “RESTRICTED PERIOD”), after which the RESTRICTED STOCK UNITS shall become vested and no longer be subject to forfeiture to the COMPANY shall lapse according to the following schedule:</w:t>
      </w:r>
    </w:p>
    <w:p>
      <w:pPr>
        <w:spacing w:after="0" w:line="163" w:lineRule="exact"/>
        <w:rPr>
          <w:rFonts w:ascii="Times New Roman" w:cs="Times New Roman" w:eastAsia="Times New Roman" w:hAnsi="Times New Roman"/>
          <w:sz w:val="22"/>
          <w:szCs w:val="22"/>
          <w:color w:val="auto"/>
        </w:rPr>
      </w:pPr>
    </w:p>
    <w:p>
      <w:pPr>
        <w:jc w:val="both"/>
        <w:ind w:firstLine="1952"/>
        <w:spacing w:after="0" w:line="259" w:lineRule="auto"/>
        <w:tabs>
          <w:tab w:leader="none" w:pos="2403" w:val="left"/>
        </w:tabs>
        <w:numPr>
          <w:ilvl w:val="2"/>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RESTRICTED PERIOD shall lapse as to </w:t>
      </w:r>
      <w:r>
        <w:rPr>
          <w:rFonts w:ascii="Times New Roman" w:cs="Times New Roman" w:eastAsia="Times New Roman" w:hAnsi="Times New Roman"/>
          <w:sz w:val="22"/>
          <w:szCs w:val="22"/>
          <w:b w:val="1"/>
          <w:bCs w:val="1"/>
          <w:color w:val="auto"/>
        </w:rPr>
        <w:t>25%</w:t>
      </w:r>
      <w:r>
        <w:rPr>
          <w:rFonts w:ascii="Times New Roman" w:cs="Times New Roman" w:eastAsia="Times New Roman" w:hAnsi="Times New Roman"/>
          <w:sz w:val="22"/>
          <w:szCs w:val="22"/>
          <w:color w:val="auto"/>
        </w:rPr>
        <w:t xml:space="preserve"> of the RESTRICTED STOCK UNITS (subject to adjustment as provided in Section 11(c) of the PLAN), and such RESTRICTED STOCK UNITS shall become vested, on the first anniversary</w:t>
      </w:r>
    </w:p>
    <w:p>
      <w:pPr>
        <w:sectPr>
          <w:pgSz w:w="11900" w:h="16838" w:orient="portrait"/>
          <w:cols w:equalWidth="0" w:num="1">
            <w:col w:w="11240"/>
          </w:cols>
          <w:pgMar w:left="320" w:top="1413" w:right="339" w:bottom="1440" w:gutter="0" w:footer="0" w:header="0"/>
        </w:sectPr>
      </w:pPr>
    </w:p>
    <w:bookmarkStart w:id="92" w:name="page93"/>
    <w:bookmarkEnd w:id="92"/>
    <w:p>
      <w:pPr>
        <w:jc w:val="both"/>
        <w:spacing w:after="0" w:line="257" w:lineRule="auto"/>
        <w:rPr>
          <w:sz w:val="20"/>
          <w:szCs w:val="20"/>
          <w:color w:val="auto"/>
        </w:rPr>
      </w:pPr>
      <w:r>
        <w:rPr>
          <w:rFonts w:ascii="Times New Roman" w:cs="Times New Roman" w:eastAsia="Times New Roman" w:hAnsi="Times New Roman"/>
          <w:sz w:val="22"/>
          <w:szCs w:val="22"/>
          <w:color w:val="auto"/>
        </w:rPr>
        <w:t>of the date which is approved by the COMMITTEE and then recorded and communicated through the System of Record and which shall not be earlier than the GRANT DATE (hereinafter referred to as the “VESTING DATE”), provided PARTICIPANT is employed by the COMPANY or a subsidiary or affiliate of the COMPANY on such date;</w:t>
      </w:r>
    </w:p>
    <w:p>
      <w:pPr>
        <w:spacing w:after="0" w:line="182" w:lineRule="exact"/>
        <w:rPr>
          <w:sz w:val="20"/>
          <w:szCs w:val="20"/>
          <w:color w:val="auto"/>
        </w:rPr>
      </w:pPr>
    </w:p>
    <w:p>
      <w:pPr>
        <w:jc w:val="both"/>
        <w:ind w:firstLine="1952"/>
        <w:spacing w:after="0" w:line="253" w:lineRule="auto"/>
        <w:tabs>
          <w:tab w:leader="none" w:pos="2448"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RESTRICTED PERIOD shall lapse as to </w:t>
      </w:r>
      <w:r>
        <w:rPr>
          <w:rFonts w:ascii="Times New Roman" w:cs="Times New Roman" w:eastAsia="Times New Roman" w:hAnsi="Times New Roman"/>
          <w:sz w:val="22"/>
          <w:szCs w:val="22"/>
          <w:b w:val="1"/>
          <w:bCs w:val="1"/>
          <w:color w:val="auto"/>
        </w:rPr>
        <w:t>25%</w:t>
      </w:r>
      <w:r>
        <w:rPr>
          <w:rFonts w:ascii="Times New Roman" w:cs="Times New Roman" w:eastAsia="Times New Roman" w:hAnsi="Times New Roman"/>
          <w:sz w:val="22"/>
          <w:szCs w:val="22"/>
          <w:color w:val="auto"/>
        </w:rPr>
        <w:t xml:space="preserve"> of the RESTRICTED STOCK UNITS (subject to adjustment as provided in Section 11(c) of the PLAN), and such RESTRICTED STOCK UNITS shall become vested, on the second anniversary of the VESTING DATE, provided PARTICIPANT is employed by the COMPANY or a subsidiary or affiliate of the COMPANY on such date;</w:t>
      </w:r>
    </w:p>
    <w:p>
      <w:pPr>
        <w:spacing w:after="0" w:line="175" w:lineRule="exact"/>
        <w:rPr>
          <w:rFonts w:ascii="Times New Roman" w:cs="Times New Roman" w:eastAsia="Times New Roman" w:hAnsi="Times New Roman"/>
          <w:sz w:val="22"/>
          <w:szCs w:val="22"/>
          <w:color w:val="auto"/>
        </w:rPr>
      </w:pPr>
    </w:p>
    <w:p>
      <w:pPr>
        <w:jc w:val="both"/>
        <w:ind w:firstLine="1952"/>
        <w:spacing w:after="0" w:line="258" w:lineRule="auto"/>
        <w:tabs>
          <w:tab w:leader="none" w:pos="2494"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RESTRICTED PERIOD shall lapse as to </w:t>
      </w:r>
      <w:r>
        <w:rPr>
          <w:rFonts w:ascii="Times New Roman" w:cs="Times New Roman" w:eastAsia="Times New Roman" w:hAnsi="Times New Roman"/>
          <w:sz w:val="22"/>
          <w:szCs w:val="22"/>
          <w:b w:val="1"/>
          <w:bCs w:val="1"/>
          <w:color w:val="auto"/>
        </w:rPr>
        <w:t>25%</w:t>
      </w:r>
      <w:r>
        <w:rPr>
          <w:rFonts w:ascii="Times New Roman" w:cs="Times New Roman" w:eastAsia="Times New Roman" w:hAnsi="Times New Roman"/>
          <w:sz w:val="22"/>
          <w:szCs w:val="22"/>
          <w:color w:val="auto"/>
        </w:rPr>
        <w:t xml:space="preserve"> of the RESTRICTED STOCK UNITS (subject to adjustment as provided in Section 11(c) of the PLAN), and such RESTRICTED STOCK UNITS shall become vested, on the third anniversary of the VESTING DATE, provided PARTICIPANT is employed by the COMPANY or a subsidiary or affiliate of the COMPANY on such date; and</w:t>
      </w:r>
    </w:p>
    <w:p>
      <w:pPr>
        <w:spacing w:after="0" w:line="167" w:lineRule="exact"/>
        <w:rPr>
          <w:rFonts w:ascii="Times New Roman" w:cs="Times New Roman" w:eastAsia="Times New Roman" w:hAnsi="Times New Roman"/>
          <w:sz w:val="22"/>
          <w:szCs w:val="22"/>
          <w:color w:val="auto"/>
        </w:rPr>
      </w:pPr>
    </w:p>
    <w:p>
      <w:pPr>
        <w:jc w:val="both"/>
        <w:ind w:firstLine="1952"/>
        <w:spacing w:after="0" w:line="258" w:lineRule="auto"/>
        <w:tabs>
          <w:tab w:leader="none" w:pos="2487"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RESTRICTED PERIOD shall lapse as to </w:t>
      </w:r>
      <w:r>
        <w:rPr>
          <w:rFonts w:ascii="Times New Roman" w:cs="Times New Roman" w:eastAsia="Times New Roman" w:hAnsi="Times New Roman"/>
          <w:sz w:val="22"/>
          <w:szCs w:val="22"/>
          <w:b w:val="1"/>
          <w:bCs w:val="1"/>
          <w:color w:val="auto"/>
        </w:rPr>
        <w:t>25%</w:t>
      </w:r>
      <w:r>
        <w:rPr>
          <w:rFonts w:ascii="Times New Roman" w:cs="Times New Roman" w:eastAsia="Times New Roman" w:hAnsi="Times New Roman"/>
          <w:sz w:val="22"/>
          <w:szCs w:val="22"/>
          <w:color w:val="auto"/>
        </w:rPr>
        <w:t xml:space="preserve"> of the RESTRICTED STOCK UNITS (subject to adjustment as provided in Section 11(c) of the PLAN), and such RESTRICTED STOCK UNITS shall become vested, on the fourth anniversary of the VESTING DATE, provided PARTICIPANT is employed by the COMPANY or a subsidiary or affiliate of the COMPANY on such date.</w:t>
      </w:r>
    </w:p>
    <w:p>
      <w:pPr>
        <w:spacing w:after="0" w:line="171" w:lineRule="exact"/>
        <w:rPr>
          <w:rFonts w:ascii="Times New Roman" w:cs="Times New Roman" w:eastAsia="Times New Roman" w:hAnsi="Times New Roman"/>
          <w:sz w:val="22"/>
          <w:szCs w:val="22"/>
          <w:color w:val="auto"/>
        </w:rPr>
      </w:pPr>
    </w:p>
    <w:p>
      <w:pPr>
        <w:jc w:val="both"/>
        <w:ind w:firstLine="1304"/>
        <w:spacing w:after="0" w:line="253" w:lineRule="auto"/>
        <w:tabs>
          <w:tab w:leader="none" w:pos="2016"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Non-Transferability of RESTRICTED STOCK UNITS</w:t>
      </w:r>
      <w:r>
        <w:rPr>
          <w:rFonts w:ascii="Times New Roman" w:cs="Times New Roman" w:eastAsia="Times New Roman" w:hAnsi="Times New Roman"/>
          <w:sz w:val="22"/>
          <w:szCs w:val="22"/>
          <w:color w:val="auto"/>
        </w:rPr>
        <w:t>. RESTRICTED STOCK UNITS may not be pledged, hypothecated or otherwise encumbered or subject to any lien, obligation or liability of PARTICIPANT to any party (other than the COMPANY or a subsidiary or affiliate of the COMPANY) or assigned or transferred (whether by operation of law or otherwise) by PARTICIPANT, otherwise than by will or by the applicable laws of descent and distribution, and the RESTRICTED STOCK UNITS shall not be subject to execution, attachment or similar process.</w:t>
      </w:r>
    </w:p>
    <w:p>
      <w:pPr>
        <w:spacing w:after="0" w:line="178"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89"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Lapse of RESTRICTED PERIOD</w:t>
      </w:r>
      <w:r>
        <w:rPr>
          <w:rFonts w:ascii="Times New Roman" w:cs="Times New Roman" w:eastAsia="Times New Roman" w:hAnsi="Times New Roman"/>
          <w:sz w:val="22"/>
          <w:szCs w:val="22"/>
          <w:color w:val="auto"/>
        </w:rPr>
        <w:t>. Upon the lapse of the RESTRICTED PERIOD applicable to any RESTRICTED STOCK UNITS, as promptly as is reasonably practicable, and in no case later than March 15th of the year after the year the RESTRICTED PERIOD lapses, SHARES of the COMPANY shall be issued to PARTICIPANT and the COMPANY shall deliver a stock certificate or other appropriate documentation evidencing the number of SHARES of the COMPANY issued in settlement of such vested RESTRICTED STOCK UNITS to PARTICIPANT.</w:t>
      </w:r>
    </w:p>
    <w:p>
      <w:pPr>
        <w:spacing w:after="0" w:line="178" w:lineRule="exact"/>
        <w:rPr>
          <w:rFonts w:ascii="Times New Roman" w:cs="Times New Roman" w:eastAsia="Times New Roman" w:hAnsi="Times New Roman"/>
          <w:sz w:val="22"/>
          <w:szCs w:val="22"/>
          <w:color w:val="auto"/>
        </w:rPr>
      </w:pPr>
    </w:p>
    <w:p>
      <w:pPr>
        <w:jc w:val="both"/>
        <w:ind w:firstLine="1304"/>
        <w:spacing w:after="0" w:line="251" w:lineRule="auto"/>
        <w:tabs>
          <w:tab w:leader="none" w:pos="1812"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Withholding</w:t>
      </w:r>
      <w:r>
        <w:rPr>
          <w:rFonts w:ascii="Times New Roman" w:cs="Times New Roman" w:eastAsia="Times New Roman" w:hAnsi="Times New Roman"/>
          <w:sz w:val="22"/>
          <w:szCs w:val="22"/>
          <w:color w:val="auto"/>
        </w:rPr>
        <w:t>. The COMPANY shall have the right to require PARTICIPANT to remit to the COMPANY an amount sufficient to satisfy any applicable federal, state, local and foreign tax withholding requirements in respect of the settlement of the RESTRICTED STOCK UNITS. Unless PARTICIPANT is notified otherwise, the COMPANY will withhold SHARES of the COMPANY otherwise deliverable upon settlement of the RESTRICTED STOCK UNITS having a FAIR MARKET VALUE (as defined in the PLAN) on the date of settlement equal to the amount required to be withheld (but only to the extent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93" w:name="page94"/>
    <w:bookmarkEnd w:id="93"/>
    <w:p>
      <w:pPr>
        <w:jc w:val="both"/>
        <w:spacing w:after="0" w:line="250" w:lineRule="auto"/>
        <w:rPr>
          <w:sz w:val="20"/>
          <w:szCs w:val="20"/>
          <w:color w:val="auto"/>
        </w:rPr>
      </w:pPr>
      <w:r>
        <w:rPr>
          <w:rFonts w:ascii="Times New Roman" w:cs="Times New Roman" w:eastAsia="Times New Roman" w:hAnsi="Times New Roman"/>
          <w:sz w:val="22"/>
          <w:szCs w:val="22"/>
          <w:color w:val="auto"/>
        </w:rPr>
        <w:t>minimum amount that must be withheld to comply with applicable federal, state, local and foreign income, employment and wage tax laws). Pursuant to the PLAN, the COMPANY reserves the right to notify PARTICIPANT prior to settlement of the RESTRICTED STOCK UNITS, that in lieu of the foregoing, the COMPANY may require that the minimum amount that must be withheld to comply with applicable federal, state, local and foreign income, employment and wage tax laws) be settled in cash either: (i) through the sale, on PARTICIPANT’s behalf on the open market, of a number of SHARES of the COMPANY required to cover such amount or (ii) at PARTICIPANT’s option, through a direct cash payment by PARTICIPANT to the COMPANY to cover such amount.</w:t>
      </w:r>
    </w:p>
    <w:p>
      <w:pPr>
        <w:spacing w:after="0" w:line="180" w:lineRule="exact"/>
        <w:rPr>
          <w:sz w:val="20"/>
          <w:szCs w:val="20"/>
          <w:color w:val="auto"/>
        </w:rPr>
      </w:pPr>
    </w:p>
    <w:p>
      <w:pPr>
        <w:jc w:val="both"/>
        <w:ind w:firstLine="1304"/>
        <w:spacing w:after="0" w:line="253" w:lineRule="auto"/>
        <w:tabs>
          <w:tab w:leader="none" w:pos="1815"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Holder of RESTRICTED STOCK UNITS</w:t>
      </w:r>
      <w:r>
        <w:rPr>
          <w:rFonts w:ascii="Times New Roman" w:cs="Times New Roman" w:eastAsia="Times New Roman" w:hAnsi="Times New Roman"/>
          <w:sz w:val="22"/>
          <w:szCs w:val="22"/>
          <w:color w:val="auto"/>
        </w:rPr>
        <w:t>. With respect to these RESTRICTED STOCK UNITS, PARTICIPANT shall have no rights as a stockholder of the COMPANY (including no right to vote or receive dividends) with respect to any SHARES of the COMPANY until the date of issuance to PARTICIPANT of a certificate or other evidence of ownership representing such SHARES in settlement thereof. In addition, dividend equivalents will not be paid or payable with respect to the RESTRICTED STOCK UNITS subject to this AGREEMENT until such date of issuance.</w:t>
      </w:r>
    </w:p>
    <w:p>
      <w:pPr>
        <w:spacing w:after="0" w:line="178" w:lineRule="exact"/>
        <w:rPr>
          <w:rFonts w:ascii="Times New Roman" w:cs="Times New Roman" w:eastAsia="Times New Roman" w:hAnsi="Times New Roman"/>
          <w:sz w:val="22"/>
          <w:szCs w:val="22"/>
          <w:color w:val="auto"/>
        </w:rPr>
      </w:pPr>
    </w:p>
    <w:p>
      <w:pPr>
        <w:jc w:val="both"/>
        <w:ind w:firstLine="656"/>
        <w:spacing w:after="0" w:line="255" w:lineRule="auto"/>
        <w:tabs>
          <w:tab w:leader="none" w:pos="1053"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Unless the BOARD or the COMMITTEE provides otherwise prior to a “Change of Control” (as such term is defined in the PLAN), upon a Change of Control, Section 9 of the PLAN shall govern the treatment of the</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STOCK UNITS.</w:t>
      </w:r>
    </w:p>
    <w:p>
      <w:pPr>
        <w:spacing w:after="0" w:line="207"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Termination of Employment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25"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RESTRICTED STOCK UNITS shall not confer upon PARTICIPANT any right to continue in the employment of the COMPANY or any of the subsidiaries or affiliates of the COMPANY or interfere with or limit in any way the right of the COMPANY or any of the subsidiaries or affiliates of the COMPANY to modify the terms of or terminate the employment of PARTICIPANT at any time in accordance with applicable law and the COMPANY’s or the subsidiary’s or affiliate’s governing corporate documents.</w:t>
      </w:r>
    </w:p>
    <w:p>
      <w:pPr>
        <w:spacing w:after="0" w:line="178"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23"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the COMMITTEE may at any time provide, and subject to Section 4(E) of this AGREEMENT, if the employment of PARTICIPANT with the COMPANY and the subsidiaries and affiliates of the COMPANY is terminated for any reason other than death or “total disability” (as defined below) prior to the lapsing of the RESTRICTED PERIOD applicable to any RESTRICTED STOCK UNITS, such RESTRICTED STOCK UNITS shall be forfeited to the COMPANY.</w:t>
      </w:r>
    </w:p>
    <w:p>
      <w:pPr>
        <w:spacing w:after="0" w:line="176"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18"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PARTICIPANT becomes totally disabled prior to the lapsing of the RESTRICTED PERIOD applicable to any RESTRICTED STOCK UNITS, such RESTRICTED PERIOD shall immediately lapse and the RESTRICTED STOCK UNITS shall become fully vested.</w:t>
      </w:r>
    </w:p>
    <w:p>
      <w:pPr>
        <w:spacing w:after="0" w:line="172" w:lineRule="exact"/>
        <w:rPr>
          <w:rFonts w:ascii="Times New Roman" w:cs="Times New Roman" w:eastAsia="Times New Roman" w:hAnsi="Times New Roman"/>
          <w:sz w:val="22"/>
          <w:szCs w:val="22"/>
          <w:color w:val="auto"/>
        </w:rPr>
      </w:pPr>
    </w:p>
    <w:p>
      <w:pPr>
        <w:ind w:right="20" w:firstLine="1304"/>
        <w:spacing w:after="0" w:line="271" w:lineRule="auto"/>
        <w:tabs>
          <w:tab w:leader="none" w:pos="1913"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PARTICIPANT dies while employed by the COMPANY or one of the subsidiaries or affiliates of the COMPANY prior to the lapsing of the RESTRICTED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94" w:name="page95"/>
    <w:bookmarkEnd w:id="94"/>
    <w:p>
      <w:pPr>
        <w:ind w:right="20"/>
        <w:spacing w:after="0" w:line="271" w:lineRule="auto"/>
        <w:rPr>
          <w:sz w:val="20"/>
          <w:szCs w:val="20"/>
          <w:color w:val="auto"/>
        </w:rPr>
      </w:pPr>
      <w:r>
        <w:rPr>
          <w:rFonts w:ascii="Times New Roman" w:cs="Times New Roman" w:eastAsia="Times New Roman" w:hAnsi="Times New Roman"/>
          <w:sz w:val="22"/>
          <w:szCs w:val="22"/>
          <w:color w:val="auto"/>
        </w:rPr>
        <w:t>applicable to any RESTRICTED STOCK UNITS, such RESTRICTED PERIOD shall immediately lapse and the RESTRICTED STOCK UNITS shall become fully vested.</w:t>
      </w:r>
    </w:p>
    <w:p>
      <w:pPr>
        <w:spacing w:after="0" w:line="158" w:lineRule="exact"/>
        <w:rPr>
          <w:sz w:val="20"/>
          <w:szCs w:val="20"/>
          <w:color w:val="auto"/>
        </w:rPr>
      </w:pPr>
    </w:p>
    <w:p>
      <w:pPr>
        <w:ind w:right="20" w:firstLine="1304"/>
        <w:spacing w:after="0" w:line="284" w:lineRule="auto"/>
        <w:tabs>
          <w:tab w:leader="none" w:pos="1901" w:val="left"/>
        </w:tabs>
        <w:numPr>
          <w:ilvl w:val="2"/>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retirement of PARTICIPANT, the COMMITTEE may, but shall not be required to, shorten or terminate the RESTRICTED PERIOD applicable to the RESTRICTED STOCK UNITS.</w:t>
      </w:r>
    </w:p>
    <w:p>
      <w:pPr>
        <w:spacing w:after="0" w:line="143" w:lineRule="exact"/>
        <w:rPr>
          <w:rFonts w:ascii="Times New Roman" w:cs="Times New Roman" w:eastAsia="Times New Roman" w:hAnsi="Times New Roman"/>
          <w:sz w:val="22"/>
          <w:szCs w:val="22"/>
          <w:color w:val="auto"/>
        </w:rPr>
      </w:pPr>
    </w:p>
    <w:p>
      <w:pPr>
        <w:ind w:left="1820" w:hanging="516"/>
        <w:spacing w:after="0"/>
        <w:tabs>
          <w:tab w:leader="none" w:pos="1820" w:val="left"/>
        </w:tabs>
        <w:numPr>
          <w:ilvl w:val="2"/>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AGREEMENT, “total disability” shall have the definition set forth in the Abercrombie</w:t>
      </w:r>
    </w:p>
    <w:p>
      <w:pPr>
        <w:spacing w:after="0" w:line="39" w:lineRule="exact"/>
        <w:rPr>
          <w:rFonts w:ascii="Times New Roman" w:cs="Times New Roman" w:eastAsia="Times New Roman" w:hAnsi="Times New Roman"/>
          <w:sz w:val="21"/>
          <w:szCs w:val="21"/>
          <w:color w:val="auto"/>
        </w:rPr>
      </w:pPr>
    </w:p>
    <w:p>
      <w:pPr>
        <w:ind w:left="240" w:hanging="232"/>
        <w:spacing w:after="0"/>
        <w:tabs>
          <w:tab w:leader="none" w:pos="24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Fitch Co. Long Term Disability Plan, which definition is incorporated herein by reference.</w:t>
      </w:r>
    </w:p>
    <w:p>
      <w:pPr>
        <w:spacing w:after="0" w:line="195"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 of RESTRICTED STOCK UNITS</w:t>
      </w:r>
      <w:r>
        <w:rPr>
          <w:rFonts w:ascii="Times New Roman" w:cs="Times New Roman" w:eastAsia="Times New Roman" w:hAnsi="Times New Roman"/>
          <w:sz w:val="22"/>
          <w:szCs w:val="22"/>
          <w:color w:val="auto"/>
        </w:rPr>
        <w:t>.</w:t>
      </w:r>
    </w:p>
    <w:p>
      <w:pPr>
        <w:spacing w:after="0" w:line="98"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10" w:val="left"/>
        </w:tabs>
        <w:numPr>
          <w:ilvl w:val="2"/>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shall be subject to the following additional forfeiture conditions, to which PARTICIPANT, by accepting the RESTRICTED STOCK UNITS, agrees. If any of the events specified in Section 5(B)(i), (ii), (iii) or (iv) of this AGREEMENT occurs (a “FORFEITURE EVENT”), the following forfeiture will result:</w:t>
      </w:r>
    </w:p>
    <w:p>
      <w:pPr>
        <w:spacing w:after="0" w:line="51" w:lineRule="exact"/>
        <w:rPr>
          <w:rFonts w:ascii="Times New Roman" w:cs="Times New Roman" w:eastAsia="Times New Roman" w:hAnsi="Times New Roman"/>
          <w:sz w:val="22"/>
          <w:szCs w:val="22"/>
          <w:color w:val="auto"/>
        </w:rPr>
      </w:pPr>
    </w:p>
    <w:p>
      <w:pPr>
        <w:ind w:firstLine="1952"/>
        <w:spacing w:after="0" w:line="271" w:lineRule="auto"/>
        <w:tabs>
          <w:tab w:leader="none" w:pos="2437" w:val="left"/>
        </w:tabs>
        <w:numPr>
          <w:ilvl w:val="3"/>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RESTRICTED STOCK UNITS held by PARTICIPANT and not then settled will be immediately forfeited and canceled upon the occurrence of the FORFEITURE EVENT; and</w:t>
      </w:r>
    </w:p>
    <w:p>
      <w:pPr>
        <w:spacing w:after="0" w:line="36" w:lineRule="exact"/>
        <w:rPr>
          <w:rFonts w:ascii="Times New Roman" w:cs="Times New Roman" w:eastAsia="Times New Roman" w:hAnsi="Times New Roman"/>
          <w:sz w:val="22"/>
          <w:szCs w:val="22"/>
          <w:color w:val="auto"/>
        </w:rPr>
      </w:pPr>
    </w:p>
    <w:p>
      <w:pPr>
        <w:jc w:val="both"/>
        <w:ind w:firstLine="1952"/>
        <w:spacing w:after="0" w:line="261" w:lineRule="auto"/>
        <w:tabs>
          <w:tab w:leader="none" w:pos="2491" w:val="left"/>
        </w:tabs>
        <w:numPr>
          <w:ilvl w:val="3"/>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will be obligated to repay to the COMPANY, in cash, within five business days after demand is made therefor by the COMPANY, the total amount of “AWARD GAIN” (as defined below) realized by PARTICIPANT upon each settlement of RESTRICTED STOCK UNITS that occurred on or after (x) the date that is twenty-four months prior to the occurrence of the FORFEITURE EVENT, if the FORFEITURE EVENT occurred while PARTICIPANT was employed by the COMPANY or a subsidiary or affiliate of the COMPANY, or (y) the date that is twenty-four months prior to the date PARTICIPANT’s employment by the COMPANY or a subsidiary or affiliate of the COMPANY terminated, if the FORFEITURE EVENT occurred after PARTICIPANT ceased to be so employed; provided, however, that this right of recoupment shall not limit the BOARD’s recoupment authority under any applicable clawback or recoupment policy approved by the BOARD. For purposes of this Section 5, the term “AWARD GAIN” shall mean, in respect of any settlement of RESTRICTED STOCK UNITS granted to PARTICIPANT, the FAIR MARKET VALUE as of the applicable VESTING DATE of the cash and/or SHARES of the COMPANY paid or payable to PARTICIPANT (regardless of any elective deferrals).</w:t>
      </w:r>
    </w:p>
    <w:p>
      <w:pPr>
        <w:spacing w:after="0" w:line="54" w:lineRule="exact"/>
        <w:rPr>
          <w:rFonts w:ascii="Times New Roman" w:cs="Times New Roman" w:eastAsia="Times New Roman" w:hAnsi="Times New Roman"/>
          <w:sz w:val="21"/>
          <w:szCs w:val="21"/>
          <w:color w:val="auto"/>
        </w:rPr>
      </w:pPr>
    </w:p>
    <w:p>
      <w:pPr>
        <w:jc w:val="both"/>
        <w:ind w:firstLine="1304"/>
        <w:spacing w:after="0" w:line="257" w:lineRule="auto"/>
        <w:tabs>
          <w:tab w:leader="none" w:pos="1850" w:val="left"/>
        </w:tabs>
        <w:numPr>
          <w:ilvl w:val="2"/>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forfeitures specified in Section 5(A) of this AGREEMENT will be triggered upon the occurrence of any one of the following FORFEITURE EVENTS at any time during PARTICIPANT’s employment by the COMPANY or a subsidiary or affiliate of the COMPANY, or during the twenty-four-month period following termination of such employment:</w:t>
      </w:r>
    </w:p>
    <w:p>
      <w:pPr>
        <w:spacing w:after="0" w:line="51" w:lineRule="exact"/>
        <w:rPr>
          <w:rFonts w:ascii="Times New Roman" w:cs="Times New Roman" w:eastAsia="Times New Roman" w:hAnsi="Times New Roman"/>
          <w:sz w:val="22"/>
          <w:szCs w:val="22"/>
          <w:color w:val="auto"/>
        </w:rPr>
      </w:pPr>
    </w:p>
    <w:p>
      <w:pPr>
        <w:jc w:val="both"/>
        <w:ind w:firstLine="1952"/>
        <w:spacing w:after="0" w:line="256" w:lineRule="auto"/>
        <w:tabs>
          <w:tab w:leader="none" w:pos="2439" w:val="left"/>
        </w:tabs>
        <w:numPr>
          <w:ilvl w:val="3"/>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acting alone or with others, directly or indirectly, (I) engages, either as an employee, employer, consultant, advisor, or director, or as an owner, investor, partner, or stockholder unless PARTICIPANT’s interest is insubstantial, in any business in an area or region in which the COMPANY or any subsidiary or affiliate of the COMPANY conducts business at the date the event occurs, which is directly in competition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95" w:name="page96"/>
    <w:bookmarkEnd w:id="95"/>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a business then conducted by the COMPANY or a subsidiary or affiliate of the COMPANY; (II) induces any customer or supplier of the COMPANY or a subsidiary or affiliate of the COMPANY, with which the COMPANY or a subsidiary or affiliate of the COMPANY has a business relationship, to curtail, cancel, not renew, or not continue his or her or its business with the COMPANY or any subsidiary or affiliate of the COMPANY; or (III) induces, or attempts to influence, any employee of or service provider to the COMPANY or a subsidiary or affiliate of the COMPANY to terminate such employment or service. The COMMITTEE shall, in its discretion, determine which lines of business the COMPANY and the subsidiaries and affiliates of the COMPANY conduct on any particular date and which third parties may reasonably be deemed to be in competition with the COMPANY or any subsidiary or affiliate of the COMPANY. For purposes of this Section 5(B)(i), PARTICIPANT’s interest as a stockholder is insubstantial if it represents beneficial ownership of less than five percent of the outstanding class of stock, and PARTICIPANT’s interest as an owner, investor, or partner is insubstantial if it represents ownership, as determined by the COMMITTEE in its discretion, of less than five percent of the outstanding equity of the entity;</w:t>
      </w:r>
    </w:p>
    <w:p>
      <w:pPr>
        <w:spacing w:after="0" w:line="41" w:lineRule="exact"/>
        <w:rPr>
          <w:sz w:val="20"/>
          <w:szCs w:val="20"/>
          <w:color w:val="auto"/>
        </w:rPr>
      </w:pPr>
    </w:p>
    <w:p>
      <w:pPr>
        <w:jc w:val="both"/>
        <w:ind w:firstLine="1952"/>
        <w:spacing w:after="0" w:line="249" w:lineRule="auto"/>
        <w:tabs>
          <w:tab w:leader="none" w:pos="2601"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discloses, uses, sells, or otherwise transfers, except in the course of employment with or other service to the COMPANY or any subsidiary or affiliate of the COMPANY, any confidential or proprietary information of the COMPANY or any subsidiary or affiliate of the COMPANY, including but not limited to information regarding the COMPANY’s or any subsidiary’s or affiliate’s current and potential customers, organization, employees, finances, and methods of operations and investments, so long as such information has not otherwise been disclosed to the public or is not otherwise in the public domain (other than by PARTICIPANT’s breach of this provision), except as required by law or pursuant to legal process, or PARTICIPANT makes statements or representations, or otherwise communicates, directly or indirectly, in writing, orally, or otherwise, or takes any other action which may, directly or indirectly, disparage or be damaging to the COMPANY or any of the subsidiaries or affiliates of the COMPANY or their respective officers, directors, employees, advisors, businesses or reputations, except as required by law or pursuant to legal process;</w:t>
      </w:r>
    </w:p>
    <w:p>
      <w:pPr>
        <w:spacing w:after="0" w:line="61" w:lineRule="exact"/>
        <w:rPr>
          <w:rFonts w:ascii="Times New Roman" w:cs="Times New Roman" w:eastAsia="Times New Roman" w:hAnsi="Times New Roman"/>
          <w:sz w:val="22"/>
          <w:szCs w:val="22"/>
          <w:color w:val="auto"/>
        </w:rPr>
      </w:pPr>
    </w:p>
    <w:p>
      <w:pPr>
        <w:jc w:val="both"/>
        <w:ind w:firstLine="1952"/>
        <w:spacing w:after="0" w:line="250" w:lineRule="auto"/>
        <w:tabs>
          <w:tab w:leader="none" w:pos="2782"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fails to cooperate with the COMPANY or any subsidiary or affiliate of the COMPANY in any way, including, without limitation, by making PARTICIPANT available to testify on behalf of the COMPANY or such subsidiary or affiliate of the COMPANY in any action, suit, or proceeding, whether civil, criminal, administrative, or investigative, or otherwise fails to assist the COMPANY or any subsidiary or affiliate of the COMPANY in any way, including, without limitation, in connection with any such action, suit, or proceeding by providing information and meeting and consulting with members of management of, other representatives of, or counsel to, the COMPANY or such subsidiary or affiliate of the COMPANY, as reasonably requested; or</w:t>
      </w:r>
    </w:p>
    <w:p>
      <w:pPr>
        <w:spacing w:after="0" w:line="58" w:lineRule="exact"/>
        <w:rPr>
          <w:rFonts w:ascii="Times New Roman" w:cs="Times New Roman" w:eastAsia="Times New Roman" w:hAnsi="Times New Roman"/>
          <w:sz w:val="22"/>
          <w:szCs w:val="22"/>
          <w:color w:val="auto"/>
        </w:rPr>
      </w:pPr>
    </w:p>
    <w:p>
      <w:pPr>
        <w:jc w:val="both"/>
        <w:ind w:firstLine="1952"/>
        <w:spacing w:after="0" w:line="251" w:lineRule="auto"/>
        <w:tabs>
          <w:tab w:leader="none" w:pos="2489"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during the period PARTICIPANT is employed by the COMPANY or any subsidiary or affiliate of the COMPANY and for twenty-four months thereafter (the “NON-SOLICITATION PERIOD”), alone or in conjunction with another person, (I) interferes with or harms, or attempts to interfere with or harm, the relationship of the COMPANY or any subsidiary or affiliate of the COMPANY with any person who at any time was a customer or supplier of the COMPANY or any subsidiary or affiliate of the COMPANY or otherwise had a business relationship with the COMPANY or any subsidiary or affiliate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96" w:name="page97"/>
    <w:bookmarkEnd w:id="96"/>
    <w:p>
      <w:pPr>
        <w:spacing w:after="0" w:line="77"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COMPANY; or (II) hires, solicits for hire, aids in or facilitates the hire, or causes to be hired, either as an employee, contractor or consultant, any person who is currently employed, or was employed at any time during the six-month period prior thereto, as an employee, contractor or consultant of the COMPANY or any subsidiary or affiliate of the COMPANY.</w:t>
      </w:r>
    </w:p>
    <w:p>
      <w:pPr>
        <w:spacing w:after="0" w:line="51" w:lineRule="exact"/>
        <w:rPr>
          <w:sz w:val="20"/>
          <w:szCs w:val="20"/>
          <w:color w:val="auto"/>
        </w:rPr>
      </w:pPr>
    </w:p>
    <w:p>
      <w:pPr>
        <w:jc w:val="both"/>
        <w:ind w:firstLine="1304"/>
        <w:spacing w:after="0" w:line="249" w:lineRule="auto"/>
        <w:tabs>
          <w:tab w:leader="none" w:pos="1832"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Despite the conditions set forth in this Section 5, PARTICIPANT is not hereby prohibited from engaging in any activity set forth in Section 5(B)(i) of this AGREEMENT, including but not limited to competition with the COMPANY and the subsidiaries and affiliates of the COMPANY. Rather, the non-occurrence of the FORFEITURE EVENTS set forth in Section 5(B) of this AGREEMENT is a condition to PARTICIPANT’s right to realize and retain value from the RESTRICTED STOCK UNITS, and the consequences under the PLAN and this AGREEMENT if PARTICIPANT engages in an activity giving rise to any such FORFEITURE EVENTS are the forfeitures specified therein and as otherwise provided in this AGREEMENT. The COMPANY and PARTICIPANT shall not be precluded by this provision or otherwise from entering into other agreements concerning the subject matter of Sections 5(A) and 5(B) of this AGREEMENT.</w:t>
      </w:r>
    </w:p>
    <w:p>
      <w:pPr>
        <w:spacing w:after="0" w:line="60"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65"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may, in its discretion, waive in whole or in part the COMPANY’s right to forfeiture under this Section 5, but no such waiver shall be effective unless evidenced by a writing signed by a duly authorized officer of the COMPANY.</w:t>
      </w:r>
    </w:p>
    <w:p>
      <w:pPr>
        <w:spacing w:after="0" w:line="186" w:lineRule="exact"/>
        <w:rPr>
          <w:rFonts w:ascii="Times New Roman" w:cs="Times New Roman" w:eastAsia="Times New Roman" w:hAnsi="Times New Roman"/>
          <w:sz w:val="22"/>
          <w:szCs w:val="22"/>
          <w:color w:val="auto"/>
        </w:rPr>
      </w:pPr>
    </w:p>
    <w:p>
      <w:pPr>
        <w:ind w:left="1860" w:hanging="556"/>
        <w:spacing w:after="0"/>
        <w:tabs>
          <w:tab w:leader="none" w:pos="1860"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the above, PARTICIPANT agrees that any of the conduct described in Sections 5(B)(ii) and</w:t>
      </w:r>
    </w:p>
    <w:p>
      <w:pPr>
        <w:spacing w:after="0" w:line="27" w:lineRule="exact"/>
        <w:rPr>
          <w:rFonts w:ascii="Times New Roman" w:cs="Times New Roman" w:eastAsia="Times New Roman" w:hAnsi="Times New Roman"/>
          <w:sz w:val="22"/>
          <w:szCs w:val="22"/>
          <w:color w:val="auto"/>
        </w:rPr>
      </w:pPr>
    </w:p>
    <w:p>
      <w:pPr>
        <w:jc w:val="both"/>
        <w:ind w:firstLine="8"/>
        <w:spacing w:after="0" w:line="245" w:lineRule="auto"/>
        <w:tabs>
          <w:tab w:leader="none" w:pos="38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this AGREEMENT would result in irreparable injury and damage to the COMPANY for which the COMPANY would have no adequate remedy at law. PARTICIPANT agrees that in the event of such occurrence or any threat thereof, the COMPANY shall be entitled to an immediate injunction and restraining order to prevent such conduct and threatened conduct and/or continued conduct by PARTICIPANT and/or any and all persons and/or entities acting for and/or with PARTICIPANT, and without having to prove damages and to all costs and expenses incurred by the COMPANY in seeking to enforce the COMPANY’s rights under this AGREEMENT. These remedies are in addition to any other remedies to which the COMPANY may be entitled at law or in equity. PARTICIPANT agrees that the covenants of PARTICIPANT contained in Section 5(B) of this AGREEMENT are reasonable. For the same reasons, the COMPANY shall be entitled to an immediate injunction without having to prove damages to enforce the COMPANY’s right to forfeit the RESTRICTED STOCK UNITS pursuant to Section 5(C) for a violation of Section 5(B)(i).</w:t>
      </w:r>
    </w:p>
    <w:p>
      <w:pPr>
        <w:spacing w:after="0" w:line="201" w:lineRule="exact"/>
        <w:rPr>
          <w:rFonts w:ascii="Times New Roman" w:cs="Times New Roman" w:eastAsia="Times New Roman" w:hAnsi="Times New Roman"/>
          <w:sz w:val="22"/>
          <w:szCs w:val="22"/>
          <w:color w:val="auto"/>
        </w:rPr>
      </w:pPr>
    </w:p>
    <w:p>
      <w:pPr>
        <w:jc w:val="both"/>
        <w:ind w:firstLine="1304"/>
        <w:spacing w:after="0" w:line="249" w:lineRule="auto"/>
        <w:tabs>
          <w:tab w:leader="none" w:pos="1805"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Section 5(F) shall apply only if PARTICIPANT was granted the RESTRICTED STOCK UNITS under this AGREEMENT pursuant to the achievement of a performance goal under Section 7 of the PLAN. If the COMMITTEE determines that the earlier determination as to the achievement of the performance goal was based on incorrect data and that in fact the performance goal had not been achieved or had been achieved to a lesser extent than originally determined and a number of the RESTRICTED STOCK UNITS would not have been granted, given the correct data, then (i) the aggregate number of RESTRICTED STOCK UNITS set forth in Section 1 of this AGREEMENT shall be reduced by such number of RESTRICTED STOCK UNITS that would not have been granted (such RESTRICTED STOCK UNITS, the “EXCESS RSUs”), (ii) any EXCESS RSUs that have not yet vested in accordance with the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97" w:name="page98"/>
    <w:bookmarkEnd w:id="97"/>
    <w:p>
      <w:pPr>
        <w:jc w:val="both"/>
        <w:spacing w:after="0" w:line="256" w:lineRule="auto"/>
        <w:rPr>
          <w:sz w:val="20"/>
          <w:szCs w:val="20"/>
          <w:color w:val="auto"/>
        </w:rPr>
      </w:pPr>
      <w:r>
        <w:rPr>
          <w:rFonts w:ascii="Times New Roman" w:cs="Times New Roman" w:eastAsia="Times New Roman" w:hAnsi="Times New Roman"/>
          <w:sz w:val="22"/>
          <w:szCs w:val="22"/>
          <w:color w:val="auto"/>
        </w:rPr>
        <w:t>of this AGREEMENT shall be forfeited and (iii) any SHARES of the COMPANY received upon settlement of vested EXCESS RSUs (or if such SHARES were disposed of, the cash equivalent) shall be returned to the COMPANY as provided by the COMMITTEE; provided, however, that this right of recoupment shall not limit the BOARD’s recoupment authority under any applicable clawback or recoupment policy approved by the BOARD.</w:t>
      </w:r>
    </w:p>
    <w:p>
      <w:pPr>
        <w:spacing w:after="0" w:line="176" w:lineRule="exact"/>
        <w:rPr>
          <w:sz w:val="20"/>
          <w:szCs w:val="20"/>
          <w:color w:val="auto"/>
        </w:rPr>
      </w:pPr>
    </w:p>
    <w:p>
      <w:pPr>
        <w:jc w:val="both"/>
        <w:ind w:firstLine="656"/>
        <w:spacing w:after="0" w:line="248" w:lineRule="auto"/>
        <w:tabs>
          <w:tab w:leader="none" w:pos="1174"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Transfers of SHARES</w:t>
      </w:r>
      <w:r>
        <w:rPr>
          <w:rFonts w:ascii="Times New Roman" w:cs="Times New Roman" w:eastAsia="Times New Roman" w:hAnsi="Times New Roman"/>
          <w:sz w:val="22"/>
          <w:szCs w:val="22"/>
          <w:color w:val="auto"/>
        </w:rPr>
        <w:t>. Anything contained in this AGREEMENT or elsewhere to the contrary notwithstanding, the COMPANY may postpone the issuance and delivery of SHARES of the COMPANY upon any settlement of the RESTRICTED STOCK UNITS until completion of any stock exchange listing or registration or other qualification of such SHARES under any state, federal or foreign law, rule or regulation as the COMPANY may consider appropriate; and may require PARTICIPANT in connection with the issuance of the SHARES to make such representations and furnish such information as the COMPANY may consider appropriate in connection with the issuance of the SHARES in compliance with applicable laws, rules and regulations. SHARES of the COMPANY issued and delivered upon settlement of the RESTRICTED STOCK UNITS shall be subject to such restrictions on trading, including appropriate legending of certificates to that effect, as the COMPANY, in its discretion, shall determine are necessary to satisfy applicable laws, rules and regulations.</w:t>
      </w:r>
    </w:p>
    <w:p>
      <w:pPr>
        <w:spacing w:after="0" w:line="185" w:lineRule="exact"/>
        <w:rPr>
          <w:rFonts w:ascii="Times New Roman" w:cs="Times New Roman" w:eastAsia="Times New Roman" w:hAnsi="Times New Roman"/>
          <w:sz w:val="22"/>
          <w:szCs w:val="22"/>
          <w:color w:val="auto"/>
        </w:rPr>
      </w:pPr>
    </w:p>
    <w:p>
      <w:pPr>
        <w:jc w:val="both"/>
        <w:ind w:firstLine="656"/>
        <w:spacing w:after="0" w:line="252" w:lineRule="auto"/>
        <w:tabs>
          <w:tab w:leader="none" w:pos="1093"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PLAN as Controlling; PARTICIPANT Acknowledgments</w:t>
      </w:r>
      <w:r>
        <w:rPr>
          <w:rFonts w:ascii="Times New Roman" w:cs="Times New Roman" w:eastAsia="Times New Roman" w:hAnsi="Times New Roman"/>
          <w:sz w:val="22"/>
          <w:szCs w:val="22"/>
          <w:color w:val="auto"/>
        </w:rPr>
        <w:t>. All terms and conditions of the PLAN applicable to the RESTRICTED STOCK UNITS which are not set forth in this AGREEMENT shall be deemed incorporated herein by reference. In the event that any term or condition of this AGREEMENT is inconsistent with the terms and conditions of the PLAN, the PLAN shall be deemed controlling. PARTICIPANT acknowledges receipt of a copy of the PLAN and of the Prospectus related to the PLAN. PARTICIPANT also acknowledges that all decisions, determinations and interpretations of the COMMITTEE in respect of the PLAN, this AGREEMENT and the RESTRICTED STOCK UNITS shall be final, conclusive and binding on PARTICIPANT, all other persons interested in the PLAN and stockholders of the COMPANY.</w:t>
      </w:r>
    </w:p>
    <w:p>
      <w:pPr>
        <w:spacing w:after="0" w:line="179" w:lineRule="exact"/>
        <w:rPr>
          <w:rFonts w:ascii="Times New Roman" w:cs="Times New Roman" w:eastAsia="Times New Roman" w:hAnsi="Times New Roman"/>
          <w:sz w:val="22"/>
          <w:szCs w:val="22"/>
          <w:color w:val="auto"/>
        </w:rPr>
      </w:pPr>
    </w:p>
    <w:p>
      <w:pPr>
        <w:jc w:val="both"/>
        <w:ind w:firstLine="656"/>
        <w:spacing w:after="0" w:line="248" w:lineRule="auto"/>
        <w:tabs>
          <w:tab w:leader="none" w:pos="1053"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 Subject to Applicable Laws and COMPANY Policies</w:t>
      </w:r>
      <w:r>
        <w:rPr>
          <w:rFonts w:ascii="Times New Roman" w:cs="Times New Roman" w:eastAsia="Times New Roman" w:hAnsi="Times New Roman"/>
          <w:sz w:val="22"/>
          <w:szCs w:val="22"/>
          <w:color w:val="auto"/>
        </w:rPr>
        <w:t>. This award of RESTRICTED STOCK UNITS shall be subject to any applicable clawback or recoupment policies, share trading policies, and other policies that may be implemented by the BOARD from time to time in accordance with applicable law. Notwithstanding anything in this AGREEMENT to the contrary, the PLAN, this AGREEMENT, and the RESTRICTED STOCK UNITS awarded hereunder shall be subject to all applicable laws, rules, regulations, listing requirements, restrictions, or governmental guidance that becomes applicable to the COMPANY, and the COMMITTEE reserves the right to modify this AGREEMENT and the RESTRICTED STOCK UNITS as necessary to conform to any restrictions imposed by any such laws, rules, regulations, listing requirements, restrictions, or governmental guidance or to conform to any applicable clawback or recoupment policies, share trading policies, and other policies that may be implemented by the BOARD from time to time. As a condition of participating in the Plan, and by PARTICIPANT’s acceptance of the RESTRICTED STOCK UNITS, PARTICIPANT is deemed to have agreed to any such modifications that may be imposed by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98" w:name="page99"/>
    <w:bookmarkEnd w:id="98"/>
    <w:p>
      <w:pPr>
        <w:spacing w:after="0" w:line="271" w:lineRule="auto"/>
        <w:rPr>
          <w:sz w:val="20"/>
          <w:szCs w:val="20"/>
          <w:color w:val="auto"/>
        </w:rPr>
      </w:pPr>
      <w:r>
        <w:rPr>
          <w:rFonts w:ascii="Times New Roman" w:cs="Times New Roman" w:eastAsia="Times New Roman" w:hAnsi="Times New Roman"/>
          <w:sz w:val="22"/>
          <w:szCs w:val="22"/>
          <w:color w:val="auto"/>
        </w:rPr>
        <w:t>and agrees to sign such waivers or acknowledgments as the COMMITTEE may deem necessary or appropriate with respect to such modifications.</w:t>
      </w:r>
    </w:p>
    <w:p>
      <w:pPr>
        <w:spacing w:after="0" w:line="158" w:lineRule="exact"/>
        <w:rPr>
          <w:sz w:val="20"/>
          <w:szCs w:val="20"/>
          <w:color w:val="auto"/>
        </w:rPr>
      </w:pPr>
    </w:p>
    <w:p>
      <w:pPr>
        <w:jc w:val="both"/>
        <w:ind w:firstLine="656"/>
        <w:spacing w:after="0" w:line="263" w:lineRule="auto"/>
        <w:tabs>
          <w:tab w:leader="none" w:pos="1147"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To the extent not preempted by applicable federal or foreign law, this AGREEMENT shall be governed by and construed in accordance with the laws of the State of Delaware, except with respect to provisions relating to the covenants set forth in Section 5 of this AGREEMENT, which shall be governed by the laws of the State of Ohio.</w:t>
      </w:r>
    </w:p>
    <w:p>
      <w:pPr>
        <w:spacing w:after="0" w:line="167" w:lineRule="exact"/>
        <w:rPr>
          <w:rFonts w:ascii="Times New Roman" w:cs="Times New Roman" w:eastAsia="Times New Roman" w:hAnsi="Times New Roman"/>
          <w:sz w:val="22"/>
          <w:szCs w:val="22"/>
          <w:color w:val="auto"/>
        </w:rPr>
      </w:pPr>
    </w:p>
    <w:p>
      <w:pPr>
        <w:jc w:val="both"/>
        <w:ind w:firstLine="656"/>
        <w:spacing w:after="0" w:line="256" w:lineRule="auto"/>
        <w:tabs>
          <w:tab w:leader="none" w:pos="1147"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and Remedies Cumulative</w:t>
      </w:r>
      <w:r>
        <w:rPr>
          <w:rFonts w:ascii="Times New Roman" w:cs="Times New Roman" w:eastAsia="Times New Roman" w:hAnsi="Times New Roman"/>
          <w:sz w:val="22"/>
          <w:szCs w:val="22"/>
          <w:color w:val="auto"/>
        </w:rPr>
        <w:t>. All rights and remedies of the COMPANY and of PARTICIPANT enumerated in this AGREEMENT shall be cumulative and, except as expressly provided otherwise in this AGREEMENT, none shall exclude any other rights or remedies allowed by law or in equity, and each of said rights or remedies may be exercised and enforced concurrently.</w:t>
      </w:r>
    </w:p>
    <w:p>
      <w:pPr>
        <w:spacing w:after="0" w:line="176" w:lineRule="exact"/>
        <w:rPr>
          <w:rFonts w:ascii="Times New Roman" w:cs="Times New Roman" w:eastAsia="Times New Roman" w:hAnsi="Times New Roman"/>
          <w:sz w:val="22"/>
          <w:szCs w:val="22"/>
          <w:color w:val="auto"/>
        </w:rPr>
      </w:pPr>
    </w:p>
    <w:p>
      <w:pPr>
        <w:jc w:val="both"/>
        <w:ind w:firstLine="656"/>
        <w:spacing w:after="0" w:line="257" w:lineRule="auto"/>
        <w:tabs>
          <w:tab w:leader="none" w:pos="1166"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Captions</w:t>
      </w:r>
      <w:r>
        <w:rPr>
          <w:rFonts w:ascii="Times New Roman" w:cs="Times New Roman" w:eastAsia="Times New Roman" w:hAnsi="Times New Roman"/>
          <w:sz w:val="22"/>
          <w:szCs w:val="22"/>
          <w:color w:val="auto"/>
        </w:rPr>
        <w:t>. The captions contained in this AGREEMENT are included only for convenience of reference and do not define, limit, explain or modify this AGREEMENT or its interpretation, construction or meaning and are in no way to be construed as a part of this AGREEMENT.</w:t>
      </w:r>
    </w:p>
    <w:p>
      <w:pPr>
        <w:spacing w:after="0" w:line="172" w:lineRule="exact"/>
        <w:rPr>
          <w:rFonts w:ascii="Times New Roman" w:cs="Times New Roman" w:eastAsia="Times New Roman" w:hAnsi="Times New Roman"/>
          <w:sz w:val="22"/>
          <w:szCs w:val="22"/>
          <w:color w:val="auto"/>
        </w:rPr>
      </w:pPr>
    </w:p>
    <w:p>
      <w:pPr>
        <w:jc w:val="both"/>
        <w:ind w:firstLine="656"/>
        <w:spacing w:after="0" w:line="250" w:lineRule="auto"/>
        <w:tabs>
          <w:tab w:leader="none" w:pos="1147"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of this AGREEMENT or the application of any provision hereof to any person or any circumstance shall be determined to be invalid or unenforceable, then such determination shall not affect any other provision of this AGREEMENT or the application of said provision to any other person or circumstance, all of which other provisions shall remain in full force and effect, and it is the intention of each party to this AGREEMENT that if any provision of this AGREEMENT is susceptible of two or more constructions, one of which would render the provision enforceable and the other or others of which would render the provision unenforceable, then the provision shall have the meaning which renders it enforceable.</w:t>
      </w:r>
    </w:p>
    <w:p>
      <w:pPr>
        <w:spacing w:after="0" w:line="193" w:lineRule="exact"/>
        <w:rPr>
          <w:rFonts w:ascii="Times New Roman" w:cs="Times New Roman" w:eastAsia="Times New Roman" w:hAnsi="Times New Roman"/>
          <w:sz w:val="22"/>
          <w:szCs w:val="22"/>
          <w:color w:val="auto"/>
        </w:rPr>
      </w:pPr>
    </w:p>
    <w:p>
      <w:pPr>
        <w:ind w:firstLine="656"/>
        <w:spacing w:after="0" w:line="271" w:lineRule="auto"/>
        <w:tabs>
          <w:tab w:leader="none" w:pos="1147"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Number and Gender</w:t>
      </w:r>
      <w:r>
        <w:rPr>
          <w:rFonts w:ascii="Times New Roman" w:cs="Times New Roman" w:eastAsia="Times New Roman" w:hAnsi="Times New Roman"/>
          <w:sz w:val="22"/>
          <w:szCs w:val="22"/>
          <w:color w:val="auto"/>
        </w:rPr>
        <w:t>. When used in this AGREEMENT, the number and gender of each pronoun shall be construed to be such number and gender as the context, circumstances or its antecedent may require.</w:t>
      </w:r>
    </w:p>
    <w:p>
      <w:pPr>
        <w:spacing w:after="0" w:line="157" w:lineRule="exact"/>
        <w:rPr>
          <w:rFonts w:ascii="Times New Roman" w:cs="Times New Roman" w:eastAsia="Times New Roman" w:hAnsi="Times New Roman"/>
          <w:sz w:val="22"/>
          <w:szCs w:val="22"/>
          <w:color w:val="auto"/>
        </w:rPr>
      </w:pPr>
    </w:p>
    <w:p>
      <w:pPr>
        <w:jc w:val="both"/>
        <w:ind w:firstLine="656"/>
        <w:spacing w:after="0" w:line="249" w:lineRule="auto"/>
        <w:tabs>
          <w:tab w:leader="none" w:pos="1147"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including the PLAN incorporated herein by reference, constitutes the entire agreement between the COMPANY and PARTICIPANT in respect of the subject matter of this AGREEMENT, and this AGREEMENT supersedes all prior and contemporaneous agreements between the parties hereto in connection with the subject matter of this AGREEMENT. No officer, employee or other servant or agent of the COMPANY, and no servant or agent of PARTICIPANT, is authorized to make any representation, warranty or other promise not contained in this AGREEMENT. Other than as set forth in Section 11(e) of the PLAN or Section 8 of this AGREEMENT, no change, termination or attempted waiver of any of the provisions of this AGREEMENT shall be binding upon either party hereto unless contained in a writing signed by the party to be charged.</w:t>
      </w:r>
    </w:p>
    <w:p>
      <w:pPr>
        <w:spacing w:after="0" w:line="181" w:lineRule="exact"/>
        <w:rPr>
          <w:rFonts w:ascii="Times New Roman" w:cs="Times New Roman" w:eastAsia="Times New Roman" w:hAnsi="Times New Roman"/>
          <w:sz w:val="22"/>
          <w:szCs w:val="22"/>
          <w:color w:val="auto"/>
        </w:rPr>
      </w:pPr>
    </w:p>
    <w:p>
      <w:pPr>
        <w:ind w:firstLine="656"/>
        <w:spacing w:after="0" w:line="284" w:lineRule="auto"/>
        <w:tabs>
          <w:tab w:leader="none" w:pos="1174"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 of the COMPANY</w:t>
      </w:r>
      <w:r>
        <w:rPr>
          <w:rFonts w:ascii="Times New Roman" w:cs="Times New Roman" w:eastAsia="Times New Roman" w:hAnsi="Times New Roman"/>
          <w:sz w:val="22"/>
          <w:szCs w:val="22"/>
          <w:color w:val="auto"/>
        </w:rPr>
        <w:t>. The obligations of the COMPANY under this AGREEMENT shall be binding upon any successor corporation or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2" w:right="339" w:bottom="1440" w:gutter="0" w:footer="0" w:header="0"/>
        </w:sectPr>
      </w:pPr>
    </w:p>
    <w:bookmarkStart w:id="99" w:name="page100"/>
    <w:bookmarkEnd w:id="99"/>
    <w:p>
      <w:pPr>
        <w:spacing w:after="0" w:line="271" w:lineRule="auto"/>
        <w:rPr>
          <w:sz w:val="20"/>
          <w:szCs w:val="20"/>
          <w:color w:val="auto"/>
        </w:rPr>
      </w:pPr>
      <w:r>
        <w:rPr>
          <w:rFonts w:ascii="Times New Roman" w:cs="Times New Roman" w:eastAsia="Times New Roman" w:hAnsi="Times New Roman"/>
          <w:sz w:val="22"/>
          <w:szCs w:val="22"/>
          <w:color w:val="auto"/>
        </w:rPr>
        <w:t>resulting from the merger, consolidation or other reorganization of the COMPANY, or upon any successor corporation or organization succeeding to substantially all of the assets and businesses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[Remainder of page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2" w:right="339" w:bottom="1440" w:gutter="0" w:footer="0" w:header="0"/>
        </w:sectPr>
      </w:pPr>
    </w:p>
    <w:bookmarkStart w:id="100" w:name="page101"/>
    <w:bookmarkEnd w:id="100"/>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COMPANY has caused this AGREEMENT to be executed by its duly authorized officer, and PARTICIPANT has executed this AGREEMENT, in each case effective as of the GRANT DATE.</w:t>
      </w:r>
    </w:p>
    <w:p>
      <w:pPr>
        <w:spacing w:after="0" w:line="200" w:lineRule="exact"/>
        <w:rPr>
          <w:sz w:val="20"/>
          <w:szCs w:val="20"/>
          <w:color w:val="auto"/>
        </w:rPr>
      </w:pPr>
    </w:p>
    <w:p>
      <w:pPr>
        <w:spacing w:after="0" w:line="20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ABERCROMBIE &amp; FITCH CO.</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By:</w:t>
      </w:r>
    </w:p>
    <w:p>
      <w:pPr>
        <w:spacing w:after="0" w:line="2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Its:</w:t>
      </w:r>
    </w:p>
    <w:p>
      <w:pPr>
        <w:spacing w:after="0" w:line="200" w:lineRule="exact"/>
        <w:rPr>
          <w:sz w:val="20"/>
          <w:szCs w:val="20"/>
          <w:color w:val="auto"/>
        </w:rPr>
      </w:pPr>
    </w:p>
    <w:p>
      <w:pPr>
        <w:spacing w:after="0" w:line="27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465455</wp:posOffset>
            </wp:positionV>
            <wp:extent cx="1371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Printed Name: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147955</wp:posOffset>
            </wp:positionV>
            <wp:extent cx="274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9">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311150</wp:posOffset>
            </wp:positionV>
            <wp:extent cx="274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0">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473710</wp:posOffset>
            </wp:positionV>
            <wp:extent cx="274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1">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20"/>
          </w:cols>
          <w:pgMar w:left="320" w:top="1422" w:right="359" w:bottom="1440" w:gutter="0" w:footer="0" w:header="0"/>
        </w:sectPr>
      </w:pPr>
    </w:p>
    <w:bookmarkStart w:id="101" w:name="page102"/>
    <w:bookmarkEnd w:id="101"/>
    <w:p>
      <w:pPr>
        <w:ind w:left="10140"/>
        <w:spacing w:after="0"/>
        <w:rPr>
          <w:sz w:val="20"/>
          <w:szCs w:val="20"/>
          <w:color w:val="auto"/>
        </w:rPr>
      </w:pPr>
      <w:r>
        <w:rPr>
          <w:rFonts w:ascii="Arial" w:cs="Arial" w:eastAsia="Arial" w:hAnsi="Arial"/>
          <w:sz w:val="19"/>
          <w:szCs w:val="19"/>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ABERCROMBIE &amp; FITCH CO.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Insider Trading Policy</w:t>
      </w:r>
    </w:p>
    <w:p>
      <w:pPr>
        <w:jc w:val="center"/>
        <w:spacing w:after="0"/>
        <w:rPr>
          <w:sz w:val="20"/>
          <w:szCs w:val="20"/>
          <w:color w:val="auto"/>
        </w:rPr>
      </w:pPr>
      <w:r>
        <w:rPr>
          <w:rFonts w:ascii="Arial" w:cs="Arial" w:eastAsia="Arial" w:hAnsi="Arial"/>
          <w:sz w:val="20"/>
          <w:szCs w:val="20"/>
          <w:b w:val="1"/>
          <w:bCs w:val="1"/>
          <w:color w:val="auto"/>
        </w:rPr>
        <w:t xml:space="preserve">Policy Effective: </w:t>
      </w:r>
      <w:r>
        <w:rPr>
          <w:rFonts w:ascii="Arial" w:cs="Arial" w:eastAsia="Arial" w:hAnsi="Arial"/>
          <w:sz w:val="20"/>
          <w:szCs w:val="20"/>
          <w:color w:val="auto"/>
        </w:rPr>
        <w:t>February 1, 2024</w:t>
      </w:r>
    </w:p>
    <w:p>
      <w:pPr>
        <w:spacing w:after="0" w:line="209" w:lineRule="exact"/>
        <w:rPr>
          <w:sz w:val="20"/>
          <w:szCs w:val="20"/>
          <w:color w:val="auto"/>
        </w:rPr>
      </w:pPr>
    </w:p>
    <w:p>
      <w:pPr>
        <w:ind w:left="340" w:hanging="332"/>
        <w:spacing w:after="0"/>
        <w:tabs>
          <w:tab w:leader="none" w:pos="340" w:val="left"/>
        </w:tabs>
        <w:numPr>
          <w:ilvl w:val="0"/>
          <w:numId w:val="9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INTRODUCTION</w:t>
      </w:r>
    </w:p>
    <w:p>
      <w:pPr>
        <w:spacing w:after="0" w:line="24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The Board of Directors of Abercrombie &amp; Fitch Co.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has adopted this Insider Trading Policy (the “</w:t>
      </w:r>
      <w:r>
        <w:rPr>
          <w:rFonts w:ascii="Arial" w:cs="Arial" w:eastAsia="Arial" w:hAnsi="Arial"/>
          <w:sz w:val="20"/>
          <w:szCs w:val="20"/>
          <w:b w:val="1"/>
          <w:bCs w:val="1"/>
          <w:i w:val="1"/>
          <w:iCs w:val="1"/>
          <w:color w:val="auto"/>
        </w:rPr>
        <w:t>Policy</w:t>
      </w:r>
      <w:r>
        <w:rPr>
          <w:rFonts w:ascii="Arial" w:cs="Arial" w:eastAsia="Arial" w:hAnsi="Arial"/>
          <w:sz w:val="20"/>
          <w:szCs w:val="20"/>
          <w:color w:val="auto"/>
        </w:rPr>
        <w:t>”) to establish acceptable transactions in Company securities by our associates, directors, advisors, and consultants (collectively, “</w:t>
      </w:r>
      <w:r>
        <w:rPr>
          <w:rFonts w:ascii="Arial" w:cs="Arial" w:eastAsia="Arial" w:hAnsi="Arial"/>
          <w:sz w:val="20"/>
          <w:szCs w:val="20"/>
          <w:b w:val="1"/>
          <w:bCs w:val="1"/>
          <w:i w:val="1"/>
          <w:iCs w:val="1"/>
          <w:color w:val="auto"/>
        </w:rPr>
        <w:t>Covered Persons</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During the course of your tenure with the Company, you may receive important information that has not yet been publicly announced by the Company or concerning other publicly-traded companies with which the Company has business dealings (“</w:t>
      </w:r>
      <w:r>
        <w:rPr>
          <w:rFonts w:ascii="Arial" w:cs="Arial" w:eastAsia="Arial" w:hAnsi="Arial"/>
          <w:sz w:val="20"/>
          <w:szCs w:val="20"/>
          <w:b w:val="1"/>
          <w:bCs w:val="1"/>
          <w:i w:val="1"/>
          <w:iCs w:val="1"/>
          <w:color w:val="auto"/>
        </w:rPr>
        <w:t>material non-public information</w:t>
      </w:r>
      <w:r>
        <w:rPr>
          <w:rFonts w:ascii="Arial" w:cs="Arial" w:eastAsia="Arial" w:hAnsi="Arial"/>
          <w:sz w:val="20"/>
          <w:szCs w:val="20"/>
          <w:color w:val="auto"/>
        </w:rPr>
        <w:t>”). Because of your access to this material non-public information, you may be in a position to potentially profit financially by buying or selling, or in some other way dealing, in Company stock, or stock of another publicly-traded company, or to disclose such information to a third party who does so profit (a “</w:t>
      </w:r>
      <w:r>
        <w:rPr>
          <w:rFonts w:ascii="Arial" w:cs="Arial" w:eastAsia="Arial" w:hAnsi="Arial"/>
          <w:sz w:val="20"/>
          <w:szCs w:val="20"/>
          <w:b w:val="1"/>
          <w:bCs w:val="1"/>
          <w:i w:val="1"/>
          <w:iCs w:val="1"/>
          <w:color w:val="auto"/>
        </w:rPr>
        <w:t>tippee</w:t>
      </w:r>
      <w:r>
        <w:rPr>
          <w:rFonts w:ascii="Arial" w:cs="Arial" w:eastAsia="Arial" w:hAnsi="Arial"/>
          <w:sz w:val="20"/>
          <w:szCs w:val="20"/>
          <w:color w:val="auto"/>
        </w:rPr>
        <w:t>”).</w:t>
      </w:r>
    </w:p>
    <w:p>
      <w:pPr>
        <w:spacing w:after="0" w:line="19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This Policy applies to you and to (i) anyone who resides with you or lives in your household, and any family members who do not live with you, but whose transactions in Company securities are directed by, or are subject to, your influence or control, such as parents or children (collectively, “</w:t>
      </w:r>
      <w:r>
        <w:rPr>
          <w:rFonts w:ascii="Arial" w:cs="Arial" w:eastAsia="Arial" w:hAnsi="Arial"/>
          <w:sz w:val="20"/>
          <w:szCs w:val="20"/>
          <w:b w:val="1"/>
          <w:bCs w:val="1"/>
          <w:i w:val="1"/>
          <w:iCs w:val="1"/>
          <w:color w:val="auto"/>
        </w:rPr>
        <w:t>Family Members</w:t>
      </w:r>
      <w:r>
        <w:rPr>
          <w:rFonts w:ascii="Arial" w:cs="Arial" w:eastAsia="Arial" w:hAnsi="Arial"/>
          <w:sz w:val="20"/>
          <w:szCs w:val="20"/>
          <w:color w:val="auto"/>
        </w:rPr>
        <w:t>”) and (ii) entities controlled by you (“</w:t>
      </w:r>
      <w:r>
        <w:rPr>
          <w:rFonts w:ascii="Arial" w:cs="Arial" w:eastAsia="Arial" w:hAnsi="Arial"/>
          <w:sz w:val="20"/>
          <w:szCs w:val="20"/>
          <w:b w:val="1"/>
          <w:bCs w:val="1"/>
          <w:i w:val="1"/>
          <w:iCs w:val="1"/>
          <w:color w:val="auto"/>
        </w:rPr>
        <w:t>Related Entities</w:t>
      </w:r>
      <w:r>
        <w:rPr>
          <w:rFonts w:ascii="Arial" w:cs="Arial" w:eastAsia="Arial" w:hAnsi="Arial"/>
          <w:sz w:val="20"/>
          <w:szCs w:val="20"/>
          <w:color w:val="auto"/>
        </w:rPr>
        <w:t>”). It is your obligation to make your Family Members and Related Entities aware of, and understand and comply with, the provisions and obligations of this Policy.</w:t>
      </w:r>
    </w:p>
    <w:p>
      <w:pPr>
        <w:spacing w:after="0" w:line="21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It is important that you understand the breadth of activities that constitute illegal insider trading and the consequences, which can be serious. The U.S. Securities and Exchange Commission (“</w:t>
      </w:r>
      <w:r>
        <w:rPr>
          <w:rFonts w:ascii="Arial" w:cs="Arial" w:eastAsia="Arial" w:hAnsi="Arial"/>
          <w:sz w:val="20"/>
          <w:szCs w:val="20"/>
          <w:b w:val="1"/>
          <w:bCs w:val="1"/>
          <w:i w:val="1"/>
          <w:iCs w:val="1"/>
          <w:color w:val="auto"/>
        </w:rPr>
        <w:t>SEC</w:t>
      </w:r>
      <w:r>
        <w:rPr>
          <w:rFonts w:ascii="Arial" w:cs="Arial" w:eastAsia="Arial" w:hAnsi="Arial"/>
          <w:sz w:val="20"/>
          <w:szCs w:val="20"/>
          <w:color w:val="auto"/>
        </w:rPr>
        <w:t>”), the Financial Industry Regulatory Authority, and the New York Stock Exchange investigate and are very effective at detecting insider trading. Cases have been successfully prosecuted against individuals as a result of trading involving only a small number of shares. There are no exceptions for small or “immaterial” transactions.</w:t>
      </w:r>
    </w:p>
    <w:p>
      <w:pPr>
        <w:spacing w:after="0" w:line="214"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20"/>
          <w:szCs w:val="20"/>
          <w:color w:val="auto"/>
        </w:rPr>
        <w:t>This Policy applies even after your termination of employment or service with the Company. Please refer to Section IV below for additional information.</w:t>
      </w:r>
    </w:p>
    <w:p>
      <w:pPr>
        <w:spacing w:after="0" w:line="196"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0"/>
          <w:szCs w:val="20"/>
          <w:color w:val="auto"/>
        </w:rPr>
        <w:t>There are no exceptions to this Policy, even for situations that may seem necessary or justifiable (such as the need to raise money for an emergency expenditure) or small transactions. If material non-public information is inadvertently disclosed – no matter what the circumstances – the person making or discovering that disclosure should immediately report the disclosure to the Company’s General Counsel or their designee(s) (the “</w:t>
      </w:r>
      <w:r>
        <w:rPr>
          <w:rFonts w:ascii="Arial" w:cs="Arial" w:eastAsia="Arial" w:hAnsi="Arial"/>
          <w:sz w:val="20"/>
          <w:szCs w:val="20"/>
          <w:b w:val="1"/>
          <w:bCs w:val="1"/>
          <w:i w:val="1"/>
          <w:iCs w:val="1"/>
          <w:color w:val="auto"/>
        </w:rPr>
        <w:t>Clearing Officer</w:t>
      </w:r>
      <w:r>
        <w:rPr>
          <w:rFonts w:ascii="Arial" w:cs="Arial" w:eastAsia="Arial" w:hAnsi="Arial"/>
          <w:sz w:val="20"/>
          <w:szCs w:val="20"/>
          <w:color w:val="auto"/>
        </w:rPr>
        <w:t>”).</w:t>
      </w:r>
    </w:p>
    <w:p>
      <w:pPr>
        <w:spacing w:after="0" w:line="2"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0"/>
          <w:szCs w:val="20"/>
          <w:color w:val="auto"/>
        </w:rPr>
        <w:t>Any Covered Person who has questions about this Policy should contact their own attorney or the Clearing Officer. Upon request, any Covered Person must certify their understanding of, and compliance with, this Policy.</w:t>
      </w:r>
    </w:p>
    <w:p>
      <w:pPr>
        <w:spacing w:after="0" w:line="184" w:lineRule="exact"/>
        <w:rPr>
          <w:sz w:val="20"/>
          <w:szCs w:val="20"/>
          <w:color w:val="auto"/>
        </w:rPr>
      </w:pPr>
    </w:p>
    <w:p>
      <w:pPr>
        <w:ind w:left="400" w:hanging="392"/>
        <w:spacing w:after="0"/>
        <w:tabs>
          <w:tab w:leader="none" w:pos="400" w:val="left"/>
        </w:tabs>
        <w:numPr>
          <w:ilvl w:val="0"/>
          <w:numId w:val="9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PROHIBITED ACTIVITY</w:t>
      </w:r>
    </w:p>
    <w:p>
      <w:pPr>
        <w:spacing w:after="0" w:line="245" w:lineRule="exact"/>
        <w:rPr>
          <w:sz w:val="20"/>
          <w:szCs w:val="20"/>
          <w:color w:val="auto"/>
        </w:rPr>
      </w:pPr>
    </w:p>
    <w:p>
      <w:pPr>
        <w:ind w:left="420" w:hanging="412"/>
        <w:spacing w:after="0"/>
        <w:tabs>
          <w:tab w:leader="none" w:pos="420" w:val="left"/>
        </w:tabs>
        <w:numPr>
          <w:ilvl w:val="0"/>
          <w:numId w:val="97"/>
        </w:numPr>
        <w:rPr>
          <w:rFonts w:ascii="Arial" w:cs="Arial" w:eastAsia="Arial" w:hAnsi="Arial"/>
          <w:sz w:val="20"/>
          <w:szCs w:val="20"/>
          <w:color w:val="auto"/>
        </w:rPr>
      </w:pPr>
      <w:r>
        <w:rPr>
          <w:rFonts w:ascii="Arial" w:cs="Arial" w:eastAsia="Arial" w:hAnsi="Arial"/>
          <w:sz w:val="20"/>
          <w:szCs w:val="20"/>
          <w:i w:val="1"/>
          <w:iCs w:val="1"/>
          <w:color w:val="auto"/>
        </w:rPr>
        <w:t>Use of Material Non-Public Information in Securities Transactions Prohibited</w:t>
      </w:r>
    </w:p>
    <w:p>
      <w:pPr>
        <w:spacing w:after="0" w:line="229"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color w:val="auto"/>
        </w:rPr>
        <w:t>Use of material non-public information by you for personal gain or profit, or to pass on, or “tip,” the material non-public information to someone who uses it for personal gain or profit, is illegal, regardless of the quantity of shares involved, and is therefore prohibited. You can be held liable both for your own transactions and for transactions effected by a tippee, or even a tippee</w:t>
      </w:r>
    </w:p>
    <w:p>
      <w:pPr>
        <w:sectPr>
          <w:pgSz w:w="11900" w:h="16838" w:orient="portrait"/>
          <w:cols w:equalWidth="0" w:num="1">
            <w:col w:w="11240"/>
          </w:cols>
          <w:pgMar w:left="320" w:top="104" w:right="339" w:bottom="1440" w:gutter="0" w:footer="0" w:header="0"/>
        </w:sectPr>
      </w:pPr>
    </w:p>
    <w:bookmarkStart w:id="102" w:name="page103"/>
    <w:bookmarkEnd w:id="102"/>
    <w:p>
      <w:pPr>
        <w:jc w:val="both"/>
        <w:spacing w:after="0"/>
        <w:rPr>
          <w:sz w:val="20"/>
          <w:szCs w:val="20"/>
          <w:color w:val="auto"/>
        </w:rPr>
      </w:pPr>
      <w:r>
        <w:rPr>
          <w:rFonts w:ascii="Arial" w:cs="Arial" w:eastAsia="Arial" w:hAnsi="Arial"/>
          <w:sz w:val="20"/>
          <w:szCs w:val="20"/>
          <w:color w:val="auto"/>
        </w:rPr>
        <w:t>of a tippee. Furthermore, it is important that the appearance of insider trading in securities be avoided. The only exceptions to the restrictions of this Policy are certain transactions directly between you and the Company, as described further in Section II.F.1 below. However, any subsequent sale (including the sale of shares in a cashless exercise program) or other disposition of stock acquired through these transactions is fully subject to the restrictions of this Policy.</w:t>
      </w:r>
    </w:p>
    <w:p>
      <w:pPr>
        <w:spacing w:after="0" w:line="21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Accordingly, you, any Family Member, and any Related Entity may not:</w:t>
      </w:r>
    </w:p>
    <w:p>
      <w:pPr>
        <w:spacing w:after="0" w:line="229" w:lineRule="exact"/>
        <w:rPr>
          <w:sz w:val="20"/>
          <w:szCs w:val="20"/>
          <w:color w:val="auto"/>
        </w:rPr>
      </w:pPr>
    </w:p>
    <w:p>
      <w:pPr>
        <w:jc w:val="both"/>
        <w:ind w:left="1380" w:hanging="400"/>
        <w:spacing w:after="0" w:line="248" w:lineRule="auto"/>
        <w:tabs>
          <w:tab w:leader="none" w:pos="1368" w:val="left"/>
        </w:tabs>
        <w:numPr>
          <w:ilvl w:val="0"/>
          <w:numId w:val="98"/>
        </w:numPr>
        <w:rPr>
          <w:rFonts w:ascii="Arial" w:cs="Arial" w:eastAsia="Arial" w:hAnsi="Arial"/>
          <w:sz w:val="20"/>
          <w:szCs w:val="20"/>
          <w:color w:val="auto"/>
        </w:rPr>
      </w:pPr>
      <w:r>
        <w:rPr>
          <w:rFonts w:ascii="Arial" w:cs="Arial" w:eastAsia="Arial" w:hAnsi="Arial"/>
          <w:sz w:val="20"/>
          <w:szCs w:val="20"/>
          <w:color w:val="auto"/>
        </w:rPr>
        <w:t>Buy, sell, or otherwise engage in any transactions, either directly or through a third party, (“</w:t>
      </w:r>
      <w:r>
        <w:rPr>
          <w:rFonts w:ascii="Arial" w:cs="Arial" w:eastAsia="Arial" w:hAnsi="Arial"/>
          <w:sz w:val="20"/>
          <w:szCs w:val="20"/>
          <w:b w:val="1"/>
          <w:bCs w:val="1"/>
          <w:i w:val="1"/>
          <w:iCs w:val="1"/>
          <w:color w:val="auto"/>
        </w:rPr>
        <w:t>trade</w:t>
      </w:r>
      <w:r>
        <w:rPr>
          <w:rFonts w:ascii="Arial" w:cs="Arial" w:eastAsia="Arial" w:hAnsi="Arial"/>
          <w:sz w:val="20"/>
          <w:szCs w:val="20"/>
          <w:color w:val="auto"/>
        </w:rPr>
        <w:t>”) in Company securities or the securities of another publicly-traded company with which the Company has business dealings while in possession of material non-public information regarding the Company or such other company.</w:t>
      </w:r>
    </w:p>
    <w:p>
      <w:pPr>
        <w:spacing w:after="0" w:line="191" w:lineRule="exact"/>
        <w:rPr>
          <w:rFonts w:ascii="Arial" w:cs="Arial" w:eastAsia="Arial" w:hAnsi="Arial"/>
          <w:sz w:val="20"/>
          <w:szCs w:val="20"/>
          <w:color w:val="auto"/>
        </w:rPr>
      </w:pPr>
    </w:p>
    <w:p>
      <w:pPr>
        <w:jc w:val="both"/>
        <w:ind w:left="1300" w:hanging="320"/>
        <w:spacing w:after="0" w:line="253" w:lineRule="auto"/>
        <w:tabs>
          <w:tab w:leader="none" w:pos="1288" w:val="left"/>
        </w:tabs>
        <w:numPr>
          <w:ilvl w:val="0"/>
          <w:numId w:val="98"/>
        </w:numPr>
        <w:rPr>
          <w:rFonts w:ascii="Arial" w:cs="Arial" w:eastAsia="Arial" w:hAnsi="Arial"/>
          <w:sz w:val="20"/>
          <w:szCs w:val="20"/>
          <w:color w:val="auto"/>
        </w:rPr>
      </w:pPr>
      <w:r>
        <w:rPr>
          <w:rFonts w:ascii="Arial" w:cs="Arial" w:eastAsia="Arial" w:hAnsi="Arial"/>
          <w:sz w:val="20"/>
          <w:szCs w:val="20"/>
          <w:color w:val="auto"/>
        </w:rPr>
        <w:t>Make any changes in enrollment or elections relating to Company securities under any contributory plan, including the Abercrombie &amp; Fitch Co. Associate Stock Purchase Plan (the “</w:t>
      </w:r>
      <w:r>
        <w:rPr>
          <w:rFonts w:ascii="Arial" w:cs="Arial" w:eastAsia="Arial" w:hAnsi="Arial"/>
          <w:sz w:val="20"/>
          <w:szCs w:val="20"/>
          <w:b w:val="1"/>
          <w:bCs w:val="1"/>
          <w:i w:val="1"/>
          <w:iCs w:val="1"/>
          <w:color w:val="auto"/>
        </w:rPr>
        <w:t>ASPP</w:t>
      </w:r>
      <w:r>
        <w:rPr>
          <w:rFonts w:ascii="Arial" w:cs="Arial" w:eastAsia="Arial" w:hAnsi="Arial"/>
          <w:sz w:val="20"/>
          <w:szCs w:val="20"/>
          <w:color w:val="auto"/>
        </w:rPr>
        <w:t>”) and the Directors’ Deferred Compensation Plan (the “</w:t>
      </w:r>
      <w:r>
        <w:rPr>
          <w:rFonts w:ascii="Arial" w:cs="Arial" w:eastAsia="Arial" w:hAnsi="Arial"/>
          <w:sz w:val="20"/>
          <w:szCs w:val="20"/>
          <w:b w:val="1"/>
          <w:bCs w:val="1"/>
          <w:i w:val="1"/>
          <w:iCs w:val="1"/>
          <w:color w:val="auto"/>
        </w:rPr>
        <w:t>DCP</w:t>
      </w:r>
      <w:r>
        <w:rPr>
          <w:rFonts w:ascii="Arial" w:cs="Arial" w:eastAsia="Arial" w:hAnsi="Arial"/>
          <w:sz w:val="20"/>
          <w:szCs w:val="20"/>
          <w:color w:val="auto"/>
        </w:rPr>
        <w:t>” and, together with the ASPP, the “</w:t>
      </w:r>
      <w:r>
        <w:rPr>
          <w:rFonts w:ascii="Arial" w:cs="Arial" w:eastAsia="Arial" w:hAnsi="Arial"/>
          <w:sz w:val="20"/>
          <w:szCs w:val="20"/>
          <w:b w:val="1"/>
          <w:bCs w:val="1"/>
          <w:i w:val="1"/>
          <w:iCs w:val="1"/>
          <w:color w:val="auto"/>
        </w:rPr>
        <w:t>Contributory Plans</w:t>
      </w:r>
      <w:r>
        <w:rPr>
          <w:rFonts w:ascii="Arial" w:cs="Arial" w:eastAsia="Arial" w:hAnsi="Arial"/>
          <w:sz w:val="20"/>
          <w:szCs w:val="20"/>
          <w:color w:val="auto"/>
        </w:rPr>
        <w:t>”).</w:t>
      </w:r>
    </w:p>
    <w:p>
      <w:pPr>
        <w:spacing w:after="0" w:line="190" w:lineRule="exact"/>
        <w:rPr>
          <w:rFonts w:ascii="Arial" w:cs="Arial" w:eastAsia="Arial" w:hAnsi="Arial"/>
          <w:sz w:val="20"/>
          <w:szCs w:val="20"/>
          <w:color w:val="auto"/>
        </w:rPr>
      </w:pPr>
    </w:p>
    <w:p>
      <w:pPr>
        <w:ind w:left="1300" w:hanging="320"/>
        <w:spacing w:after="0" w:line="257" w:lineRule="auto"/>
        <w:tabs>
          <w:tab w:leader="none" w:pos="1288" w:val="left"/>
        </w:tabs>
        <w:numPr>
          <w:ilvl w:val="0"/>
          <w:numId w:val="98"/>
        </w:numPr>
        <w:rPr>
          <w:rFonts w:ascii="Arial" w:cs="Arial" w:eastAsia="Arial" w:hAnsi="Arial"/>
          <w:sz w:val="20"/>
          <w:szCs w:val="20"/>
          <w:color w:val="auto"/>
        </w:rPr>
      </w:pPr>
      <w:r>
        <w:rPr>
          <w:rFonts w:ascii="Arial" w:cs="Arial" w:eastAsia="Arial" w:hAnsi="Arial"/>
          <w:sz w:val="20"/>
          <w:szCs w:val="20"/>
          <w:color w:val="auto"/>
        </w:rPr>
        <w:t>Tip, directly or indirectly, material non-public information to any person who might (i) trade in Company securities or (ii) pass along such information to others who might trade.</w:t>
      </w:r>
    </w:p>
    <w:p>
      <w:pPr>
        <w:spacing w:after="0" w:line="182" w:lineRule="exact"/>
        <w:rPr>
          <w:rFonts w:ascii="Arial" w:cs="Arial" w:eastAsia="Arial" w:hAnsi="Arial"/>
          <w:sz w:val="20"/>
          <w:szCs w:val="20"/>
          <w:color w:val="auto"/>
        </w:rPr>
      </w:pPr>
    </w:p>
    <w:p>
      <w:pPr>
        <w:ind w:left="1300" w:hanging="320"/>
        <w:spacing w:after="0" w:line="271" w:lineRule="auto"/>
        <w:tabs>
          <w:tab w:leader="none" w:pos="1288" w:val="left"/>
        </w:tabs>
        <w:numPr>
          <w:ilvl w:val="0"/>
          <w:numId w:val="98"/>
        </w:numPr>
        <w:rPr>
          <w:rFonts w:ascii="Arial" w:cs="Arial" w:eastAsia="Arial" w:hAnsi="Arial"/>
          <w:sz w:val="20"/>
          <w:szCs w:val="20"/>
          <w:color w:val="auto"/>
        </w:rPr>
      </w:pPr>
      <w:r>
        <w:rPr>
          <w:rFonts w:ascii="Arial" w:cs="Arial" w:eastAsia="Arial" w:hAnsi="Arial"/>
          <w:sz w:val="20"/>
          <w:szCs w:val="20"/>
          <w:color w:val="auto"/>
        </w:rPr>
        <w:t>Make recommendations or express opinions to any person about trading in Company securities on the basis of material non-public information.</w:t>
      </w:r>
    </w:p>
    <w:p>
      <w:pPr>
        <w:spacing w:after="0" w:line="169" w:lineRule="exact"/>
        <w:rPr>
          <w:rFonts w:ascii="Arial" w:cs="Arial" w:eastAsia="Arial" w:hAnsi="Arial"/>
          <w:sz w:val="20"/>
          <w:szCs w:val="20"/>
          <w:color w:val="auto"/>
        </w:rPr>
      </w:pPr>
    </w:p>
    <w:p>
      <w:pPr>
        <w:jc w:val="both"/>
        <w:ind w:left="1300" w:hanging="320"/>
        <w:spacing w:after="0" w:line="245" w:lineRule="auto"/>
        <w:tabs>
          <w:tab w:leader="none" w:pos="1288" w:val="left"/>
        </w:tabs>
        <w:numPr>
          <w:ilvl w:val="0"/>
          <w:numId w:val="98"/>
        </w:numPr>
        <w:rPr>
          <w:rFonts w:ascii="Arial" w:cs="Arial" w:eastAsia="Arial" w:hAnsi="Arial"/>
          <w:sz w:val="20"/>
          <w:szCs w:val="20"/>
          <w:color w:val="auto"/>
        </w:rPr>
      </w:pPr>
      <w:r>
        <w:rPr>
          <w:rFonts w:ascii="Arial" w:cs="Arial" w:eastAsia="Arial" w:hAnsi="Arial"/>
          <w:sz w:val="20"/>
          <w:szCs w:val="20"/>
          <w:color w:val="auto"/>
        </w:rPr>
        <w:t>Additionally, you may not, directly or indirectly, disclose material non-public information to anyone (i) within the Company whose job does not require them to have that information or (ii) outside the Company including, but not limited to, Family Members, Related Entities, friends, business associates, investors, and consulting firms, unless the disclosure is authorized by the Company.</w:t>
      </w:r>
    </w:p>
    <w:p>
      <w:pPr>
        <w:spacing w:after="0" w:line="195"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In the event you receive any inquiry or request for information (particularly financial results and/or projections, including to affirm or deny information about the Company) from any person or entity outside the Company, such as a stock analyst or news reporter, and it is not part of your regular corporate duties to respond to such an inquiry or request, the inquiry should be referred to Investor Relations, which will determine whether the inquiry should also be forwarded to the Clearing Officer.</w:t>
      </w:r>
    </w:p>
    <w:p>
      <w:pPr>
        <w:spacing w:after="0" w:line="214" w:lineRule="exact"/>
        <w:rPr>
          <w:sz w:val="20"/>
          <w:szCs w:val="20"/>
          <w:color w:val="auto"/>
        </w:rPr>
      </w:pPr>
    </w:p>
    <w:p>
      <w:pPr>
        <w:ind w:left="420" w:hanging="412"/>
        <w:spacing w:after="0"/>
        <w:tabs>
          <w:tab w:leader="none" w:pos="420" w:val="left"/>
        </w:tabs>
        <w:numPr>
          <w:ilvl w:val="0"/>
          <w:numId w:val="99"/>
        </w:numPr>
        <w:rPr>
          <w:rFonts w:ascii="Arial" w:cs="Arial" w:eastAsia="Arial" w:hAnsi="Arial"/>
          <w:sz w:val="20"/>
          <w:szCs w:val="20"/>
          <w:color w:val="auto"/>
        </w:rPr>
      </w:pPr>
      <w:r>
        <w:rPr>
          <w:rFonts w:ascii="Arial" w:cs="Arial" w:eastAsia="Arial" w:hAnsi="Arial"/>
          <w:sz w:val="20"/>
          <w:szCs w:val="20"/>
          <w:i w:val="1"/>
          <w:iCs w:val="1"/>
          <w:color w:val="auto"/>
        </w:rPr>
        <w:t>Material Non-Public Information</w:t>
      </w:r>
    </w:p>
    <w:p>
      <w:pPr>
        <w:spacing w:after="0" w:line="22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As a practical matter, it is sometimes difficult to determine whether you possess “inside” or material non-public information. Under the securities laws, “material” information is: (i) any information that a reasonable investor would likely consider important in deciding whether to buy, sell, or hold the Company’s securities; or (ii) any information that might affect the market or price for the Company’s securities (whether positive or negative). Certainly, if the information makes you want to trade, it would probably have the same effect on others. Remember, both positive and negative information can be material. If you possess material non-public information, you may not trade in a company’s securities, advise anyone else to do so, or communicate the information to anyone else until you know that the information has been publicly disseminated. For information to be considered publicly disseminated, it must be widely</w:t>
      </w:r>
    </w:p>
    <w:p>
      <w:pPr>
        <w:sectPr>
          <w:pgSz w:w="11900" w:h="16838" w:orient="portrait"/>
          <w:cols w:equalWidth="0" w:num="1">
            <w:col w:w="11240"/>
          </w:cols>
          <w:pgMar w:left="320" w:top="1414" w:right="339" w:bottom="1440" w:gutter="0" w:footer="0" w:header="0"/>
        </w:sectPr>
      </w:pPr>
    </w:p>
    <w:bookmarkStart w:id="103" w:name="page104"/>
    <w:bookmarkEnd w:id="103"/>
    <w:p>
      <w:pPr>
        <w:jc w:val="both"/>
        <w:spacing w:after="0" w:line="257" w:lineRule="auto"/>
        <w:rPr>
          <w:sz w:val="20"/>
          <w:szCs w:val="20"/>
          <w:color w:val="auto"/>
        </w:rPr>
      </w:pPr>
      <w:r>
        <w:rPr>
          <w:rFonts w:ascii="Arial" w:cs="Arial" w:eastAsia="Arial" w:hAnsi="Arial"/>
          <w:sz w:val="19"/>
          <w:szCs w:val="19"/>
          <w:color w:val="auto"/>
        </w:rPr>
        <w:t>disclosed through a press release or SEC filing, and a sufficient amount of time (i.e., two business days) has passed to allow the information to be fully absorbed and evaluated. This means that in some circumstances, you may have to forego a proposed transaction in a company’s securities even if you planned to execute the transaction prior to learning of the material non-public information and even though you believe you may suffer an economic loss or sacrifice an anticipated profit by waiting.</w:t>
      </w:r>
    </w:p>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Although by no means an all-inclusive list, information about the following items (whether positive or negative) may be considered to be material non-public information until it is publicly disseminated:</w:t>
      </w:r>
    </w:p>
    <w:p>
      <w:pPr>
        <w:spacing w:after="0" w:line="196" w:lineRule="exact"/>
        <w:rPr>
          <w:sz w:val="20"/>
          <w:szCs w:val="20"/>
          <w:color w:val="auto"/>
        </w:rPr>
      </w:pPr>
    </w:p>
    <w:p>
      <w:pPr>
        <w:ind w:left="640" w:hanging="308"/>
        <w:spacing w:after="0"/>
        <w:tabs>
          <w:tab w:leader="none" w:pos="64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recent operating or financial results;</w:t>
      </w:r>
    </w:p>
    <w:p>
      <w:pPr>
        <w:spacing w:after="0" w:line="4" w:lineRule="exact"/>
        <w:rPr>
          <w:rFonts w:ascii="Arial" w:cs="Arial" w:eastAsia="Arial" w:hAnsi="Arial"/>
          <w:sz w:val="20"/>
          <w:szCs w:val="20"/>
          <w:color w:val="auto"/>
        </w:rPr>
      </w:pPr>
    </w:p>
    <w:p>
      <w:pPr>
        <w:ind w:left="640" w:hanging="308"/>
        <w:spacing w:after="0" w:line="225" w:lineRule="auto"/>
        <w:tabs>
          <w:tab w:leader="none" w:pos="64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the Board of Directors’ approval of a stock repurchase program;</w:t>
      </w:r>
    </w:p>
    <w:p>
      <w:pPr>
        <w:ind w:left="640" w:hanging="308"/>
        <w:spacing w:after="0"/>
        <w:tabs>
          <w:tab w:leader="none" w:pos="64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projections of future earnings or losses, or other earnings-related guidance;</w:t>
      </w:r>
    </w:p>
    <w:p>
      <w:pPr>
        <w:ind w:left="640" w:hanging="308"/>
        <w:spacing w:after="0" w:line="225" w:lineRule="auto"/>
        <w:tabs>
          <w:tab w:leader="none" w:pos="64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changes to previously announced, or the decision to suspend, earnings guidance;</w:t>
      </w:r>
    </w:p>
    <w:p>
      <w:pPr>
        <w:ind w:left="640" w:hanging="308"/>
        <w:spacing w:after="0"/>
        <w:tabs>
          <w:tab w:leader="none" w:pos="64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developments affecting financial stability or liquidity;</w:t>
      </w:r>
    </w:p>
    <w:p>
      <w:pPr>
        <w:ind w:left="640" w:hanging="308"/>
        <w:spacing w:after="0" w:line="225" w:lineRule="auto"/>
        <w:tabs>
          <w:tab w:leader="none" w:pos="64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changes in auditors or notification that an auditor’s report may no longer be relied upon;</w:t>
      </w:r>
    </w:p>
    <w:p>
      <w:pPr>
        <w:ind w:left="640" w:hanging="308"/>
        <w:spacing w:after="0" w:line="225" w:lineRule="auto"/>
        <w:tabs>
          <w:tab w:leader="none" w:pos="64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changes in business plans or strategies;</w:t>
      </w:r>
    </w:p>
    <w:p>
      <w:pPr>
        <w:ind w:left="640" w:hanging="308"/>
        <w:spacing w:after="0"/>
        <w:tabs>
          <w:tab w:leader="none" w:pos="64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changes in the Company’s pricing or discount policies;</w:t>
      </w:r>
    </w:p>
    <w:p>
      <w:pPr>
        <w:ind w:left="640" w:hanging="308"/>
        <w:spacing w:after="0" w:line="225" w:lineRule="auto"/>
        <w:tabs>
          <w:tab w:leader="none" w:pos="64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major labor relations events;</w:t>
      </w:r>
    </w:p>
    <w:p>
      <w:pPr>
        <w:ind w:left="640" w:hanging="308"/>
        <w:spacing w:after="0"/>
        <w:tabs>
          <w:tab w:leader="none" w:pos="64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acquisitions or dispositions of assets, divisions, companies, etc.;</w:t>
      </w:r>
    </w:p>
    <w:p>
      <w:pPr>
        <w:ind w:left="640" w:hanging="308"/>
        <w:spacing w:after="0" w:line="225" w:lineRule="auto"/>
        <w:tabs>
          <w:tab w:leader="none" w:pos="64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pending public or private sales, or repurchases, of debt or equity securities;</w:t>
      </w:r>
    </w:p>
    <w:p>
      <w:pPr>
        <w:ind w:left="640" w:hanging="308"/>
        <w:spacing w:after="0"/>
        <w:tabs>
          <w:tab w:leader="none" w:pos="64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declaration of stock splits or dividends;</w:t>
      </w:r>
    </w:p>
    <w:p>
      <w:pPr>
        <w:ind w:left="640" w:hanging="308"/>
        <w:spacing w:after="0" w:line="225" w:lineRule="auto"/>
        <w:tabs>
          <w:tab w:leader="none" w:pos="64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significant new ventures or marketing plans;</w:t>
      </w:r>
    </w:p>
    <w:p>
      <w:pPr>
        <w:ind w:left="640" w:hanging="308"/>
        <w:spacing w:after="0" w:line="225" w:lineRule="auto"/>
        <w:tabs>
          <w:tab w:leader="none" w:pos="64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the gain or loss of a significant supplier;</w:t>
      </w:r>
    </w:p>
    <w:p>
      <w:pPr>
        <w:ind w:left="640" w:hanging="308"/>
        <w:spacing w:after="0"/>
        <w:tabs>
          <w:tab w:leader="none" w:pos="64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top management or control changes;</w:t>
      </w:r>
    </w:p>
    <w:p>
      <w:pPr>
        <w:ind w:left="640" w:hanging="308"/>
        <w:spacing w:after="0" w:line="225" w:lineRule="auto"/>
        <w:tabs>
          <w:tab w:leader="none" w:pos="64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possible tender offers or proxy fights;</w:t>
      </w:r>
    </w:p>
    <w:p>
      <w:pPr>
        <w:ind w:left="640" w:hanging="308"/>
        <w:spacing w:after="0"/>
        <w:tabs>
          <w:tab w:leader="none" w:pos="64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significant write-offs;</w:t>
      </w:r>
    </w:p>
    <w:p>
      <w:pPr>
        <w:ind w:left="640" w:hanging="308"/>
        <w:spacing w:after="0" w:line="225" w:lineRule="auto"/>
        <w:tabs>
          <w:tab w:leader="none" w:pos="64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significant actual or threatened litigation, or government investigations;</w:t>
      </w:r>
    </w:p>
    <w:p>
      <w:pPr>
        <w:ind w:left="640" w:hanging="308"/>
        <w:spacing w:after="0"/>
        <w:tabs>
          <w:tab w:leader="none" w:pos="64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significant public relations events;</w:t>
      </w:r>
    </w:p>
    <w:p>
      <w:pPr>
        <w:ind w:left="640" w:hanging="308"/>
        <w:spacing w:after="0" w:line="225" w:lineRule="auto"/>
        <w:tabs>
          <w:tab w:leader="none" w:pos="64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impending bankruptcy; and</w:t>
      </w:r>
    </w:p>
    <w:p>
      <w:pPr>
        <w:ind w:left="640" w:hanging="308"/>
        <w:spacing w:after="0"/>
        <w:tabs>
          <w:tab w:leader="none" w:pos="64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knowledge of a significant data security, privacy, or cybersecurity incident.</w:t>
      </w:r>
    </w:p>
    <w:p>
      <w:pPr>
        <w:spacing w:after="0" w:line="211" w:lineRule="exact"/>
        <w:rPr>
          <w:sz w:val="20"/>
          <w:szCs w:val="20"/>
          <w:color w:val="auto"/>
        </w:rPr>
      </w:pPr>
    </w:p>
    <w:p>
      <w:pPr>
        <w:ind w:right="220"/>
        <w:spacing w:after="0" w:line="271" w:lineRule="auto"/>
        <w:rPr>
          <w:sz w:val="20"/>
          <w:szCs w:val="20"/>
          <w:color w:val="auto"/>
        </w:rPr>
      </w:pPr>
      <w:r>
        <w:rPr>
          <w:rFonts w:ascii="Arial" w:cs="Arial" w:eastAsia="Arial" w:hAnsi="Arial"/>
          <w:sz w:val="20"/>
          <w:szCs w:val="20"/>
          <w:color w:val="auto"/>
        </w:rPr>
        <w:t>Please note that the imposition of any event-specific restriction (also known as an off- cycle blackout) could, in and of itself, be material, non-public information.</w:t>
      </w:r>
    </w:p>
    <w:p>
      <w:pPr>
        <w:spacing w:after="0" w:line="169"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 xml:space="preserve">“Non-public” information is any information that has not been disclosed broadly to the marketplace and which the investing public has not yet had time to absorb and evaluate. Generally speaking, information will be considered publicly disseminated after </w:t>
      </w:r>
      <w:r>
        <w:rPr>
          <w:rFonts w:ascii="Arial" w:cs="Arial" w:eastAsia="Arial" w:hAnsi="Arial"/>
          <w:sz w:val="20"/>
          <w:szCs w:val="20"/>
          <w:b w:val="1"/>
          <w:bCs w:val="1"/>
          <w:u w:val="single" w:color="auto"/>
          <w:color w:val="auto"/>
        </w:rPr>
        <w:t>two full trading days</w:t>
      </w:r>
      <w:r>
        <w:rPr>
          <w:rFonts w:ascii="Arial" w:cs="Arial" w:eastAsia="Arial" w:hAnsi="Arial"/>
          <w:sz w:val="20"/>
          <w:szCs w:val="20"/>
          <w:color w:val="auto"/>
        </w:rPr>
        <w:t xml:space="preserve"> have elapsed since the date of public disclosure of the information. For example, if the Company announces material non-public information prior to the market opening on Wednesday, then you may execute a transaction in the Company’s securities on after the market opens on Friday.</w:t>
      </w:r>
    </w:p>
    <w:p>
      <w:pPr>
        <w:spacing w:after="0" w:line="200" w:lineRule="exact"/>
        <w:rPr>
          <w:sz w:val="20"/>
          <w:szCs w:val="20"/>
          <w:color w:val="auto"/>
        </w:rPr>
      </w:pPr>
    </w:p>
    <w:p>
      <w:pPr>
        <w:ind w:left="420" w:hanging="412"/>
        <w:spacing w:after="0"/>
        <w:tabs>
          <w:tab w:leader="none" w:pos="420" w:val="left"/>
        </w:tabs>
        <w:numPr>
          <w:ilvl w:val="0"/>
          <w:numId w:val="101"/>
        </w:numPr>
        <w:rPr>
          <w:rFonts w:ascii="Arial" w:cs="Arial" w:eastAsia="Arial" w:hAnsi="Arial"/>
          <w:sz w:val="20"/>
          <w:szCs w:val="20"/>
          <w:color w:val="auto"/>
        </w:rPr>
      </w:pPr>
      <w:r>
        <w:rPr>
          <w:rFonts w:ascii="Arial" w:cs="Arial" w:eastAsia="Arial" w:hAnsi="Arial"/>
          <w:sz w:val="20"/>
          <w:szCs w:val="20"/>
          <w:i w:val="1"/>
          <w:iCs w:val="1"/>
          <w:color w:val="auto"/>
        </w:rPr>
        <w:t>Prohibition of Speculative or Short-Term Trading</w:t>
      </w:r>
    </w:p>
    <w:p>
      <w:pPr>
        <w:spacing w:after="0" w:line="243"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Covered Persons may not engage in short sales (a sale of securities that are not currently owned by the seller), transactions in put or call options, margin trading or other inherently speculative transactions with respect to Company securities at any time. In addition, Section 16(c) of the Securities Exchange Act of 1934, as amended (the “</w:t>
      </w:r>
      <w:r>
        <w:rPr>
          <w:rFonts w:ascii="Arial" w:cs="Arial" w:eastAsia="Arial" w:hAnsi="Arial"/>
          <w:sz w:val="20"/>
          <w:szCs w:val="20"/>
          <w:b w:val="1"/>
          <w:bCs w:val="1"/>
          <w:i w:val="1"/>
          <w:iCs w:val="1"/>
          <w:color w:val="auto"/>
        </w:rPr>
        <w:t>Exchange Act</w:t>
      </w:r>
      <w:r>
        <w:rPr>
          <w:rFonts w:ascii="Arial" w:cs="Arial" w:eastAsia="Arial" w:hAnsi="Arial"/>
          <w:sz w:val="20"/>
          <w:szCs w:val="20"/>
          <w:color w:val="auto"/>
        </w:rPr>
        <w:t>”) prohibits officers and directors from engaging in short sales. Short sales arising from certain</w:t>
      </w:r>
    </w:p>
    <w:p>
      <w:pPr>
        <w:sectPr>
          <w:pgSz w:w="11900" w:h="16838" w:orient="portrait"/>
          <w:cols w:equalWidth="0" w:num="1">
            <w:col w:w="11240"/>
          </w:cols>
          <w:pgMar w:left="320" w:top="1414" w:right="339" w:bottom="1440" w:gutter="0" w:footer="0" w:header="0"/>
        </w:sectPr>
      </w:pPr>
    </w:p>
    <w:bookmarkStart w:id="104" w:name="page105"/>
    <w:bookmarkEnd w:id="104"/>
    <w:p>
      <w:pPr>
        <w:spacing w:after="0"/>
        <w:rPr>
          <w:sz w:val="20"/>
          <w:szCs w:val="20"/>
          <w:color w:val="auto"/>
        </w:rPr>
      </w:pPr>
      <w:r>
        <w:rPr>
          <w:rFonts w:ascii="Arial" w:cs="Arial" w:eastAsia="Arial" w:hAnsi="Arial"/>
          <w:sz w:val="20"/>
          <w:szCs w:val="20"/>
          <w:color w:val="auto"/>
        </w:rPr>
        <w:t>types of hedging transactions are governed by the paragraph below captioned “Policy Relating to Hedging.”</w:t>
      </w:r>
    </w:p>
    <w:p>
      <w:pPr>
        <w:spacing w:after="0" w:line="229" w:lineRule="exact"/>
        <w:rPr>
          <w:sz w:val="20"/>
          <w:szCs w:val="20"/>
          <w:color w:val="auto"/>
        </w:rPr>
      </w:pPr>
    </w:p>
    <w:p>
      <w:pPr>
        <w:ind w:left="420" w:hanging="412"/>
        <w:spacing w:after="0"/>
        <w:tabs>
          <w:tab w:leader="none" w:pos="420" w:val="left"/>
        </w:tabs>
        <w:numPr>
          <w:ilvl w:val="0"/>
          <w:numId w:val="102"/>
        </w:numPr>
        <w:rPr>
          <w:rFonts w:ascii="Arial" w:cs="Arial" w:eastAsia="Arial" w:hAnsi="Arial"/>
          <w:sz w:val="20"/>
          <w:szCs w:val="20"/>
          <w:color w:val="auto"/>
        </w:rPr>
      </w:pPr>
      <w:r>
        <w:rPr>
          <w:rFonts w:ascii="Arial" w:cs="Arial" w:eastAsia="Arial" w:hAnsi="Arial"/>
          <w:sz w:val="20"/>
          <w:szCs w:val="20"/>
          <w:i w:val="1"/>
          <w:iCs w:val="1"/>
          <w:color w:val="auto"/>
        </w:rPr>
        <w:t>Policy Relating to Hedging</w:t>
      </w:r>
    </w:p>
    <w:p>
      <w:pPr>
        <w:spacing w:after="0" w:line="243"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The Company seeks to have the long-term financial interests of Covered Persons fully aligned with the interests of its other stockholders. For this reason, Covered Persons are prohibited from purchasing financial instruments (including prepaid variable forward contracts, equity swaps, collars, and exchange funds), or otherwise engaging in transactions that hedge, offset, or are designed to hedge or offset, any decrease in the market value or the full ownership risks and rewards of Covered Persons’ direct or indirect holdings in Company securities.</w:t>
      </w:r>
    </w:p>
    <w:p>
      <w:pPr>
        <w:spacing w:after="0" w:line="200" w:lineRule="exact"/>
        <w:rPr>
          <w:sz w:val="20"/>
          <w:szCs w:val="20"/>
          <w:color w:val="auto"/>
        </w:rPr>
      </w:pPr>
    </w:p>
    <w:p>
      <w:pPr>
        <w:ind w:left="420" w:hanging="412"/>
        <w:spacing w:after="0"/>
        <w:tabs>
          <w:tab w:leader="none" w:pos="420" w:val="left"/>
        </w:tabs>
        <w:numPr>
          <w:ilvl w:val="0"/>
          <w:numId w:val="103"/>
        </w:numPr>
        <w:rPr>
          <w:rFonts w:ascii="Arial" w:cs="Arial" w:eastAsia="Arial" w:hAnsi="Arial"/>
          <w:sz w:val="20"/>
          <w:szCs w:val="20"/>
          <w:color w:val="auto"/>
        </w:rPr>
      </w:pPr>
      <w:r>
        <w:rPr>
          <w:rFonts w:ascii="Arial" w:cs="Arial" w:eastAsia="Arial" w:hAnsi="Arial"/>
          <w:sz w:val="20"/>
          <w:szCs w:val="20"/>
          <w:i w:val="1"/>
          <w:iCs w:val="1"/>
          <w:color w:val="auto"/>
        </w:rPr>
        <w:t>Policy Relating to Pledging</w:t>
      </w:r>
    </w:p>
    <w:p>
      <w:pPr>
        <w:spacing w:after="0" w:line="22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Pledging by Covered Persons of the Company’s stock as collateral for indebtedness creates the risk of an unplanned sale that may occur at a time when a Covered Person is aware of material non-public information or is otherwise not permitted to trade in the Company’s stock. For this reason, Covered Persons may not, directly or indirectly, pledge, hypothecate, or otherwise encumber shares of the Company’s stock as collateral for indebtedness. This prohibition includes, but is not limited to, holding such shares in a margin account or any other account that could cause the Company’s stock to be subject to a margin call or otherwise be available as collateral for a margin loan. The foregoing prohibition applies to the Company’s stock that (i) a Covered Person owns directly or indirectly or (ii) is granted by the Company as part of a Covered Person’s compensation.</w:t>
      </w:r>
    </w:p>
    <w:p>
      <w:pPr>
        <w:spacing w:after="0" w:line="190" w:lineRule="exact"/>
        <w:rPr>
          <w:sz w:val="20"/>
          <w:szCs w:val="20"/>
          <w:color w:val="auto"/>
        </w:rPr>
      </w:pPr>
    </w:p>
    <w:p>
      <w:pPr>
        <w:ind w:left="380" w:hanging="372"/>
        <w:spacing w:after="0"/>
        <w:tabs>
          <w:tab w:leader="none" w:pos="380" w:val="left"/>
        </w:tabs>
        <w:numPr>
          <w:ilvl w:val="0"/>
          <w:numId w:val="104"/>
        </w:numPr>
        <w:rPr>
          <w:rFonts w:ascii="Arial" w:cs="Arial" w:eastAsia="Arial" w:hAnsi="Arial"/>
          <w:sz w:val="20"/>
          <w:szCs w:val="20"/>
          <w:color w:val="auto"/>
        </w:rPr>
      </w:pPr>
      <w:r>
        <w:rPr>
          <w:rFonts w:ascii="Arial" w:cs="Arial" w:eastAsia="Arial" w:hAnsi="Arial"/>
          <w:sz w:val="20"/>
          <w:szCs w:val="20"/>
          <w:i w:val="1"/>
          <w:iCs w:val="1"/>
          <w:color w:val="auto"/>
        </w:rPr>
        <w:t>Permitted Transactions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prohibitions of this Policy do not apply to the following transactions (collectively, the “</w:t>
      </w:r>
      <w:r>
        <w:rPr>
          <w:rFonts w:ascii="Arial" w:cs="Arial" w:eastAsia="Arial" w:hAnsi="Arial"/>
          <w:sz w:val="20"/>
          <w:szCs w:val="20"/>
          <w:b w:val="1"/>
          <w:bCs w:val="1"/>
          <w:i w:val="1"/>
          <w:iCs w:val="1"/>
          <w:color w:val="auto"/>
        </w:rPr>
        <w:t>Permitted Transactions</w:t>
      </w:r>
      <w:r>
        <w:rPr>
          <w:rFonts w:ascii="Arial" w:cs="Arial" w:eastAsia="Arial" w:hAnsi="Arial"/>
          <w:sz w:val="20"/>
          <w:szCs w:val="20"/>
          <w:color w:val="auto"/>
        </w:rPr>
        <w:t>”):</w:t>
      </w:r>
    </w:p>
    <w:p>
      <w:pPr>
        <w:spacing w:after="0" w:line="229" w:lineRule="exact"/>
        <w:rPr>
          <w:sz w:val="20"/>
          <w:szCs w:val="20"/>
          <w:color w:val="auto"/>
        </w:rPr>
      </w:pPr>
    </w:p>
    <w:p>
      <w:pPr>
        <w:ind w:left="640" w:hanging="308"/>
        <w:spacing w:after="0"/>
        <w:tabs>
          <w:tab w:leader="none" w:pos="640" w:val="left"/>
        </w:tabs>
        <w:numPr>
          <w:ilvl w:val="0"/>
          <w:numId w:val="105"/>
        </w:numPr>
        <w:rPr>
          <w:rFonts w:ascii="Arial" w:cs="Arial" w:eastAsia="Arial" w:hAnsi="Arial"/>
          <w:sz w:val="20"/>
          <w:szCs w:val="20"/>
          <w:color w:val="auto"/>
        </w:rPr>
      </w:pPr>
      <w:r>
        <w:rPr>
          <w:rFonts w:ascii="Arial" w:cs="Arial" w:eastAsia="Arial" w:hAnsi="Arial"/>
          <w:sz w:val="20"/>
          <w:szCs w:val="20"/>
          <w:u w:val="single" w:color="auto"/>
          <w:color w:val="auto"/>
        </w:rPr>
        <w:t>Transactions Between Covered Persons and Company</w:t>
      </w:r>
    </w:p>
    <w:p>
      <w:pPr>
        <w:spacing w:after="0" w:line="242" w:lineRule="exact"/>
        <w:rPr>
          <w:rFonts w:ascii="Arial" w:cs="Arial" w:eastAsia="Arial" w:hAnsi="Arial"/>
          <w:sz w:val="20"/>
          <w:szCs w:val="20"/>
          <w:color w:val="auto"/>
        </w:rPr>
      </w:pPr>
    </w:p>
    <w:p>
      <w:pPr>
        <w:ind w:left="1300" w:right="40" w:hanging="320"/>
        <w:spacing w:after="0" w:line="236" w:lineRule="auto"/>
        <w:tabs>
          <w:tab w:leader="none" w:pos="1289" w:val="left"/>
        </w:tabs>
        <w:numPr>
          <w:ilvl w:val="1"/>
          <w:numId w:val="105"/>
        </w:numPr>
        <w:rPr>
          <w:rFonts w:ascii="Arial" w:cs="Arial" w:eastAsia="Arial" w:hAnsi="Arial"/>
          <w:sz w:val="20"/>
          <w:szCs w:val="20"/>
          <w:color w:val="auto"/>
        </w:rPr>
      </w:pPr>
      <w:r>
        <w:rPr>
          <w:rFonts w:ascii="Arial" w:cs="Arial" w:eastAsia="Arial" w:hAnsi="Arial"/>
          <w:sz w:val="20"/>
          <w:szCs w:val="20"/>
          <w:i w:val="1"/>
          <w:iCs w:val="1"/>
          <w:color w:val="auto"/>
        </w:rPr>
        <w:t>Vesting of Restricted Stock or Vesting and Delivery of Shares of Stock Underlying Restricted Stock Units</w:t>
      </w:r>
      <w:r>
        <w:rPr>
          <w:rFonts w:ascii="Arial" w:cs="Arial" w:eastAsia="Arial" w:hAnsi="Arial"/>
          <w:sz w:val="20"/>
          <w:szCs w:val="20"/>
          <w:color w:val="auto"/>
        </w:rPr>
        <w:t>. This</w:t>
      </w:r>
      <w:r>
        <w:rPr>
          <w:rFonts w:ascii="Arial" w:cs="Arial" w:eastAsia="Arial" w:hAnsi="Arial"/>
          <w:sz w:val="20"/>
          <w:szCs w:val="20"/>
          <w:i w:val="1"/>
          <w:iCs w:val="1"/>
          <w:color w:val="auto"/>
        </w:rPr>
        <w:t xml:space="preserve"> </w:t>
      </w:r>
      <w:r>
        <w:rPr>
          <w:rFonts w:ascii="Arial" w:cs="Arial" w:eastAsia="Arial" w:hAnsi="Arial"/>
          <w:sz w:val="20"/>
          <w:szCs w:val="20"/>
          <w:color w:val="auto"/>
        </w:rPr>
        <w:t>Policy does not apply to the vesting of restricted stock or the vesting and delivery of shares of stock underlying restricted stock units. The Policy does apply, however, to any market sale of shares of Company stock upon the vesting of restricted stock or the vesting and delivery of shares of stock underlying restricted stock units; provided, however, Covered Persons that are not deemed to be Section 16 Insiders (as defined below) may sell Company stock to satisfy tax obligations arising in connection with the vesting of restricted stock or the vesting and delivery of shares of stock underlying restricted stock units if such sale is involuntary and made pursuant to a pre- established plan, program, or policy providing for such automatic sale.</w:t>
      </w:r>
    </w:p>
    <w:p>
      <w:pPr>
        <w:spacing w:after="0" w:line="202" w:lineRule="exact"/>
        <w:rPr>
          <w:rFonts w:ascii="Arial" w:cs="Arial" w:eastAsia="Arial" w:hAnsi="Arial"/>
          <w:sz w:val="20"/>
          <w:szCs w:val="20"/>
          <w:color w:val="auto"/>
        </w:rPr>
      </w:pPr>
    </w:p>
    <w:p>
      <w:pPr>
        <w:ind w:left="1300" w:right="20" w:hanging="320"/>
        <w:spacing w:after="0"/>
        <w:tabs>
          <w:tab w:leader="none" w:pos="1289" w:val="left"/>
        </w:tabs>
        <w:numPr>
          <w:ilvl w:val="1"/>
          <w:numId w:val="105"/>
        </w:numPr>
        <w:rPr>
          <w:rFonts w:ascii="Arial" w:cs="Arial" w:eastAsia="Arial" w:hAnsi="Arial"/>
          <w:sz w:val="20"/>
          <w:szCs w:val="20"/>
          <w:color w:val="auto"/>
        </w:rPr>
      </w:pPr>
      <w:r>
        <w:rPr>
          <w:rFonts w:ascii="Arial" w:cs="Arial" w:eastAsia="Arial" w:hAnsi="Arial"/>
          <w:sz w:val="20"/>
          <w:szCs w:val="20"/>
          <w:i w:val="1"/>
          <w:iCs w:val="1"/>
          <w:color w:val="auto"/>
        </w:rPr>
        <w:t>Stock Appreciation Rights and Stock Option Exercises</w:t>
      </w:r>
      <w:r>
        <w:rPr>
          <w:rFonts w:ascii="Arial" w:cs="Arial" w:eastAsia="Arial" w:hAnsi="Arial"/>
          <w:sz w:val="20"/>
          <w:szCs w:val="20"/>
          <w:color w:val="auto"/>
        </w:rPr>
        <w:t>. This Policy does not apply to the exercise of stock options</w:t>
      </w:r>
      <w:r>
        <w:rPr>
          <w:rFonts w:ascii="Arial" w:cs="Arial" w:eastAsia="Arial" w:hAnsi="Arial"/>
          <w:sz w:val="20"/>
          <w:szCs w:val="20"/>
          <w:i w:val="1"/>
          <w:iCs w:val="1"/>
          <w:color w:val="auto"/>
        </w:rPr>
        <w:t xml:space="preserve"> </w:t>
      </w:r>
      <w:r>
        <w:rPr>
          <w:rFonts w:ascii="Arial" w:cs="Arial" w:eastAsia="Arial" w:hAnsi="Arial"/>
          <w:sz w:val="20"/>
          <w:szCs w:val="20"/>
          <w:color w:val="auto"/>
        </w:rPr>
        <w:t>or stock appreciation rights granted under the Company’s incentive plans through payment of the exercise price with cash (i.e., without Company securities being sold into the market). However, the subsequent sale of the stock (including sales of stock in a broker-assisted cashless exercise) acquired upon the exercise of stock appreciation rights or stock options is subject to all provisions of this Policy.</w:t>
      </w:r>
    </w:p>
    <w:p>
      <w:pPr>
        <w:sectPr>
          <w:pgSz w:w="11900" w:h="16838" w:orient="portrait"/>
          <w:cols w:equalWidth="0" w:num="1">
            <w:col w:w="11240"/>
          </w:cols>
          <w:pgMar w:left="320" w:top="1414" w:right="339" w:bottom="1440" w:gutter="0" w:footer="0" w:header="0"/>
        </w:sectPr>
      </w:pPr>
    </w:p>
    <w:bookmarkStart w:id="105" w:name="page106"/>
    <w:bookmarkEnd w:id="105"/>
    <w:p>
      <w:pPr>
        <w:ind w:left="1300" w:right="100" w:hanging="320"/>
        <w:spacing w:after="0" w:line="248" w:lineRule="auto"/>
        <w:tabs>
          <w:tab w:leader="none" w:pos="1292" w:val="left"/>
        </w:tabs>
        <w:numPr>
          <w:ilvl w:val="0"/>
          <w:numId w:val="106"/>
        </w:numPr>
        <w:rPr>
          <w:rFonts w:ascii="Arial" w:cs="Arial" w:eastAsia="Arial" w:hAnsi="Arial"/>
          <w:sz w:val="20"/>
          <w:szCs w:val="20"/>
          <w:color w:val="auto"/>
        </w:rPr>
      </w:pPr>
      <w:r>
        <w:rPr>
          <w:rFonts w:ascii="Arial" w:cs="Arial" w:eastAsia="Arial" w:hAnsi="Arial"/>
          <w:sz w:val="20"/>
          <w:szCs w:val="20"/>
          <w:i w:val="1"/>
          <w:iCs w:val="1"/>
          <w:color w:val="auto"/>
        </w:rPr>
        <w:t xml:space="preserve">Tax Withholding Arrangements. </w:t>
      </w:r>
      <w:r>
        <w:rPr>
          <w:rFonts w:ascii="Arial" w:cs="Arial" w:eastAsia="Arial" w:hAnsi="Arial"/>
          <w:sz w:val="20"/>
          <w:szCs w:val="20"/>
          <w:color w:val="auto"/>
        </w:rPr>
        <w:t>This Policy does not apply to the withholding or surrender of Company securities</w:t>
      </w:r>
      <w:r>
        <w:rPr>
          <w:rFonts w:ascii="Arial" w:cs="Arial" w:eastAsia="Arial" w:hAnsi="Arial"/>
          <w:sz w:val="20"/>
          <w:szCs w:val="20"/>
          <w:i w:val="1"/>
          <w:iCs w:val="1"/>
          <w:color w:val="auto"/>
        </w:rPr>
        <w:t xml:space="preserve"> </w:t>
      </w:r>
      <w:r>
        <w:rPr>
          <w:rFonts w:ascii="Arial" w:cs="Arial" w:eastAsia="Arial" w:hAnsi="Arial"/>
          <w:sz w:val="20"/>
          <w:szCs w:val="20"/>
          <w:color w:val="auto"/>
        </w:rPr>
        <w:t>to the Company to satisfy tax withholding obligations arising from the exercise of stock options, the vesting of restricted stock, or the vesting and delivery of shares of stock underlying restricted stock units.</w:t>
      </w:r>
    </w:p>
    <w:p>
      <w:pPr>
        <w:spacing w:after="0" w:line="191" w:lineRule="exact"/>
        <w:rPr>
          <w:rFonts w:ascii="Arial" w:cs="Arial" w:eastAsia="Arial" w:hAnsi="Arial"/>
          <w:sz w:val="20"/>
          <w:szCs w:val="20"/>
          <w:color w:val="auto"/>
        </w:rPr>
      </w:pPr>
    </w:p>
    <w:p>
      <w:pPr>
        <w:ind w:left="1300" w:right="40" w:hanging="320"/>
        <w:spacing w:after="0"/>
        <w:tabs>
          <w:tab w:leader="none" w:pos="1289" w:val="left"/>
        </w:tabs>
        <w:numPr>
          <w:ilvl w:val="0"/>
          <w:numId w:val="106"/>
        </w:numPr>
        <w:rPr>
          <w:rFonts w:ascii="Arial" w:cs="Arial" w:eastAsia="Arial" w:hAnsi="Arial"/>
          <w:sz w:val="20"/>
          <w:szCs w:val="20"/>
          <w:color w:val="auto"/>
        </w:rPr>
      </w:pPr>
      <w:r>
        <w:rPr>
          <w:rFonts w:ascii="Arial" w:cs="Arial" w:eastAsia="Arial" w:hAnsi="Arial"/>
          <w:sz w:val="20"/>
          <w:szCs w:val="20"/>
          <w:i w:val="1"/>
          <w:iCs w:val="1"/>
          <w:color w:val="auto"/>
        </w:rPr>
        <w:t xml:space="preserve">Contributory Plans. </w:t>
      </w:r>
      <w:r>
        <w:rPr>
          <w:rFonts w:ascii="Arial" w:cs="Arial" w:eastAsia="Arial" w:hAnsi="Arial"/>
          <w:sz w:val="20"/>
          <w:szCs w:val="20"/>
          <w:color w:val="auto"/>
        </w:rPr>
        <w:t>The Policy’s trading restrictions generally do not apply to acquisitions of Company securities</w:t>
      </w:r>
      <w:r>
        <w:rPr>
          <w:rFonts w:ascii="Arial" w:cs="Arial" w:eastAsia="Arial" w:hAnsi="Arial"/>
          <w:sz w:val="20"/>
          <w:szCs w:val="20"/>
          <w:i w:val="1"/>
          <w:iCs w:val="1"/>
          <w:color w:val="auto"/>
        </w:rPr>
        <w:t xml:space="preserve"> </w:t>
      </w:r>
      <w:r>
        <w:rPr>
          <w:rFonts w:ascii="Arial" w:cs="Arial" w:eastAsia="Arial" w:hAnsi="Arial"/>
          <w:sz w:val="20"/>
          <w:szCs w:val="20"/>
          <w:color w:val="auto"/>
        </w:rPr>
        <w:t>under any Contributory Plan pursuant to the affected Covered Person’s advance election made while not in possession of material non-public information. The Policy’s trading restrictions do apply, however, to (i) your initial election to enroll in a Contributory Plan, (ii) any changes to your enrollment in a Contributory Plan, and (iii) the sale of Company securities acquired under a Contributory Plan.</w:t>
      </w:r>
    </w:p>
    <w:p>
      <w:pPr>
        <w:spacing w:after="0" w:line="200" w:lineRule="exact"/>
        <w:rPr>
          <w:sz w:val="20"/>
          <w:szCs w:val="20"/>
          <w:color w:val="auto"/>
        </w:rPr>
      </w:pPr>
    </w:p>
    <w:p>
      <w:pPr>
        <w:spacing w:after="0" w:line="243" w:lineRule="exact"/>
        <w:rPr>
          <w:sz w:val="20"/>
          <w:szCs w:val="20"/>
          <w:color w:val="auto"/>
        </w:rPr>
      </w:pPr>
    </w:p>
    <w:p>
      <w:pPr>
        <w:ind w:left="400" w:hanging="392"/>
        <w:spacing w:after="0"/>
        <w:tabs>
          <w:tab w:leader="none" w:pos="400" w:val="left"/>
        </w:tabs>
        <w:numPr>
          <w:ilvl w:val="0"/>
          <w:numId w:val="107"/>
        </w:numPr>
        <w:rPr>
          <w:rFonts w:ascii="Arial" w:cs="Arial" w:eastAsia="Arial" w:hAnsi="Arial"/>
          <w:sz w:val="20"/>
          <w:szCs w:val="20"/>
          <w:color w:val="auto"/>
        </w:rPr>
      </w:pPr>
      <w:r>
        <w:rPr>
          <w:rFonts w:ascii="Arial" w:cs="Arial" w:eastAsia="Arial" w:hAnsi="Arial"/>
          <w:sz w:val="20"/>
          <w:szCs w:val="20"/>
          <w:u w:val="single" w:color="auto"/>
          <w:color w:val="auto"/>
        </w:rPr>
        <w:t>Rule 10b5-1 Trading Plans</w:t>
      </w:r>
    </w:p>
    <w:p>
      <w:pPr>
        <w:spacing w:after="0" w:line="24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Purchases or sales of Company securities made pursuant to, and in compliance with, a written plan established by a Covered Person (a “</w:t>
      </w:r>
      <w:r>
        <w:rPr>
          <w:rFonts w:ascii="Arial" w:cs="Arial" w:eastAsia="Arial" w:hAnsi="Arial"/>
          <w:sz w:val="20"/>
          <w:szCs w:val="20"/>
          <w:b w:val="1"/>
          <w:bCs w:val="1"/>
          <w:i w:val="1"/>
          <w:iCs w:val="1"/>
          <w:color w:val="auto"/>
        </w:rPr>
        <w:t>Trading Plan</w:t>
      </w:r>
      <w:r>
        <w:rPr>
          <w:rFonts w:ascii="Arial" w:cs="Arial" w:eastAsia="Arial" w:hAnsi="Arial"/>
          <w:sz w:val="20"/>
          <w:szCs w:val="20"/>
          <w:color w:val="auto"/>
        </w:rPr>
        <w:t>”) that meets the requirements of Rule 10b5-1 (“</w:t>
      </w:r>
      <w:r>
        <w:rPr>
          <w:rFonts w:ascii="Arial" w:cs="Arial" w:eastAsia="Arial" w:hAnsi="Arial"/>
          <w:sz w:val="20"/>
          <w:szCs w:val="20"/>
          <w:b w:val="1"/>
          <w:bCs w:val="1"/>
          <w:i w:val="1"/>
          <w:iCs w:val="1"/>
          <w:color w:val="auto"/>
        </w:rPr>
        <w:t>Rule 10b5-1</w:t>
      </w:r>
      <w:r>
        <w:rPr>
          <w:rFonts w:ascii="Arial" w:cs="Arial" w:eastAsia="Arial" w:hAnsi="Arial"/>
          <w:sz w:val="20"/>
          <w:szCs w:val="20"/>
          <w:color w:val="auto"/>
        </w:rPr>
        <w:t>”). In order to be eligible to rely on this defense, a Covered Person must enter into a Trading Plan that meets certain conditions specified in Rule 10b5-1 and must be in accordance with the Company’s “Guidelines for Rule 10b5-1 Plans.” If the Trading Plan meets such requirements, transactions in Company securities may occur even when the Covered Person who has entered into a Trading Plan is aware of material nonpublic information. To comply with the Policy, a Trading Plan must be approved by the Clearing Officer and meet the requirements of Rule 10b5-1 and the Company’s “Guidelines for Rule 10b5-1 Plans,” which may be obtained from the Clearing Officer.</w:t>
      </w:r>
    </w:p>
    <w:p>
      <w:pPr>
        <w:spacing w:after="0" w:line="20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Additionally, with respect to Section 16 Insiders, no trades pursuant to the Trading Plan may be made until the later of (i) 90 days after the date of the adoption, amendment, modification, or replacement of the Trading Plan and (ii) two business days following the Company’s disclosure of its financial results for the fiscal quarter in which the Trading Plan was adopted, amended, modified, or replaced in an Annual Report on Form 10-K or a Quarterly Report on Form 10-Q (the “</w:t>
      </w:r>
      <w:r>
        <w:rPr>
          <w:rFonts w:ascii="Arial" w:cs="Arial" w:eastAsia="Arial" w:hAnsi="Arial"/>
          <w:sz w:val="20"/>
          <w:szCs w:val="20"/>
          <w:b w:val="1"/>
          <w:bCs w:val="1"/>
          <w:i w:val="1"/>
          <w:iCs w:val="1"/>
          <w:color w:val="auto"/>
        </w:rPr>
        <w:t>Cooling-Off Period</w:t>
      </w:r>
      <w:r>
        <w:rPr>
          <w:rFonts w:ascii="Arial" w:cs="Arial" w:eastAsia="Arial" w:hAnsi="Arial"/>
          <w:sz w:val="20"/>
          <w:szCs w:val="20"/>
          <w:color w:val="auto"/>
        </w:rPr>
        <w:t xml:space="preserve">”); </w:t>
      </w:r>
      <w:r>
        <w:rPr>
          <w:rFonts w:ascii="Arial" w:cs="Arial" w:eastAsia="Arial" w:hAnsi="Arial"/>
          <w:sz w:val="20"/>
          <w:szCs w:val="20"/>
          <w:i w:val="1"/>
          <w:iCs w:val="1"/>
          <w:color w:val="auto"/>
        </w:rPr>
        <w:t>provided</w:t>
      </w:r>
      <w:r>
        <w:rPr>
          <w:rFonts w:ascii="Arial" w:cs="Arial" w:eastAsia="Arial" w:hAnsi="Arial"/>
          <w:sz w:val="20"/>
          <w:szCs w:val="20"/>
          <w:color w:val="auto"/>
        </w:rPr>
        <w:t>, however, that the Cooling-Off Period need not exceed 120 days following the adoption, amendment, modification, or</w:t>
      </w:r>
      <w:r>
        <w:rPr>
          <w:rFonts w:ascii="Arial" w:cs="Arial" w:eastAsia="Arial" w:hAnsi="Arial"/>
          <w:sz w:val="20"/>
          <w:szCs w:val="20"/>
          <w:i w:val="1"/>
          <w:iCs w:val="1"/>
          <w:color w:val="auto"/>
        </w:rPr>
        <w:t xml:space="preserve"> </w:t>
      </w:r>
      <w:r>
        <w:rPr>
          <w:rFonts w:ascii="Arial" w:cs="Arial" w:eastAsia="Arial" w:hAnsi="Arial"/>
          <w:sz w:val="20"/>
          <w:szCs w:val="20"/>
          <w:color w:val="auto"/>
        </w:rPr>
        <w:t>replacement of the Trading Plan. With respect to Covered Persons that are not Section 16 Insiders, no trades pursuant to the Trading Plan may be made until 30 days after the date of the adoption, amendment, modification, or replacement of the Trading Plan.</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Trading Plans should be submitted for approval by the Clearing Officer at least three business days prior to the entry into the Trading Plan.</w:t>
      </w:r>
    </w:p>
    <w:p>
      <w:pPr>
        <w:spacing w:after="0" w:line="180" w:lineRule="exact"/>
        <w:rPr>
          <w:sz w:val="20"/>
          <w:szCs w:val="20"/>
          <w:color w:val="auto"/>
        </w:rPr>
      </w:pPr>
    </w:p>
    <w:p>
      <w:pPr>
        <w:ind w:left="440" w:hanging="432"/>
        <w:spacing w:after="0"/>
        <w:tabs>
          <w:tab w:leader="none" w:pos="440" w:val="left"/>
        </w:tabs>
        <w:numPr>
          <w:ilvl w:val="0"/>
          <w:numId w:val="10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TRADING WINDOWS</w:t>
      </w:r>
    </w:p>
    <w:p>
      <w:pPr>
        <w:spacing w:after="0" w:line="245" w:lineRule="exact"/>
        <w:rPr>
          <w:sz w:val="20"/>
          <w:szCs w:val="20"/>
          <w:color w:val="auto"/>
        </w:rPr>
      </w:pPr>
    </w:p>
    <w:p>
      <w:pPr>
        <w:ind w:left="420" w:hanging="412"/>
        <w:spacing w:after="0"/>
        <w:tabs>
          <w:tab w:leader="none" w:pos="420" w:val="left"/>
        </w:tabs>
        <w:numPr>
          <w:ilvl w:val="0"/>
          <w:numId w:val="109"/>
        </w:numPr>
        <w:rPr>
          <w:rFonts w:ascii="Arial" w:cs="Arial" w:eastAsia="Arial" w:hAnsi="Arial"/>
          <w:sz w:val="20"/>
          <w:szCs w:val="20"/>
          <w:color w:val="auto"/>
        </w:rPr>
      </w:pPr>
      <w:r>
        <w:rPr>
          <w:rFonts w:ascii="Arial" w:cs="Arial" w:eastAsia="Arial" w:hAnsi="Arial"/>
          <w:sz w:val="20"/>
          <w:szCs w:val="20"/>
          <w:i w:val="1"/>
          <w:iCs w:val="1"/>
          <w:color w:val="auto"/>
        </w:rPr>
        <w:t>Trading Window Policy</w:t>
      </w:r>
    </w:p>
    <w:p>
      <w:pPr>
        <w:spacing w:after="0" w:line="229"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In addition to the restrictions applicable to Covered Persons set forth in Section II.A above, certain individuals designated by the Clearing Officer (collectively, the “</w:t>
      </w:r>
      <w:r>
        <w:rPr>
          <w:rFonts w:ascii="Arial" w:cs="Arial" w:eastAsia="Arial" w:hAnsi="Arial"/>
          <w:sz w:val="20"/>
          <w:szCs w:val="20"/>
          <w:b w:val="1"/>
          <w:bCs w:val="1"/>
          <w:i w:val="1"/>
          <w:iCs w:val="1"/>
          <w:color w:val="auto"/>
        </w:rPr>
        <w:t>Trading Window Persons</w:t>
      </w:r>
      <w:r>
        <w:rPr>
          <w:rFonts w:ascii="Arial" w:cs="Arial" w:eastAsia="Arial" w:hAnsi="Arial"/>
          <w:sz w:val="20"/>
          <w:szCs w:val="20"/>
          <w:color w:val="auto"/>
        </w:rPr>
        <w:t>”) may not (i) engage in any transactions in Company securities, except Permitted Transactions or (ii) make any changes in enrollment or elections relating to Company securities under any Contributory Plan except, in each case, during an open “</w:t>
      </w:r>
      <w:r>
        <w:rPr>
          <w:rFonts w:ascii="Arial" w:cs="Arial" w:eastAsia="Arial" w:hAnsi="Arial"/>
          <w:sz w:val="20"/>
          <w:szCs w:val="20"/>
          <w:b w:val="1"/>
          <w:bCs w:val="1"/>
          <w:i w:val="1"/>
          <w:iCs w:val="1"/>
          <w:color w:val="auto"/>
        </w:rPr>
        <w:t>trading window</w:t>
      </w:r>
      <w:r>
        <w:rPr>
          <w:rFonts w:ascii="Arial" w:cs="Arial" w:eastAsia="Arial" w:hAnsi="Arial"/>
          <w:sz w:val="20"/>
          <w:szCs w:val="20"/>
          <w:color w:val="auto"/>
        </w:rPr>
        <w:t>” period and then only if such individual is not otherwise aware of material non-public information.</w:t>
      </w:r>
    </w:p>
    <w:p>
      <w:pPr>
        <w:sectPr>
          <w:pgSz w:w="11900" w:h="16838" w:orient="portrait"/>
          <w:cols w:equalWidth="0" w:num="1">
            <w:col w:w="11240"/>
          </w:cols>
          <w:pgMar w:left="320" w:top="1414" w:right="339" w:bottom="1440" w:gutter="0" w:footer="0" w:header="0"/>
        </w:sectPr>
      </w:pPr>
    </w:p>
    <w:bookmarkStart w:id="106" w:name="page107"/>
    <w:bookmarkEnd w:id="106"/>
    <w:p>
      <w:pPr>
        <w:spacing w:after="0" w:line="21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The Company will annually distribute to all Trading Window Persons a calendar of open trading windows in which a Trading Window Person may trade in Company securities if the Trading Window Person is not otherwise aware of material non-public information.</w:t>
      </w:r>
    </w:p>
    <w:p>
      <w:pPr>
        <w:spacing w:after="0" w:line="192"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color w:val="auto"/>
        </w:rPr>
        <w:t>Trading windows apply to all Trading Window Persons. A trading window may be closed early or may not open if, in the judgment of the General Counsel, there exists undisclosed information that would make trading in Company securities inappropriate. It is important to note that the fact that a trading window has closed early or has not opened should be considered material non-public information.</w:t>
      </w:r>
    </w:p>
    <w:p>
      <w:pPr>
        <w:spacing w:after="0" w:line="195" w:lineRule="exact"/>
        <w:rPr>
          <w:sz w:val="20"/>
          <w:szCs w:val="20"/>
          <w:color w:val="auto"/>
        </w:rPr>
      </w:pPr>
    </w:p>
    <w:p>
      <w:pPr>
        <w:ind w:left="420" w:hanging="412"/>
        <w:spacing w:after="0"/>
        <w:tabs>
          <w:tab w:leader="none" w:pos="420" w:val="left"/>
        </w:tabs>
        <w:numPr>
          <w:ilvl w:val="0"/>
          <w:numId w:val="110"/>
        </w:numPr>
        <w:rPr>
          <w:rFonts w:ascii="Arial" w:cs="Arial" w:eastAsia="Arial" w:hAnsi="Arial"/>
          <w:sz w:val="20"/>
          <w:szCs w:val="20"/>
          <w:color w:val="auto"/>
        </w:rPr>
      </w:pPr>
      <w:r>
        <w:rPr>
          <w:rFonts w:ascii="Arial" w:cs="Arial" w:eastAsia="Arial" w:hAnsi="Arial"/>
          <w:sz w:val="20"/>
          <w:szCs w:val="20"/>
          <w:i w:val="1"/>
          <w:iCs w:val="1"/>
          <w:color w:val="auto"/>
        </w:rPr>
        <w:t>Pre-Clearance and Advance Notice</w:t>
      </w:r>
    </w:p>
    <w:p>
      <w:pPr>
        <w:spacing w:after="0" w:line="229" w:lineRule="exact"/>
        <w:rPr>
          <w:sz w:val="20"/>
          <w:szCs w:val="20"/>
          <w:color w:val="auto"/>
        </w:rPr>
      </w:pPr>
    </w:p>
    <w:p>
      <w:pPr>
        <w:jc w:val="both"/>
        <w:ind w:right="20" w:firstLine="648"/>
        <w:spacing w:after="0" w:line="245" w:lineRule="auto"/>
        <w:rPr>
          <w:sz w:val="20"/>
          <w:szCs w:val="20"/>
          <w:color w:val="auto"/>
        </w:rPr>
      </w:pPr>
      <w:r>
        <w:rPr>
          <w:rFonts w:ascii="Arial" w:cs="Arial" w:eastAsia="Arial" w:hAnsi="Arial"/>
          <w:sz w:val="20"/>
          <w:szCs w:val="20"/>
          <w:color w:val="auto"/>
        </w:rPr>
        <w:t>In addition to the restrictions applicable to Trading Window Persons set forth in Section III.A above, certain individuals designated by the Clearing Officer (collectively, “</w:t>
      </w:r>
      <w:r>
        <w:rPr>
          <w:rFonts w:ascii="Arial" w:cs="Arial" w:eastAsia="Arial" w:hAnsi="Arial"/>
          <w:sz w:val="20"/>
          <w:szCs w:val="20"/>
          <w:b w:val="1"/>
          <w:bCs w:val="1"/>
          <w:i w:val="1"/>
          <w:iCs w:val="1"/>
          <w:color w:val="auto"/>
        </w:rPr>
        <w:t>Pre-Clearance Persons</w:t>
      </w:r>
      <w:r>
        <w:rPr>
          <w:rFonts w:ascii="Arial" w:cs="Arial" w:eastAsia="Arial" w:hAnsi="Arial"/>
          <w:sz w:val="20"/>
          <w:szCs w:val="20"/>
          <w:color w:val="auto"/>
        </w:rPr>
        <w:t>”) may not engage in any transactions in Company securities, except Permitted Transactions, without first obtaining pre-clearance of the transaction from the Clearing Officer at least two business days in advance of the date of the proposed transaction.</w:t>
      </w:r>
    </w:p>
    <w:p>
      <w:pPr>
        <w:spacing w:after="0" w:line="195"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The Clearing Officer will then determine whether the transaction may proceed and, if so, will assist in complying with any applicable reporting requirements under Section 16(a) of the Exchange Act. Pre-cleared transactions not completed within five business days shall require new pre-clearance under the provisions of this Section III.B. The Company may, at its discretion, shorten such period of time. Upon completion of any transaction, the Pre-Clearance Person must immediately notify the Clearing Officer so that the Company may assist with any reporting obligations under Section 16 of the Exchange Act.</w:t>
      </w:r>
    </w:p>
    <w:p>
      <w:pPr>
        <w:spacing w:after="0" w:line="200" w:lineRule="exact"/>
        <w:rPr>
          <w:sz w:val="20"/>
          <w:szCs w:val="20"/>
          <w:color w:val="auto"/>
        </w:rPr>
      </w:pPr>
    </w:p>
    <w:p>
      <w:pPr>
        <w:ind w:left="420" w:hanging="412"/>
        <w:spacing w:after="0"/>
        <w:tabs>
          <w:tab w:leader="none" w:pos="420" w:val="left"/>
        </w:tabs>
        <w:numPr>
          <w:ilvl w:val="0"/>
          <w:numId w:val="111"/>
        </w:numPr>
        <w:rPr>
          <w:rFonts w:ascii="Arial" w:cs="Arial" w:eastAsia="Arial" w:hAnsi="Arial"/>
          <w:sz w:val="20"/>
          <w:szCs w:val="20"/>
          <w:color w:val="auto"/>
        </w:rPr>
      </w:pPr>
      <w:r>
        <w:rPr>
          <w:rFonts w:ascii="Arial" w:cs="Arial" w:eastAsia="Arial" w:hAnsi="Arial"/>
          <w:sz w:val="20"/>
          <w:szCs w:val="20"/>
          <w:i w:val="1"/>
          <w:iCs w:val="1"/>
          <w:color w:val="auto"/>
        </w:rPr>
        <w:t>Section 16 Reports</w:t>
      </w:r>
    </w:p>
    <w:p>
      <w:pPr>
        <w:spacing w:after="0" w:line="24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Directors and Covered Persons designated as “officers” pursuant to Section 16 of the Exchange Act (collectively, “</w:t>
      </w:r>
      <w:r>
        <w:rPr>
          <w:rFonts w:ascii="Arial" w:cs="Arial" w:eastAsia="Arial" w:hAnsi="Arial"/>
          <w:sz w:val="20"/>
          <w:szCs w:val="20"/>
          <w:b w:val="1"/>
          <w:bCs w:val="1"/>
          <w:i w:val="1"/>
          <w:iCs w:val="1"/>
          <w:color w:val="auto"/>
        </w:rPr>
        <w:t>Section 16 Insiders</w:t>
      </w:r>
      <w:r>
        <w:rPr>
          <w:rFonts w:ascii="Arial" w:cs="Arial" w:eastAsia="Arial" w:hAnsi="Arial"/>
          <w:sz w:val="20"/>
          <w:szCs w:val="20"/>
          <w:color w:val="auto"/>
        </w:rPr>
        <w:t>”) are required to file reports with the SEC that disclose such individuals’ trading and other transactions relating to Company securities (“</w:t>
      </w:r>
      <w:r>
        <w:rPr>
          <w:rFonts w:ascii="Arial" w:cs="Arial" w:eastAsia="Arial" w:hAnsi="Arial"/>
          <w:sz w:val="20"/>
          <w:szCs w:val="20"/>
          <w:b w:val="1"/>
          <w:bCs w:val="1"/>
          <w:i w:val="1"/>
          <w:iCs w:val="1"/>
          <w:color w:val="auto"/>
        </w:rPr>
        <w:t>Section 16 Reports</w:t>
      </w:r>
      <w:r>
        <w:rPr>
          <w:rFonts w:ascii="Arial" w:cs="Arial" w:eastAsia="Arial" w:hAnsi="Arial"/>
          <w:sz w:val="20"/>
          <w:szCs w:val="20"/>
          <w:color w:val="auto"/>
        </w:rPr>
        <w:t>”). The Legal Department will assist Section 16 Insiders in preparing and filing the required Section 16 Reports; however, such Section 16 Insiders retain responsibility for the Section 16 Reports. To ensure compliance with all reporting requirements, a Section 16 Insider must, on the date of any trade, provide the Legal Department with all information relating to the trade that is necessary to properly prepare a Form 4 or other Section 16 Report, including, among other information, whether the trade is pursuant to a Trading Plan. A Section 16 Insider must also execute a Form 4 or other Section 16 Report (either individually or through a duly-authorized power of attorney) within a sufficient amount of time to allow the Legal Department to electronically file the Form 4 with the SEC via EDGAR before the end of the second business day following the trade.</w:t>
      </w:r>
    </w:p>
    <w:p>
      <w:pPr>
        <w:spacing w:after="0" w:line="215" w:lineRule="exact"/>
        <w:rPr>
          <w:sz w:val="20"/>
          <w:szCs w:val="20"/>
          <w:color w:val="auto"/>
        </w:rPr>
      </w:pPr>
    </w:p>
    <w:p>
      <w:pPr>
        <w:ind w:left="420" w:hanging="412"/>
        <w:spacing w:after="0"/>
        <w:tabs>
          <w:tab w:leader="none" w:pos="420" w:val="left"/>
        </w:tabs>
        <w:numPr>
          <w:ilvl w:val="0"/>
          <w:numId w:val="112"/>
        </w:numPr>
        <w:rPr>
          <w:rFonts w:ascii="Arial" w:cs="Arial" w:eastAsia="Arial" w:hAnsi="Arial"/>
          <w:sz w:val="20"/>
          <w:szCs w:val="20"/>
          <w:color w:val="auto"/>
        </w:rPr>
      </w:pPr>
      <w:r>
        <w:rPr>
          <w:rFonts w:ascii="Arial" w:cs="Arial" w:eastAsia="Arial" w:hAnsi="Arial"/>
          <w:sz w:val="20"/>
          <w:szCs w:val="20"/>
          <w:i w:val="1"/>
          <w:iCs w:val="1"/>
          <w:color w:val="auto"/>
        </w:rPr>
        <w:t>Form 144</w:t>
      </w:r>
    </w:p>
    <w:p>
      <w:pPr>
        <w:spacing w:after="0" w:line="229"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Under certain circumstances, Covered Persons considered “affiliates” of the Company pursuant to Rule 144 under the Securities Act are required to file a Form 144 before making an open market sale of Company securities. A Form 144 notifies the SEC of an affiliate’s intent to sell Company securities. For a Covered Person considered an affiliate of the Company, this form is generally prepared and filed by such Covered Person’s broker and is in addition to the Section 16 Reports filed on the Covered Person’s behalf by the Legal Department.</w:t>
      </w:r>
    </w:p>
    <w:p>
      <w:pPr>
        <w:sectPr>
          <w:pgSz w:w="11900" w:h="16838" w:orient="portrait"/>
          <w:cols w:equalWidth="0" w:num="1">
            <w:col w:w="11240"/>
          </w:cols>
          <w:pgMar w:left="320" w:top="1440" w:right="339" w:bottom="1440" w:gutter="0" w:footer="0" w:header="0"/>
        </w:sectPr>
      </w:pPr>
    </w:p>
    <w:bookmarkStart w:id="107" w:name="page108"/>
    <w:bookmarkEnd w:id="107"/>
    <w:p>
      <w:pPr>
        <w:spacing w:after="0"/>
        <w:tabs>
          <w:tab w:leader="none" w:pos="440" w:val="left"/>
        </w:tabs>
        <w:rPr>
          <w:sz w:val="20"/>
          <w:szCs w:val="20"/>
          <w:color w:val="auto"/>
        </w:rPr>
      </w:pPr>
      <w:r>
        <w:rPr>
          <w:rFonts w:ascii="Arial" w:cs="Arial" w:eastAsia="Arial" w:hAnsi="Arial"/>
          <w:sz w:val="20"/>
          <w:szCs w:val="20"/>
          <w:b w:val="1"/>
          <w:bCs w:val="1"/>
          <w:color w:val="auto"/>
        </w:rPr>
        <w:t>IV.</w:t>
      </w:r>
      <w:r>
        <w:rPr>
          <w:sz w:val="20"/>
          <w:szCs w:val="20"/>
          <w:color w:val="auto"/>
        </w:rPr>
        <w:tab/>
      </w:r>
      <w:r>
        <w:rPr>
          <w:rFonts w:ascii="Arial" w:cs="Arial" w:eastAsia="Arial" w:hAnsi="Arial"/>
          <w:sz w:val="19"/>
          <w:szCs w:val="19"/>
          <w:b w:val="1"/>
          <w:bCs w:val="1"/>
          <w:u w:val="single" w:color="auto"/>
          <w:color w:val="auto"/>
        </w:rPr>
        <w:t>DURATION OF POLICY’S APPLICABILITY</w:t>
      </w:r>
    </w:p>
    <w:p>
      <w:pPr>
        <w:spacing w:after="0" w:line="231"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This Policy continues to apply to your transactions in Company securities or the stock of other public companies engaged in business dealings with the Company even after your tenure with the Company has terminated. If you are in possession of material non-public information when your employment or service with the Company concludes, you, your Family Members, and any Related Entities may not trade in Company securities or the stock of such other company until the information has been publicly disseminated or is no longer material.</w:t>
      </w:r>
    </w:p>
    <w:p>
      <w:pPr>
        <w:spacing w:after="0" w:line="212" w:lineRule="exact"/>
        <w:rPr>
          <w:sz w:val="20"/>
          <w:szCs w:val="20"/>
          <w:color w:val="auto"/>
        </w:rPr>
      </w:pPr>
    </w:p>
    <w:p>
      <w:pPr>
        <w:ind w:left="400" w:hanging="392"/>
        <w:spacing w:after="0"/>
        <w:tabs>
          <w:tab w:leader="none" w:pos="400" w:val="left"/>
        </w:tabs>
        <w:numPr>
          <w:ilvl w:val="0"/>
          <w:numId w:val="11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TRANSACTIONS BY FAMILY MEMBERS AND RELATED ENTITIES</w:t>
      </w:r>
    </w:p>
    <w:p>
      <w:pPr>
        <w:spacing w:after="0" w:line="23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As stated above, this Policy applies with equal force to Family Members and Related Entities. All Covered Persons are responsible for ensuring that Family Members and Related Entities do not engage in the activities restricted or prohibited under this Policy. As such, Covered Persons should ensure that all Family Members and Related Entities are aware of the need to confer with such Covered Person before the Family Member or Related Entity trades in Company securities. Covered Persons should treat all such transactions for the purposes of this Policy and applicable securities laws as if the transactions were for your own account.</w:t>
      </w:r>
    </w:p>
    <w:p>
      <w:pPr>
        <w:spacing w:after="0" w:line="20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Note that this Policy does not, however, apply to transactions in Company securities where the purchase or sale decision is made by a third party that is not controlled by, influenced by, or related to the Covered Person, Family Member, or Related Entity (such as a third party managed mutual fund account).</w:t>
      </w:r>
    </w:p>
    <w:p>
      <w:pPr>
        <w:spacing w:after="0" w:line="203"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VI.</w:t>
      </w:r>
      <w:r>
        <w:rPr>
          <w:sz w:val="20"/>
          <w:szCs w:val="20"/>
          <w:color w:val="auto"/>
        </w:rPr>
        <w:tab/>
      </w:r>
      <w:r>
        <w:rPr>
          <w:rFonts w:ascii="Arial" w:cs="Arial" w:eastAsia="Arial" w:hAnsi="Arial"/>
          <w:sz w:val="19"/>
          <w:szCs w:val="19"/>
          <w:b w:val="1"/>
          <w:bCs w:val="1"/>
          <w:u w:val="single" w:color="auto"/>
          <w:color w:val="auto"/>
        </w:rPr>
        <w:t>CONSEQUENCES AND PENALTIES</w:t>
      </w:r>
    </w:p>
    <w:p>
      <w:pPr>
        <w:spacing w:after="0" w:line="23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Anyone who effects transactions in Company securities or the stock of other public companies engaged in business dealings with the Company (or provides information to enable others to do so) on the basis of material non-public information is subject to both civil liability and criminal penalties, as well as disciplinary action by the Company.</w:t>
      </w:r>
    </w:p>
    <w:p>
      <w:pPr>
        <w:spacing w:after="0" w:line="192"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color w:val="auto"/>
        </w:rPr>
        <w:t>Penalties for insider trading can be severe for both you and the Company. Under securities laws, the Company and its directors, officers, or supervising associates may be liable for significant penalties if they do not take appropriate action to prevent a person directly or indirectly under their control from trading in securities while in possession of material non-public information – or if they recklessly disregard the likelihood that such trading would take place.</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addition to your dismissal from the Company, failure to comply with this Policy could result in:</w:t>
      </w:r>
    </w:p>
    <w:p>
      <w:pPr>
        <w:spacing w:after="0" w:line="40" w:lineRule="exact"/>
        <w:rPr>
          <w:sz w:val="20"/>
          <w:szCs w:val="20"/>
          <w:color w:val="auto"/>
        </w:rPr>
      </w:pPr>
    </w:p>
    <w:p>
      <w:pPr>
        <w:ind w:left="680" w:right="700" w:hanging="330"/>
        <w:spacing w:after="0" w:line="234" w:lineRule="auto"/>
        <w:tabs>
          <w:tab w:leader="none" w:pos="668" w:val="left"/>
        </w:tabs>
        <w:numPr>
          <w:ilvl w:val="0"/>
          <w:numId w:val="114"/>
        </w:numPr>
        <w:rPr>
          <w:rFonts w:ascii="Arial" w:cs="Arial" w:eastAsia="Arial" w:hAnsi="Arial"/>
          <w:sz w:val="20"/>
          <w:szCs w:val="20"/>
          <w:color w:val="auto"/>
        </w:rPr>
      </w:pPr>
      <w:r>
        <w:rPr>
          <w:rFonts w:ascii="Arial" w:cs="Arial" w:eastAsia="Arial" w:hAnsi="Arial"/>
          <w:sz w:val="20"/>
          <w:szCs w:val="20"/>
          <w:color w:val="auto"/>
        </w:rPr>
        <w:t>Forfeiture of trading gains made or losses avoided, as well as civil penalties of up to three times the trading gains made or losses avoided.</w:t>
      </w:r>
    </w:p>
    <w:p>
      <w:pPr>
        <w:sectPr>
          <w:pgSz w:w="11900" w:h="16838" w:orient="portrait"/>
          <w:cols w:equalWidth="0" w:num="1">
            <w:col w:w="11240"/>
          </w:cols>
          <w:pgMar w:left="320" w:top="1412" w:right="339" w:bottom="1440" w:gutter="0" w:footer="0" w:header="0"/>
        </w:sectPr>
      </w:pPr>
    </w:p>
    <w:p>
      <w:pPr>
        <w:spacing w:after="0" w:line="1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Criminal fines of up to $5 million.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Imprisonment for up to 20 years.</w:t>
      </w:r>
    </w:p>
    <w:p>
      <w:pPr>
        <w:spacing w:after="0" w:line="52" w:lineRule="exact"/>
        <w:rPr>
          <w:sz w:val="20"/>
          <w:szCs w:val="20"/>
          <w:color w:val="auto"/>
        </w:rPr>
      </w:pPr>
    </w:p>
    <w:p>
      <w:pPr>
        <w:sectPr>
          <w:pgSz w:w="11900" w:h="16838" w:orient="portrait"/>
          <w:cols w:equalWidth="0" w:num="4">
            <w:col w:w="420" w:space="240"/>
            <w:col w:w="4380" w:space="720"/>
            <w:col w:w="60" w:space="240"/>
            <w:col w:w="5180"/>
          </w:cols>
          <w:pgMar w:left="320" w:top="1412" w:right="33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Injunctions against future violations.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Private party damages.</w:t>
      </w:r>
    </w:p>
    <w:p>
      <w:pPr>
        <w:sectPr>
          <w:pgSz w:w="11900" w:h="16838" w:orient="portrait"/>
          <w:cols w:equalWidth="0" w:num="4">
            <w:col w:w="420" w:space="240"/>
            <w:col w:w="4380" w:space="720"/>
            <w:col w:w="60" w:space="240"/>
            <w:col w:w="5180"/>
          </w:cols>
          <w:pgMar w:left="320" w:top="1412" w:right="339" w:bottom="1440" w:gutter="0" w:footer="0" w:header="0"/>
          <w:type w:val="continuous"/>
        </w:sectPr>
      </w:pPr>
    </w:p>
    <w:bookmarkStart w:id="108" w:name="page109"/>
    <w:bookmarkEnd w:id="108"/>
    <w:tbl>
      <w:tblPr>
        <w:tblLayout w:type="fixed"/>
        <w:tblInd w:w="0" w:type="dxa"/>
        <w:tblCellMar>
          <w:top w:w="0" w:type="dxa"/>
          <w:left w:w="0" w:type="dxa"/>
          <w:bottom w:w="0" w:type="dxa"/>
          <w:right w:w="0" w:type="dxa"/>
        </w:tblCellMar>
      </w:tblPr>
      <w:tr>
        <w:trPr>
          <w:trHeight w:val="215"/>
        </w:trPr>
        <w:tc>
          <w:tcPr>
            <w:tcW w:w="66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20" w:type="dxa"/>
            <w:vAlign w:val="bottom"/>
            <w:gridSpan w:val="2"/>
          </w:tcPr>
          <w:p>
            <w:pPr>
              <w:ind w:left="2280"/>
              <w:spacing w:after="0"/>
              <w:rPr>
                <w:sz w:val="20"/>
                <w:szCs w:val="20"/>
                <w:color w:val="auto"/>
              </w:rPr>
            </w:pPr>
            <w:r>
              <w:rPr>
                <w:rFonts w:ascii="Arial" w:cs="Arial" w:eastAsia="Arial" w:hAnsi="Arial"/>
                <w:sz w:val="16"/>
                <w:szCs w:val="16"/>
                <w:color w:val="auto"/>
                <w:w w:val="98"/>
              </w:rPr>
              <w:t>Exhibit 21.1</w:t>
            </w:r>
          </w:p>
        </w:tc>
        <w:tc>
          <w:tcPr>
            <w:tcW w:w="0" w:type="dxa"/>
            <w:vAlign w:val="bottom"/>
          </w:tcPr>
          <w:p>
            <w:pPr>
              <w:spacing w:after="0"/>
              <w:rPr>
                <w:sz w:val="1"/>
                <w:szCs w:val="1"/>
                <w:color w:val="auto"/>
              </w:rPr>
            </w:pPr>
          </w:p>
        </w:tc>
      </w:tr>
      <w:tr>
        <w:trPr>
          <w:trHeight w:val="440"/>
        </w:trPr>
        <w:tc>
          <w:tcPr>
            <w:tcW w:w="660" w:type="dxa"/>
            <w:vAlign w:val="bottom"/>
          </w:tcPr>
          <w:p>
            <w:pPr>
              <w:spacing w:after="0"/>
              <w:rPr>
                <w:sz w:val="24"/>
                <w:szCs w:val="24"/>
                <w:color w:val="auto"/>
              </w:rPr>
            </w:pPr>
          </w:p>
        </w:tc>
        <w:tc>
          <w:tcPr>
            <w:tcW w:w="7460" w:type="dxa"/>
            <w:vAlign w:val="bottom"/>
            <w:gridSpan w:val="2"/>
          </w:tcPr>
          <w:p>
            <w:pPr>
              <w:ind w:left="3420"/>
              <w:spacing w:after="0"/>
              <w:rPr>
                <w:sz w:val="20"/>
                <w:szCs w:val="20"/>
                <w:color w:val="auto"/>
              </w:rPr>
            </w:pPr>
            <w:r>
              <w:rPr>
                <w:rFonts w:ascii="Arial" w:cs="Arial" w:eastAsia="Arial" w:hAnsi="Arial"/>
                <w:sz w:val="16"/>
                <w:szCs w:val="16"/>
                <w:b w:val="1"/>
                <w:bCs w:val="1"/>
                <w:color w:val="auto"/>
              </w:rPr>
              <w:t>Subsidiaries of Abercrombie &amp; Fitch Co.</w:t>
            </w:r>
          </w:p>
        </w:tc>
        <w:tc>
          <w:tcPr>
            <w:tcW w:w="2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8120" w:type="dxa"/>
            <w:vAlign w:val="bottom"/>
            <w:gridSpan w:val="3"/>
          </w:tcPr>
          <w:p>
            <w:pPr>
              <w:spacing w:after="0"/>
              <w:rPr>
                <w:sz w:val="20"/>
                <w:szCs w:val="20"/>
                <w:color w:val="auto"/>
              </w:rPr>
            </w:pPr>
            <w:r>
              <w:rPr>
                <w:rFonts w:ascii="Arial" w:cs="Arial" w:eastAsia="Arial" w:hAnsi="Arial"/>
                <w:sz w:val="16"/>
                <w:szCs w:val="16"/>
                <w:color w:val="auto"/>
              </w:rPr>
              <w:t>The direct and indirect subsidiaries of Abercrombie &amp; Fitch Co at February 1, 2025, are listed below.</w:t>
            </w:r>
          </w:p>
        </w:tc>
        <w:tc>
          <w:tcPr>
            <w:tcW w:w="2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660" w:type="dxa"/>
            <w:vAlign w:val="bottom"/>
          </w:tcPr>
          <w:p>
            <w:pPr>
              <w:spacing w:after="0"/>
              <w:rPr>
                <w:sz w:val="24"/>
                <w:szCs w:val="24"/>
                <w:color w:val="auto"/>
              </w:rPr>
            </w:pPr>
          </w:p>
        </w:tc>
        <w:tc>
          <w:tcPr>
            <w:tcW w:w="74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3120" w:type="dxa"/>
            <w:vAlign w:val="bottom"/>
            <w:gridSpan w:val="2"/>
          </w:tcPr>
          <w:p>
            <w:pPr>
              <w:ind w:left="20"/>
              <w:spacing w:after="0"/>
              <w:rPr>
                <w:sz w:val="20"/>
                <w:szCs w:val="20"/>
                <w:color w:val="auto"/>
              </w:rPr>
            </w:pPr>
            <w:r>
              <w:rPr>
                <w:rFonts w:ascii="Arial" w:cs="Arial" w:eastAsia="Arial" w:hAnsi="Arial"/>
                <w:sz w:val="16"/>
                <w:szCs w:val="16"/>
                <w:b w:val="1"/>
                <w:bCs w:val="1"/>
                <w:color w:val="auto"/>
              </w:rPr>
              <w:t>State or Other Jurisdiction of</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460" w:type="dxa"/>
            <w:vAlign w:val="bottom"/>
            <w:gridSpan w:val="2"/>
            <w:vMerge w:val="continue"/>
          </w:tcPr>
          <w:p>
            <w:pPr>
              <w:spacing w:after="0"/>
              <w:rPr>
                <w:sz w:val="18"/>
                <w:szCs w:val="18"/>
                <w:color w:val="auto"/>
              </w:rPr>
            </w:pPr>
          </w:p>
        </w:tc>
        <w:tc>
          <w:tcPr>
            <w:tcW w:w="3120" w:type="dxa"/>
            <w:vAlign w:val="bottom"/>
            <w:gridSpan w:val="2"/>
          </w:tcPr>
          <w:p>
            <w:pPr>
              <w:ind w:left="20"/>
              <w:spacing w:after="0"/>
              <w:rPr>
                <w:sz w:val="20"/>
                <w:szCs w:val="20"/>
                <w:color w:val="auto"/>
              </w:rPr>
            </w:pPr>
            <w:r>
              <w:rPr>
                <w:rFonts w:ascii="Arial" w:cs="Arial" w:eastAsia="Arial" w:hAnsi="Arial"/>
                <w:sz w:val="16"/>
                <w:szCs w:val="16"/>
                <w:b w:val="1"/>
                <w:bCs w:val="1"/>
                <w:color w:val="auto"/>
              </w:rPr>
              <w:t>Incorporation or Organization:</w:t>
            </w:r>
          </w:p>
        </w:tc>
        <w:tc>
          <w:tcPr>
            <w:tcW w:w="0" w:type="dxa"/>
            <w:vAlign w:val="bottom"/>
          </w:tcPr>
          <w:p>
            <w:pPr>
              <w:spacing w:after="0"/>
              <w:rPr>
                <w:sz w:val="1"/>
                <w:szCs w:val="1"/>
                <w:color w:val="auto"/>
              </w:rPr>
            </w:pPr>
          </w:p>
        </w:tc>
      </w:tr>
      <w:tr>
        <w:trPr>
          <w:trHeight w:val="208"/>
        </w:trPr>
        <w:tc>
          <w:tcPr>
            <w:tcW w:w="660" w:type="dxa"/>
            <w:vAlign w:val="bottom"/>
          </w:tcPr>
          <w:p>
            <w:pPr>
              <w:ind w:left="500"/>
              <w:spacing w:after="0"/>
              <w:rPr>
                <w:sz w:val="20"/>
                <w:szCs w:val="20"/>
                <w:color w:val="auto"/>
              </w:rPr>
            </w:pPr>
            <w:r>
              <w:rPr>
                <w:rFonts w:ascii="Arial" w:cs="Arial" w:eastAsia="Arial" w:hAnsi="Arial"/>
                <w:sz w:val="16"/>
                <w:szCs w:val="16"/>
                <w:color w:val="auto"/>
              </w:rPr>
              <w:t>1.</w:t>
            </w:r>
          </w:p>
        </w:tc>
        <w:tc>
          <w:tcPr>
            <w:tcW w:w="70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Abercrombie &amp; Fitch Holding Corporation</w:t>
            </w:r>
          </w:p>
        </w:tc>
        <w:tc>
          <w:tcPr>
            <w:tcW w:w="440" w:type="dxa"/>
            <w:vAlign w:val="bottom"/>
          </w:tcPr>
          <w:p>
            <w:pPr>
              <w:spacing w:after="0"/>
              <w:rPr>
                <w:sz w:val="18"/>
                <w:szCs w:val="18"/>
                <w:color w:val="auto"/>
              </w:rPr>
            </w:pPr>
          </w:p>
        </w:tc>
        <w:tc>
          <w:tcPr>
            <w:tcW w:w="29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Delaware</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20" w:type="dxa"/>
            <w:vAlign w:val="bottom"/>
            <w:gridSpan w:val="3"/>
          </w:tcPr>
          <w:p>
            <w:pPr>
              <w:ind w:left="500"/>
              <w:spacing w:after="0"/>
              <w:rPr>
                <w:sz w:val="20"/>
                <w:szCs w:val="20"/>
                <w:color w:val="auto"/>
              </w:rPr>
            </w:pPr>
            <w:r>
              <w:rPr>
                <w:rFonts w:ascii="Arial" w:cs="Arial" w:eastAsia="Arial" w:hAnsi="Arial"/>
                <w:sz w:val="16"/>
                <w:szCs w:val="16"/>
                <w:color w:val="auto"/>
              </w:rPr>
              <w:t>2. Abercrombie &amp; Fitch Distribution Company</w:t>
            </w:r>
          </w:p>
        </w:tc>
        <w:tc>
          <w:tcPr>
            <w:tcW w:w="3120" w:type="dxa"/>
            <w:vAlign w:val="bottom"/>
            <w:gridSpan w:val="2"/>
          </w:tcPr>
          <w:p>
            <w:pPr>
              <w:ind w:left="20"/>
              <w:spacing w:after="0"/>
              <w:rPr>
                <w:sz w:val="20"/>
                <w:szCs w:val="20"/>
                <w:color w:val="auto"/>
              </w:rPr>
            </w:pPr>
            <w:r>
              <w:rPr>
                <w:rFonts w:ascii="Arial" w:cs="Arial" w:eastAsia="Arial" w:hAnsi="Arial"/>
                <w:sz w:val="16"/>
                <w:szCs w:val="16"/>
                <w:color w:val="auto"/>
              </w:rPr>
              <w:t>Ohio</w:t>
            </w:r>
          </w:p>
        </w:tc>
        <w:tc>
          <w:tcPr>
            <w:tcW w:w="0" w:type="dxa"/>
            <w:vAlign w:val="bottom"/>
          </w:tcPr>
          <w:p>
            <w:pPr>
              <w:spacing w:after="0"/>
              <w:rPr>
                <w:sz w:val="1"/>
                <w:szCs w:val="1"/>
                <w:color w:val="auto"/>
              </w:rPr>
            </w:pPr>
          </w:p>
        </w:tc>
      </w:tr>
      <w:tr>
        <w:trPr>
          <w:trHeight w:val="216"/>
        </w:trPr>
        <w:tc>
          <w:tcPr>
            <w:tcW w:w="8120" w:type="dxa"/>
            <w:vAlign w:val="bottom"/>
            <w:gridSpan w:val="3"/>
          </w:tcPr>
          <w:p>
            <w:pPr>
              <w:ind w:left="500"/>
              <w:spacing w:after="0"/>
              <w:rPr>
                <w:sz w:val="20"/>
                <w:szCs w:val="20"/>
                <w:color w:val="auto"/>
              </w:rPr>
            </w:pPr>
            <w:r>
              <w:rPr>
                <w:rFonts w:ascii="Arial" w:cs="Arial" w:eastAsia="Arial" w:hAnsi="Arial"/>
                <w:sz w:val="16"/>
                <w:szCs w:val="16"/>
                <w:color w:val="auto"/>
              </w:rPr>
              <w:t>3. Abercrombie &amp; Fitch Management Co.</w:t>
            </w:r>
          </w:p>
        </w:tc>
        <w:tc>
          <w:tcPr>
            <w:tcW w:w="3120" w:type="dxa"/>
            <w:vAlign w:val="bottom"/>
            <w:gridSpan w:val="2"/>
          </w:tcPr>
          <w:p>
            <w:pPr>
              <w:ind w:left="2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6"/>
        </w:trPr>
        <w:tc>
          <w:tcPr>
            <w:tcW w:w="8120" w:type="dxa"/>
            <w:vAlign w:val="bottom"/>
            <w:gridSpan w:val="3"/>
          </w:tcPr>
          <w:p>
            <w:pPr>
              <w:ind w:left="500"/>
              <w:spacing w:after="0"/>
              <w:rPr>
                <w:sz w:val="20"/>
                <w:szCs w:val="20"/>
                <w:color w:val="auto"/>
              </w:rPr>
            </w:pPr>
            <w:r>
              <w:rPr>
                <w:rFonts w:ascii="Arial" w:cs="Arial" w:eastAsia="Arial" w:hAnsi="Arial"/>
                <w:sz w:val="16"/>
                <w:szCs w:val="16"/>
                <w:color w:val="auto"/>
              </w:rPr>
              <w:t>4. A &amp; F Trademark, Inc.</w:t>
            </w:r>
          </w:p>
        </w:tc>
        <w:tc>
          <w:tcPr>
            <w:tcW w:w="3120" w:type="dxa"/>
            <w:vAlign w:val="bottom"/>
            <w:gridSpan w:val="2"/>
          </w:tcPr>
          <w:p>
            <w:pPr>
              <w:ind w:left="2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6"/>
        </w:trPr>
        <w:tc>
          <w:tcPr>
            <w:tcW w:w="8120" w:type="dxa"/>
            <w:vAlign w:val="bottom"/>
            <w:gridSpan w:val="3"/>
          </w:tcPr>
          <w:p>
            <w:pPr>
              <w:ind w:left="500"/>
              <w:spacing w:after="0"/>
              <w:rPr>
                <w:sz w:val="20"/>
                <w:szCs w:val="20"/>
                <w:color w:val="auto"/>
              </w:rPr>
            </w:pPr>
            <w:r>
              <w:rPr>
                <w:rFonts w:ascii="Arial" w:cs="Arial" w:eastAsia="Arial" w:hAnsi="Arial"/>
                <w:sz w:val="16"/>
                <w:szCs w:val="16"/>
                <w:color w:val="auto"/>
              </w:rPr>
              <w:t>5. Abercrombie &amp; Fitch Stores, Inc.</w:t>
            </w:r>
          </w:p>
        </w:tc>
        <w:tc>
          <w:tcPr>
            <w:tcW w:w="3120" w:type="dxa"/>
            <w:vAlign w:val="bottom"/>
            <w:gridSpan w:val="2"/>
          </w:tcPr>
          <w:p>
            <w:pPr>
              <w:ind w:left="20"/>
              <w:spacing w:after="0"/>
              <w:rPr>
                <w:sz w:val="20"/>
                <w:szCs w:val="20"/>
                <w:color w:val="auto"/>
              </w:rPr>
            </w:pPr>
            <w:r>
              <w:rPr>
                <w:rFonts w:ascii="Arial" w:cs="Arial" w:eastAsia="Arial" w:hAnsi="Arial"/>
                <w:sz w:val="16"/>
                <w:szCs w:val="16"/>
                <w:color w:val="auto"/>
              </w:rPr>
              <w:t>Ohio</w:t>
            </w:r>
          </w:p>
        </w:tc>
        <w:tc>
          <w:tcPr>
            <w:tcW w:w="0" w:type="dxa"/>
            <w:vAlign w:val="bottom"/>
          </w:tcPr>
          <w:p>
            <w:pPr>
              <w:spacing w:after="0"/>
              <w:rPr>
                <w:sz w:val="1"/>
                <w:szCs w:val="1"/>
                <w:color w:val="auto"/>
              </w:rPr>
            </w:pPr>
          </w:p>
        </w:tc>
      </w:tr>
      <w:tr>
        <w:trPr>
          <w:trHeight w:val="216"/>
        </w:trPr>
        <w:tc>
          <w:tcPr>
            <w:tcW w:w="8120" w:type="dxa"/>
            <w:vAlign w:val="bottom"/>
            <w:gridSpan w:val="3"/>
          </w:tcPr>
          <w:p>
            <w:pPr>
              <w:ind w:left="500"/>
              <w:spacing w:after="0"/>
              <w:rPr>
                <w:sz w:val="20"/>
                <w:szCs w:val="20"/>
                <w:color w:val="auto"/>
              </w:rPr>
            </w:pPr>
            <w:r>
              <w:rPr>
                <w:rFonts w:ascii="Arial" w:cs="Arial" w:eastAsia="Arial" w:hAnsi="Arial"/>
                <w:sz w:val="16"/>
                <w:szCs w:val="16"/>
                <w:color w:val="auto"/>
              </w:rPr>
              <w:t>6. Hollister Co.</w:t>
            </w:r>
          </w:p>
        </w:tc>
        <w:tc>
          <w:tcPr>
            <w:tcW w:w="3120" w:type="dxa"/>
            <w:vAlign w:val="bottom"/>
            <w:gridSpan w:val="2"/>
          </w:tcPr>
          <w:p>
            <w:pPr>
              <w:ind w:left="2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6"/>
        </w:trPr>
        <w:tc>
          <w:tcPr>
            <w:tcW w:w="8120" w:type="dxa"/>
            <w:vAlign w:val="bottom"/>
            <w:gridSpan w:val="3"/>
          </w:tcPr>
          <w:p>
            <w:pPr>
              <w:ind w:left="500"/>
              <w:spacing w:after="0"/>
              <w:rPr>
                <w:sz w:val="20"/>
                <w:szCs w:val="20"/>
                <w:color w:val="auto"/>
              </w:rPr>
            </w:pPr>
            <w:r>
              <w:rPr>
                <w:rFonts w:ascii="Arial" w:cs="Arial" w:eastAsia="Arial" w:hAnsi="Arial"/>
                <w:sz w:val="16"/>
                <w:szCs w:val="16"/>
                <w:color w:val="auto"/>
              </w:rPr>
              <w:t>7. Abercrombie &amp; Fitch International, Inc.</w:t>
            </w:r>
          </w:p>
        </w:tc>
        <w:tc>
          <w:tcPr>
            <w:tcW w:w="3120" w:type="dxa"/>
            <w:vAlign w:val="bottom"/>
            <w:gridSpan w:val="2"/>
          </w:tcPr>
          <w:p>
            <w:pPr>
              <w:ind w:left="2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6"/>
        </w:trPr>
        <w:tc>
          <w:tcPr>
            <w:tcW w:w="8120" w:type="dxa"/>
            <w:vAlign w:val="bottom"/>
            <w:gridSpan w:val="3"/>
          </w:tcPr>
          <w:p>
            <w:pPr>
              <w:ind w:left="500"/>
              <w:spacing w:after="0"/>
              <w:rPr>
                <w:sz w:val="20"/>
                <w:szCs w:val="20"/>
                <w:color w:val="auto"/>
              </w:rPr>
            </w:pPr>
            <w:r>
              <w:rPr>
                <w:rFonts w:ascii="Arial" w:cs="Arial" w:eastAsia="Arial" w:hAnsi="Arial"/>
                <w:sz w:val="16"/>
                <w:szCs w:val="16"/>
                <w:color w:val="auto"/>
              </w:rPr>
              <w:t>8. Fan Company, LLC</w:t>
            </w:r>
          </w:p>
        </w:tc>
        <w:tc>
          <w:tcPr>
            <w:tcW w:w="3120" w:type="dxa"/>
            <w:vAlign w:val="bottom"/>
            <w:gridSpan w:val="2"/>
          </w:tcPr>
          <w:p>
            <w:pPr>
              <w:ind w:left="20"/>
              <w:spacing w:after="0"/>
              <w:rPr>
                <w:sz w:val="20"/>
                <w:szCs w:val="20"/>
                <w:color w:val="auto"/>
              </w:rPr>
            </w:pPr>
            <w:r>
              <w:rPr>
                <w:rFonts w:ascii="Arial" w:cs="Arial" w:eastAsia="Arial" w:hAnsi="Arial"/>
                <w:sz w:val="16"/>
                <w:szCs w:val="16"/>
                <w:color w:val="auto"/>
              </w:rPr>
              <w:t>Ohio</w:t>
            </w:r>
          </w:p>
        </w:tc>
        <w:tc>
          <w:tcPr>
            <w:tcW w:w="0" w:type="dxa"/>
            <w:vAlign w:val="bottom"/>
          </w:tcPr>
          <w:p>
            <w:pPr>
              <w:spacing w:after="0"/>
              <w:rPr>
                <w:sz w:val="1"/>
                <w:szCs w:val="1"/>
                <w:color w:val="auto"/>
              </w:rPr>
            </w:pPr>
          </w:p>
        </w:tc>
      </w:tr>
      <w:tr>
        <w:trPr>
          <w:trHeight w:val="216"/>
        </w:trPr>
        <w:tc>
          <w:tcPr>
            <w:tcW w:w="8120" w:type="dxa"/>
            <w:vAlign w:val="bottom"/>
            <w:gridSpan w:val="3"/>
          </w:tcPr>
          <w:p>
            <w:pPr>
              <w:ind w:left="500"/>
              <w:spacing w:after="0"/>
              <w:rPr>
                <w:sz w:val="20"/>
                <w:szCs w:val="20"/>
                <w:color w:val="auto"/>
              </w:rPr>
            </w:pPr>
            <w:r>
              <w:rPr>
                <w:rFonts w:ascii="Arial" w:cs="Arial" w:eastAsia="Arial" w:hAnsi="Arial"/>
                <w:sz w:val="16"/>
                <w:szCs w:val="16"/>
                <w:color w:val="auto"/>
              </w:rPr>
              <w:t>9. Canoe, LLC</w:t>
            </w:r>
          </w:p>
        </w:tc>
        <w:tc>
          <w:tcPr>
            <w:tcW w:w="3120" w:type="dxa"/>
            <w:vAlign w:val="bottom"/>
            <w:gridSpan w:val="2"/>
          </w:tcPr>
          <w:p>
            <w:pPr>
              <w:ind w:left="20"/>
              <w:spacing w:after="0"/>
              <w:rPr>
                <w:sz w:val="20"/>
                <w:szCs w:val="20"/>
                <w:color w:val="auto"/>
              </w:rPr>
            </w:pPr>
            <w:r>
              <w:rPr>
                <w:rFonts w:ascii="Arial" w:cs="Arial" w:eastAsia="Arial" w:hAnsi="Arial"/>
                <w:sz w:val="16"/>
                <w:szCs w:val="16"/>
                <w:color w:val="auto"/>
              </w:rPr>
              <w:t>Ohio</w:t>
            </w:r>
          </w:p>
        </w:tc>
        <w:tc>
          <w:tcPr>
            <w:tcW w:w="0" w:type="dxa"/>
            <w:vAlign w:val="bottom"/>
          </w:tcPr>
          <w:p>
            <w:pPr>
              <w:spacing w:after="0"/>
              <w:rPr>
                <w:sz w:val="1"/>
                <w:szCs w:val="1"/>
                <w:color w:val="auto"/>
              </w:rPr>
            </w:pPr>
          </w:p>
        </w:tc>
      </w:tr>
      <w:tr>
        <w:trPr>
          <w:trHeight w:val="216"/>
        </w:trPr>
        <w:tc>
          <w:tcPr>
            <w:tcW w:w="8120" w:type="dxa"/>
            <w:vAlign w:val="bottom"/>
            <w:gridSpan w:val="3"/>
          </w:tcPr>
          <w:p>
            <w:pPr>
              <w:ind w:left="420"/>
              <w:spacing w:after="0"/>
              <w:rPr>
                <w:sz w:val="20"/>
                <w:szCs w:val="20"/>
                <w:color w:val="auto"/>
              </w:rPr>
            </w:pPr>
            <w:r>
              <w:rPr>
                <w:rFonts w:ascii="Arial" w:cs="Arial" w:eastAsia="Arial" w:hAnsi="Arial"/>
                <w:sz w:val="16"/>
                <w:szCs w:val="16"/>
                <w:color w:val="auto"/>
              </w:rPr>
              <w:t>10. Crombie, LLC</w:t>
            </w:r>
          </w:p>
        </w:tc>
        <w:tc>
          <w:tcPr>
            <w:tcW w:w="3120" w:type="dxa"/>
            <w:vAlign w:val="bottom"/>
            <w:gridSpan w:val="2"/>
          </w:tcPr>
          <w:p>
            <w:pPr>
              <w:ind w:left="20"/>
              <w:spacing w:after="0"/>
              <w:rPr>
                <w:sz w:val="20"/>
                <w:szCs w:val="20"/>
                <w:color w:val="auto"/>
              </w:rPr>
            </w:pPr>
            <w:r>
              <w:rPr>
                <w:rFonts w:ascii="Arial" w:cs="Arial" w:eastAsia="Arial" w:hAnsi="Arial"/>
                <w:sz w:val="16"/>
                <w:szCs w:val="16"/>
                <w:color w:val="auto"/>
              </w:rPr>
              <w:t>Ohio</w:t>
            </w:r>
          </w:p>
        </w:tc>
        <w:tc>
          <w:tcPr>
            <w:tcW w:w="0" w:type="dxa"/>
            <w:vAlign w:val="bottom"/>
          </w:tcPr>
          <w:p>
            <w:pPr>
              <w:spacing w:after="0"/>
              <w:rPr>
                <w:sz w:val="1"/>
                <w:szCs w:val="1"/>
                <w:color w:val="auto"/>
              </w:rPr>
            </w:pPr>
          </w:p>
        </w:tc>
      </w:tr>
      <w:tr>
        <w:trPr>
          <w:trHeight w:val="216"/>
        </w:trPr>
        <w:tc>
          <w:tcPr>
            <w:tcW w:w="8120" w:type="dxa"/>
            <w:vAlign w:val="bottom"/>
            <w:gridSpan w:val="3"/>
          </w:tcPr>
          <w:p>
            <w:pPr>
              <w:ind w:left="420"/>
              <w:spacing w:after="0"/>
              <w:rPr>
                <w:sz w:val="20"/>
                <w:szCs w:val="20"/>
                <w:color w:val="auto"/>
              </w:rPr>
            </w:pPr>
            <w:r>
              <w:rPr>
                <w:rFonts w:ascii="Arial" w:cs="Arial" w:eastAsia="Arial" w:hAnsi="Arial"/>
                <w:sz w:val="16"/>
                <w:szCs w:val="16"/>
                <w:color w:val="auto"/>
              </w:rPr>
              <w:t>11. DFZ, LLC</w:t>
            </w:r>
          </w:p>
        </w:tc>
        <w:tc>
          <w:tcPr>
            <w:tcW w:w="3120" w:type="dxa"/>
            <w:vAlign w:val="bottom"/>
            <w:gridSpan w:val="2"/>
          </w:tcPr>
          <w:p>
            <w:pPr>
              <w:ind w:left="20"/>
              <w:spacing w:after="0"/>
              <w:rPr>
                <w:sz w:val="20"/>
                <w:szCs w:val="20"/>
                <w:color w:val="auto"/>
              </w:rPr>
            </w:pPr>
            <w:r>
              <w:rPr>
                <w:rFonts w:ascii="Arial" w:cs="Arial" w:eastAsia="Arial" w:hAnsi="Arial"/>
                <w:sz w:val="16"/>
                <w:szCs w:val="16"/>
                <w:color w:val="auto"/>
              </w:rPr>
              <w:t>Ohio</w:t>
            </w:r>
          </w:p>
        </w:tc>
        <w:tc>
          <w:tcPr>
            <w:tcW w:w="0" w:type="dxa"/>
            <w:vAlign w:val="bottom"/>
          </w:tcPr>
          <w:p>
            <w:pPr>
              <w:spacing w:after="0"/>
              <w:rPr>
                <w:sz w:val="1"/>
                <w:szCs w:val="1"/>
                <w:color w:val="auto"/>
              </w:rPr>
            </w:pPr>
          </w:p>
        </w:tc>
      </w:tr>
      <w:tr>
        <w:trPr>
          <w:trHeight w:val="216"/>
        </w:trPr>
        <w:tc>
          <w:tcPr>
            <w:tcW w:w="8120" w:type="dxa"/>
            <w:vAlign w:val="bottom"/>
            <w:gridSpan w:val="3"/>
          </w:tcPr>
          <w:p>
            <w:pPr>
              <w:ind w:left="420"/>
              <w:spacing w:after="0"/>
              <w:rPr>
                <w:sz w:val="20"/>
                <w:szCs w:val="20"/>
                <w:color w:val="auto"/>
              </w:rPr>
            </w:pPr>
            <w:r>
              <w:rPr>
                <w:rFonts w:ascii="Arial" w:cs="Arial" w:eastAsia="Arial" w:hAnsi="Arial"/>
                <w:sz w:val="16"/>
                <w:szCs w:val="16"/>
                <w:color w:val="auto"/>
              </w:rPr>
              <w:t>12. NSOP, LLC</w:t>
            </w:r>
          </w:p>
        </w:tc>
        <w:tc>
          <w:tcPr>
            <w:tcW w:w="3120" w:type="dxa"/>
            <w:vAlign w:val="bottom"/>
            <w:gridSpan w:val="2"/>
          </w:tcPr>
          <w:p>
            <w:pPr>
              <w:ind w:left="20"/>
              <w:spacing w:after="0"/>
              <w:rPr>
                <w:sz w:val="20"/>
                <w:szCs w:val="20"/>
                <w:color w:val="auto"/>
              </w:rPr>
            </w:pPr>
            <w:r>
              <w:rPr>
                <w:rFonts w:ascii="Arial" w:cs="Arial" w:eastAsia="Arial" w:hAnsi="Arial"/>
                <w:sz w:val="16"/>
                <w:szCs w:val="16"/>
                <w:color w:val="auto"/>
              </w:rPr>
              <w:t>Ohio</w:t>
            </w:r>
          </w:p>
        </w:tc>
        <w:tc>
          <w:tcPr>
            <w:tcW w:w="0" w:type="dxa"/>
            <w:vAlign w:val="bottom"/>
          </w:tcPr>
          <w:p>
            <w:pPr>
              <w:spacing w:after="0"/>
              <w:rPr>
                <w:sz w:val="1"/>
                <w:szCs w:val="1"/>
                <w:color w:val="auto"/>
              </w:rPr>
            </w:pPr>
          </w:p>
        </w:tc>
      </w:tr>
      <w:tr>
        <w:trPr>
          <w:trHeight w:val="216"/>
        </w:trPr>
        <w:tc>
          <w:tcPr>
            <w:tcW w:w="8120" w:type="dxa"/>
            <w:vAlign w:val="bottom"/>
            <w:gridSpan w:val="3"/>
          </w:tcPr>
          <w:p>
            <w:pPr>
              <w:ind w:left="420"/>
              <w:spacing w:after="0"/>
              <w:rPr>
                <w:sz w:val="20"/>
                <w:szCs w:val="20"/>
                <w:color w:val="auto"/>
              </w:rPr>
            </w:pPr>
            <w:r>
              <w:rPr>
                <w:rFonts w:ascii="Arial" w:cs="Arial" w:eastAsia="Arial" w:hAnsi="Arial"/>
                <w:sz w:val="16"/>
                <w:szCs w:val="16"/>
                <w:color w:val="auto"/>
              </w:rPr>
              <w:t>13. J.M.H. Trademark, Inc.</w:t>
            </w:r>
          </w:p>
        </w:tc>
        <w:tc>
          <w:tcPr>
            <w:tcW w:w="3120" w:type="dxa"/>
            <w:vAlign w:val="bottom"/>
            <w:gridSpan w:val="2"/>
          </w:tcPr>
          <w:p>
            <w:pPr>
              <w:ind w:left="2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6"/>
        </w:trPr>
        <w:tc>
          <w:tcPr>
            <w:tcW w:w="8120" w:type="dxa"/>
            <w:vAlign w:val="bottom"/>
            <w:gridSpan w:val="3"/>
          </w:tcPr>
          <w:p>
            <w:pPr>
              <w:ind w:left="420"/>
              <w:spacing w:after="0"/>
              <w:rPr>
                <w:sz w:val="20"/>
                <w:szCs w:val="20"/>
                <w:color w:val="auto"/>
              </w:rPr>
            </w:pPr>
            <w:r>
              <w:rPr>
                <w:rFonts w:ascii="Arial" w:cs="Arial" w:eastAsia="Arial" w:hAnsi="Arial"/>
                <w:sz w:val="16"/>
                <w:szCs w:val="16"/>
                <w:color w:val="auto"/>
              </w:rPr>
              <w:t>14. Abercrombie &amp; Fitch Europe SAGL</w:t>
            </w:r>
          </w:p>
        </w:tc>
        <w:tc>
          <w:tcPr>
            <w:tcW w:w="3120" w:type="dxa"/>
            <w:vAlign w:val="bottom"/>
            <w:gridSpan w:val="2"/>
          </w:tcPr>
          <w:p>
            <w:pPr>
              <w:ind w:left="20"/>
              <w:spacing w:after="0"/>
              <w:rPr>
                <w:sz w:val="20"/>
                <w:szCs w:val="20"/>
                <w:color w:val="auto"/>
              </w:rPr>
            </w:pPr>
            <w:r>
              <w:rPr>
                <w:rFonts w:ascii="Arial" w:cs="Arial" w:eastAsia="Arial" w:hAnsi="Arial"/>
                <w:sz w:val="16"/>
                <w:szCs w:val="16"/>
                <w:color w:val="auto"/>
              </w:rPr>
              <w:t>Switzerland</w:t>
            </w:r>
          </w:p>
        </w:tc>
        <w:tc>
          <w:tcPr>
            <w:tcW w:w="0" w:type="dxa"/>
            <w:vAlign w:val="bottom"/>
          </w:tcPr>
          <w:p>
            <w:pPr>
              <w:spacing w:after="0"/>
              <w:rPr>
                <w:sz w:val="1"/>
                <w:szCs w:val="1"/>
                <w:color w:val="auto"/>
              </w:rPr>
            </w:pPr>
          </w:p>
        </w:tc>
      </w:tr>
      <w:tr>
        <w:trPr>
          <w:trHeight w:val="216"/>
        </w:trPr>
        <w:tc>
          <w:tcPr>
            <w:tcW w:w="8120" w:type="dxa"/>
            <w:vAlign w:val="bottom"/>
            <w:gridSpan w:val="3"/>
          </w:tcPr>
          <w:p>
            <w:pPr>
              <w:ind w:left="420"/>
              <w:spacing w:after="0"/>
              <w:rPr>
                <w:sz w:val="20"/>
                <w:szCs w:val="20"/>
                <w:color w:val="auto"/>
              </w:rPr>
            </w:pPr>
            <w:r>
              <w:rPr>
                <w:rFonts w:ascii="Arial" w:cs="Arial" w:eastAsia="Arial" w:hAnsi="Arial"/>
                <w:sz w:val="16"/>
                <w:szCs w:val="16"/>
                <w:color w:val="auto"/>
              </w:rPr>
              <w:t>15. Abercrombie &amp; Fitch Hong Kong Limited</w:t>
            </w:r>
          </w:p>
        </w:tc>
        <w:tc>
          <w:tcPr>
            <w:tcW w:w="3120" w:type="dxa"/>
            <w:vAlign w:val="bottom"/>
            <w:gridSpan w:val="2"/>
          </w:tcPr>
          <w:p>
            <w:pPr>
              <w:ind w:left="20"/>
              <w:spacing w:after="0"/>
              <w:rPr>
                <w:sz w:val="20"/>
                <w:szCs w:val="20"/>
                <w:color w:val="auto"/>
              </w:rPr>
            </w:pPr>
            <w:r>
              <w:rPr>
                <w:rFonts w:ascii="Arial" w:cs="Arial" w:eastAsia="Arial" w:hAnsi="Arial"/>
                <w:sz w:val="16"/>
                <w:szCs w:val="16"/>
                <w:color w:val="auto"/>
              </w:rPr>
              <w:t>Hong Kong</w:t>
            </w:r>
          </w:p>
        </w:tc>
        <w:tc>
          <w:tcPr>
            <w:tcW w:w="0" w:type="dxa"/>
            <w:vAlign w:val="bottom"/>
          </w:tcPr>
          <w:p>
            <w:pPr>
              <w:spacing w:after="0"/>
              <w:rPr>
                <w:sz w:val="1"/>
                <w:szCs w:val="1"/>
                <w:color w:val="auto"/>
              </w:rPr>
            </w:pPr>
          </w:p>
        </w:tc>
      </w:tr>
      <w:tr>
        <w:trPr>
          <w:trHeight w:val="216"/>
        </w:trPr>
        <w:tc>
          <w:tcPr>
            <w:tcW w:w="8120" w:type="dxa"/>
            <w:vAlign w:val="bottom"/>
            <w:gridSpan w:val="3"/>
          </w:tcPr>
          <w:p>
            <w:pPr>
              <w:ind w:left="420"/>
              <w:spacing w:after="0"/>
              <w:rPr>
                <w:sz w:val="20"/>
                <w:szCs w:val="20"/>
                <w:color w:val="auto"/>
              </w:rPr>
            </w:pPr>
            <w:r>
              <w:rPr>
                <w:rFonts w:ascii="Arial" w:cs="Arial" w:eastAsia="Arial" w:hAnsi="Arial"/>
                <w:sz w:val="16"/>
                <w:szCs w:val="16"/>
                <w:color w:val="auto"/>
              </w:rPr>
              <w:t>16. AFH Puerto Rico LLC</w:t>
            </w:r>
          </w:p>
        </w:tc>
        <w:tc>
          <w:tcPr>
            <w:tcW w:w="3120" w:type="dxa"/>
            <w:vAlign w:val="bottom"/>
            <w:gridSpan w:val="2"/>
          </w:tcPr>
          <w:p>
            <w:pPr>
              <w:ind w:left="20"/>
              <w:spacing w:after="0"/>
              <w:rPr>
                <w:sz w:val="20"/>
                <w:szCs w:val="20"/>
                <w:color w:val="auto"/>
              </w:rPr>
            </w:pPr>
            <w:r>
              <w:rPr>
                <w:rFonts w:ascii="Arial" w:cs="Arial" w:eastAsia="Arial" w:hAnsi="Arial"/>
                <w:sz w:val="16"/>
                <w:szCs w:val="16"/>
                <w:color w:val="auto"/>
              </w:rPr>
              <w:t>Ohio (Qualified in PR)</w:t>
            </w:r>
          </w:p>
        </w:tc>
        <w:tc>
          <w:tcPr>
            <w:tcW w:w="0" w:type="dxa"/>
            <w:vAlign w:val="bottom"/>
          </w:tcPr>
          <w:p>
            <w:pPr>
              <w:spacing w:after="0"/>
              <w:rPr>
                <w:sz w:val="1"/>
                <w:szCs w:val="1"/>
                <w:color w:val="auto"/>
              </w:rPr>
            </w:pPr>
          </w:p>
        </w:tc>
      </w:tr>
      <w:tr>
        <w:trPr>
          <w:trHeight w:val="216"/>
        </w:trPr>
        <w:tc>
          <w:tcPr>
            <w:tcW w:w="8120" w:type="dxa"/>
            <w:vAlign w:val="bottom"/>
            <w:gridSpan w:val="3"/>
          </w:tcPr>
          <w:p>
            <w:pPr>
              <w:ind w:left="420"/>
              <w:spacing w:after="0"/>
              <w:rPr>
                <w:sz w:val="20"/>
                <w:szCs w:val="20"/>
                <w:color w:val="auto"/>
              </w:rPr>
            </w:pPr>
            <w:r>
              <w:rPr>
                <w:rFonts w:ascii="Arial" w:cs="Arial" w:eastAsia="Arial" w:hAnsi="Arial"/>
                <w:sz w:val="16"/>
                <w:szCs w:val="16"/>
                <w:color w:val="auto"/>
              </w:rPr>
              <w:t>17. A&amp;F Canada Holding Co.</w:t>
            </w:r>
          </w:p>
        </w:tc>
        <w:tc>
          <w:tcPr>
            <w:tcW w:w="3120" w:type="dxa"/>
            <w:vAlign w:val="bottom"/>
            <w:gridSpan w:val="2"/>
          </w:tcPr>
          <w:p>
            <w:pPr>
              <w:ind w:left="2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6"/>
        </w:trPr>
        <w:tc>
          <w:tcPr>
            <w:tcW w:w="8120" w:type="dxa"/>
            <w:vAlign w:val="bottom"/>
            <w:gridSpan w:val="3"/>
          </w:tcPr>
          <w:p>
            <w:pPr>
              <w:ind w:left="420"/>
              <w:spacing w:after="0"/>
              <w:rPr>
                <w:sz w:val="20"/>
                <w:szCs w:val="20"/>
                <w:color w:val="auto"/>
              </w:rPr>
            </w:pPr>
            <w:r>
              <w:rPr>
                <w:rFonts w:ascii="Arial" w:cs="Arial" w:eastAsia="Arial" w:hAnsi="Arial"/>
                <w:sz w:val="16"/>
                <w:szCs w:val="16"/>
                <w:color w:val="auto"/>
              </w:rPr>
              <w:t>18. Abercrombie &amp; Fitch Trading Co.</w:t>
            </w:r>
          </w:p>
        </w:tc>
        <w:tc>
          <w:tcPr>
            <w:tcW w:w="3120" w:type="dxa"/>
            <w:vAlign w:val="bottom"/>
            <w:gridSpan w:val="2"/>
          </w:tcPr>
          <w:p>
            <w:pPr>
              <w:ind w:left="20"/>
              <w:spacing w:after="0"/>
              <w:rPr>
                <w:sz w:val="20"/>
                <w:szCs w:val="20"/>
                <w:color w:val="auto"/>
              </w:rPr>
            </w:pPr>
            <w:r>
              <w:rPr>
                <w:rFonts w:ascii="Arial" w:cs="Arial" w:eastAsia="Arial" w:hAnsi="Arial"/>
                <w:sz w:val="16"/>
                <w:szCs w:val="16"/>
                <w:color w:val="auto"/>
              </w:rPr>
              <w:t>Ohio</w:t>
            </w:r>
          </w:p>
        </w:tc>
        <w:tc>
          <w:tcPr>
            <w:tcW w:w="0" w:type="dxa"/>
            <w:vAlign w:val="bottom"/>
          </w:tcPr>
          <w:p>
            <w:pPr>
              <w:spacing w:after="0"/>
              <w:rPr>
                <w:sz w:val="1"/>
                <w:szCs w:val="1"/>
                <w:color w:val="auto"/>
              </w:rPr>
            </w:pPr>
          </w:p>
        </w:tc>
      </w:tr>
      <w:tr>
        <w:trPr>
          <w:trHeight w:val="216"/>
        </w:trPr>
        <w:tc>
          <w:tcPr>
            <w:tcW w:w="8120" w:type="dxa"/>
            <w:vAlign w:val="bottom"/>
            <w:gridSpan w:val="3"/>
          </w:tcPr>
          <w:p>
            <w:pPr>
              <w:ind w:left="420"/>
              <w:spacing w:after="0"/>
              <w:rPr>
                <w:sz w:val="20"/>
                <w:szCs w:val="20"/>
                <w:color w:val="auto"/>
              </w:rPr>
            </w:pPr>
            <w:r>
              <w:rPr>
                <w:rFonts w:ascii="Arial" w:cs="Arial" w:eastAsia="Arial" w:hAnsi="Arial"/>
                <w:sz w:val="16"/>
                <w:szCs w:val="16"/>
                <w:color w:val="auto"/>
              </w:rPr>
              <w:t>19. AFH Canada Stores Co.</w:t>
            </w:r>
          </w:p>
        </w:tc>
        <w:tc>
          <w:tcPr>
            <w:tcW w:w="3120" w:type="dxa"/>
            <w:vAlign w:val="bottom"/>
            <w:gridSpan w:val="2"/>
          </w:tcPr>
          <w:p>
            <w:pPr>
              <w:ind w:left="20"/>
              <w:spacing w:after="0"/>
              <w:rPr>
                <w:sz w:val="20"/>
                <w:szCs w:val="20"/>
                <w:color w:val="auto"/>
              </w:rPr>
            </w:pPr>
            <w:r>
              <w:rPr>
                <w:rFonts w:ascii="Arial" w:cs="Arial" w:eastAsia="Arial" w:hAnsi="Arial"/>
                <w:sz w:val="16"/>
                <w:szCs w:val="16"/>
                <w:color w:val="auto"/>
              </w:rPr>
              <w:t>Nova Scotia</w:t>
            </w:r>
          </w:p>
        </w:tc>
        <w:tc>
          <w:tcPr>
            <w:tcW w:w="0" w:type="dxa"/>
            <w:vAlign w:val="bottom"/>
          </w:tcPr>
          <w:p>
            <w:pPr>
              <w:spacing w:after="0"/>
              <w:rPr>
                <w:sz w:val="1"/>
                <w:szCs w:val="1"/>
                <w:color w:val="auto"/>
              </w:rPr>
            </w:pPr>
          </w:p>
        </w:tc>
      </w:tr>
      <w:tr>
        <w:trPr>
          <w:trHeight w:val="216"/>
        </w:trPr>
        <w:tc>
          <w:tcPr>
            <w:tcW w:w="8120" w:type="dxa"/>
            <w:vAlign w:val="bottom"/>
            <w:gridSpan w:val="3"/>
          </w:tcPr>
          <w:p>
            <w:pPr>
              <w:ind w:left="420"/>
              <w:spacing w:after="0"/>
              <w:rPr>
                <w:sz w:val="20"/>
                <w:szCs w:val="20"/>
                <w:color w:val="auto"/>
              </w:rPr>
            </w:pPr>
            <w:r>
              <w:rPr>
                <w:rFonts w:ascii="Arial" w:cs="Arial" w:eastAsia="Arial" w:hAnsi="Arial"/>
                <w:sz w:val="16"/>
                <w:szCs w:val="16"/>
                <w:color w:val="auto"/>
              </w:rPr>
              <w:t>20. AFH Japan GK</w:t>
            </w:r>
          </w:p>
        </w:tc>
        <w:tc>
          <w:tcPr>
            <w:tcW w:w="3120" w:type="dxa"/>
            <w:vAlign w:val="bottom"/>
            <w:gridSpan w:val="2"/>
          </w:tcPr>
          <w:p>
            <w:pPr>
              <w:ind w:left="20"/>
              <w:spacing w:after="0"/>
              <w:rPr>
                <w:sz w:val="20"/>
                <w:szCs w:val="20"/>
                <w:color w:val="auto"/>
              </w:rPr>
            </w:pPr>
            <w:r>
              <w:rPr>
                <w:rFonts w:ascii="Arial" w:cs="Arial" w:eastAsia="Arial" w:hAnsi="Arial"/>
                <w:sz w:val="16"/>
                <w:szCs w:val="16"/>
                <w:color w:val="auto"/>
              </w:rPr>
              <w:t>Japan</w:t>
            </w:r>
          </w:p>
        </w:tc>
        <w:tc>
          <w:tcPr>
            <w:tcW w:w="0" w:type="dxa"/>
            <w:vAlign w:val="bottom"/>
          </w:tcPr>
          <w:p>
            <w:pPr>
              <w:spacing w:after="0"/>
              <w:rPr>
                <w:sz w:val="1"/>
                <w:szCs w:val="1"/>
                <w:color w:val="auto"/>
              </w:rPr>
            </w:pPr>
          </w:p>
        </w:tc>
      </w:tr>
      <w:tr>
        <w:trPr>
          <w:trHeight w:val="216"/>
        </w:trPr>
        <w:tc>
          <w:tcPr>
            <w:tcW w:w="8120" w:type="dxa"/>
            <w:vAlign w:val="bottom"/>
            <w:gridSpan w:val="3"/>
          </w:tcPr>
          <w:p>
            <w:pPr>
              <w:ind w:left="420"/>
              <w:spacing w:after="0"/>
              <w:rPr>
                <w:sz w:val="20"/>
                <w:szCs w:val="20"/>
                <w:color w:val="auto"/>
              </w:rPr>
            </w:pPr>
            <w:r>
              <w:rPr>
                <w:rFonts w:ascii="Arial" w:cs="Arial" w:eastAsia="Arial" w:hAnsi="Arial"/>
                <w:sz w:val="16"/>
                <w:szCs w:val="16"/>
                <w:color w:val="auto"/>
              </w:rPr>
              <w:t>21. Abercrombie &amp; Fitch Italia SRL</w:t>
            </w:r>
          </w:p>
        </w:tc>
        <w:tc>
          <w:tcPr>
            <w:tcW w:w="3120" w:type="dxa"/>
            <w:vAlign w:val="bottom"/>
            <w:gridSpan w:val="2"/>
          </w:tcPr>
          <w:p>
            <w:pPr>
              <w:ind w:left="20"/>
              <w:spacing w:after="0"/>
              <w:rPr>
                <w:sz w:val="20"/>
                <w:szCs w:val="20"/>
                <w:color w:val="auto"/>
              </w:rPr>
            </w:pPr>
            <w:r>
              <w:rPr>
                <w:rFonts w:ascii="Arial" w:cs="Arial" w:eastAsia="Arial" w:hAnsi="Arial"/>
                <w:sz w:val="16"/>
                <w:szCs w:val="16"/>
                <w:color w:val="auto"/>
              </w:rPr>
              <w:t>Italy</w:t>
            </w:r>
          </w:p>
        </w:tc>
        <w:tc>
          <w:tcPr>
            <w:tcW w:w="0" w:type="dxa"/>
            <w:vAlign w:val="bottom"/>
          </w:tcPr>
          <w:p>
            <w:pPr>
              <w:spacing w:after="0"/>
              <w:rPr>
                <w:sz w:val="1"/>
                <w:szCs w:val="1"/>
                <w:color w:val="auto"/>
              </w:rPr>
            </w:pPr>
          </w:p>
        </w:tc>
      </w:tr>
      <w:tr>
        <w:trPr>
          <w:trHeight w:val="216"/>
        </w:trPr>
        <w:tc>
          <w:tcPr>
            <w:tcW w:w="8120" w:type="dxa"/>
            <w:vAlign w:val="bottom"/>
            <w:gridSpan w:val="3"/>
          </w:tcPr>
          <w:p>
            <w:pPr>
              <w:ind w:left="420"/>
              <w:spacing w:after="0"/>
              <w:rPr>
                <w:sz w:val="20"/>
                <w:szCs w:val="20"/>
                <w:color w:val="auto"/>
              </w:rPr>
            </w:pPr>
            <w:r>
              <w:rPr>
                <w:rFonts w:ascii="Arial" w:cs="Arial" w:eastAsia="Arial" w:hAnsi="Arial"/>
                <w:sz w:val="16"/>
                <w:szCs w:val="16"/>
                <w:color w:val="auto"/>
              </w:rPr>
              <w:t>22. AFH Stores UK Limited</w:t>
            </w:r>
          </w:p>
        </w:tc>
        <w:tc>
          <w:tcPr>
            <w:tcW w:w="3120" w:type="dxa"/>
            <w:vAlign w:val="bottom"/>
            <w:gridSpan w:val="2"/>
          </w:tcPr>
          <w:p>
            <w:pPr>
              <w:ind w:left="2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216"/>
        </w:trPr>
        <w:tc>
          <w:tcPr>
            <w:tcW w:w="8120" w:type="dxa"/>
            <w:vAlign w:val="bottom"/>
            <w:gridSpan w:val="3"/>
          </w:tcPr>
          <w:p>
            <w:pPr>
              <w:ind w:left="420"/>
              <w:spacing w:after="0"/>
              <w:rPr>
                <w:sz w:val="20"/>
                <w:szCs w:val="20"/>
                <w:color w:val="auto"/>
              </w:rPr>
            </w:pPr>
            <w:r>
              <w:rPr>
                <w:rFonts w:ascii="Arial" w:cs="Arial" w:eastAsia="Arial" w:hAnsi="Arial"/>
                <w:sz w:val="16"/>
                <w:szCs w:val="16"/>
                <w:color w:val="auto"/>
              </w:rPr>
              <w:t>23. Abercrombie &amp; Fitch (France) SAS</w:t>
            </w:r>
          </w:p>
        </w:tc>
        <w:tc>
          <w:tcPr>
            <w:tcW w:w="3120" w:type="dxa"/>
            <w:vAlign w:val="bottom"/>
            <w:gridSpan w:val="2"/>
          </w:tcPr>
          <w:p>
            <w:pPr>
              <w:ind w:left="20"/>
              <w:spacing w:after="0"/>
              <w:rPr>
                <w:sz w:val="20"/>
                <w:szCs w:val="20"/>
                <w:color w:val="auto"/>
              </w:rPr>
            </w:pPr>
            <w:r>
              <w:rPr>
                <w:rFonts w:ascii="Arial" w:cs="Arial" w:eastAsia="Arial" w:hAnsi="Arial"/>
                <w:sz w:val="16"/>
                <w:szCs w:val="16"/>
                <w:color w:val="auto"/>
              </w:rPr>
              <w:t>France</w:t>
            </w:r>
          </w:p>
        </w:tc>
        <w:tc>
          <w:tcPr>
            <w:tcW w:w="0" w:type="dxa"/>
            <w:vAlign w:val="bottom"/>
          </w:tcPr>
          <w:p>
            <w:pPr>
              <w:spacing w:after="0"/>
              <w:rPr>
                <w:sz w:val="1"/>
                <w:szCs w:val="1"/>
                <w:color w:val="auto"/>
              </w:rPr>
            </w:pPr>
          </w:p>
        </w:tc>
      </w:tr>
      <w:tr>
        <w:trPr>
          <w:trHeight w:val="216"/>
        </w:trPr>
        <w:tc>
          <w:tcPr>
            <w:tcW w:w="8120" w:type="dxa"/>
            <w:vAlign w:val="bottom"/>
            <w:gridSpan w:val="3"/>
          </w:tcPr>
          <w:p>
            <w:pPr>
              <w:ind w:left="420"/>
              <w:spacing w:after="0"/>
              <w:rPr>
                <w:sz w:val="20"/>
                <w:szCs w:val="20"/>
                <w:color w:val="auto"/>
              </w:rPr>
            </w:pPr>
            <w:r>
              <w:rPr>
                <w:rFonts w:ascii="Arial" w:cs="Arial" w:eastAsia="Arial" w:hAnsi="Arial"/>
                <w:sz w:val="16"/>
                <w:szCs w:val="16"/>
                <w:color w:val="auto"/>
              </w:rPr>
              <w:t>24. Abercrombie &amp; Fitch (Spain) S.L.</w:t>
            </w:r>
          </w:p>
        </w:tc>
        <w:tc>
          <w:tcPr>
            <w:tcW w:w="3120" w:type="dxa"/>
            <w:vAlign w:val="bottom"/>
            <w:gridSpan w:val="2"/>
          </w:tcPr>
          <w:p>
            <w:pPr>
              <w:ind w:left="20"/>
              <w:spacing w:after="0"/>
              <w:rPr>
                <w:sz w:val="20"/>
                <w:szCs w:val="20"/>
                <w:color w:val="auto"/>
              </w:rPr>
            </w:pPr>
            <w:r>
              <w:rPr>
                <w:rFonts w:ascii="Arial" w:cs="Arial" w:eastAsia="Arial" w:hAnsi="Arial"/>
                <w:sz w:val="16"/>
                <w:szCs w:val="16"/>
                <w:color w:val="auto"/>
              </w:rPr>
              <w:t>Spain</w:t>
            </w:r>
          </w:p>
        </w:tc>
        <w:tc>
          <w:tcPr>
            <w:tcW w:w="0" w:type="dxa"/>
            <w:vAlign w:val="bottom"/>
          </w:tcPr>
          <w:p>
            <w:pPr>
              <w:spacing w:after="0"/>
              <w:rPr>
                <w:sz w:val="1"/>
                <w:szCs w:val="1"/>
                <w:color w:val="auto"/>
              </w:rPr>
            </w:pPr>
          </w:p>
        </w:tc>
      </w:tr>
      <w:tr>
        <w:trPr>
          <w:trHeight w:val="216"/>
        </w:trPr>
        <w:tc>
          <w:tcPr>
            <w:tcW w:w="8120" w:type="dxa"/>
            <w:vAlign w:val="bottom"/>
            <w:gridSpan w:val="3"/>
          </w:tcPr>
          <w:p>
            <w:pPr>
              <w:ind w:left="420"/>
              <w:spacing w:after="0"/>
              <w:rPr>
                <w:sz w:val="20"/>
                <w:szCs w:val="20"/>
                <w:color w:val="auto"/>
              </w:rPr>
            </w:pPr>
            <w:r>
              <w:rPr>
                <w:rFonts w:ascii="Arial" w:cs="Arial" w:eastAsia="Arial" w:hAnsi="Arial"/>
                <w:sz w:val="16"/>
                <w:szCs w:val="16"/>
                <w:color w:val="auto"/>
              </w:rPr>
              <w:t>25. Abfico Netherlands Distribution B.V.</w:t>
            </w:r>
          </w:p>
        </w:tc>
        <w:tc>
          <w:tcPr>
            <w:tcW w:w="3120" w:type="dxa"/>
            <w:vAlign w:val="bottom"/>
            <w:gridSpan w:val="2"/>
          </w:tcPr>
          <w:p>
            <w:pPr>
              <w:ind w:left="20"/>
              <w:spacing w:after="0"/>
              <w:rPr>
                <w:sz w:val="20"/>
                <w:szCs w:val="20"/>
                <w:color w:val="auto"/>
              </w:rPr>
            </w:pPr>
            <w:r>
              <w:rPr>
                <w:rFonts w:ascii="Arial" w:cs="Arial" w:eastAsia="Arial" w:hAnsi="Arial"/>
                <w:sz w:val="16"/>
                <w:szCs w:val="16"/>
                <w:color w:val="auto"/>
              </w:rPr>
              <w:t>The Netherlands</w:t>
            </w:r>
          </w:p>
        </w:tc>
        <w:tc>
          <w:tcPr>
            <w:tcW w:w="0" w:type="dxa"/>
            <w:vAlign w:val="bottom"/>
          </w:tcPr>
          <w:p>
            <w:pPr>
              <w:spacing w:after="0"/>
              <w:rPr>
                <w:sz w:val="1"/>
                <w:szCs w:val="1"/>
                <w:color w:val="auto"/>
              </w:rPr>
            </w:pPr>
          </w:p>
        </w:tc>
      </w:tr>
      <w:tr>
        <w:trPr>
          <w:trHeight w:val="216"/>
        </w:trPr>
        <w:tc>
          <w:tcPr>
            <w:tcW w:w="8120" w:type="dxa"/>
            <w:vAlign w:val="bottom"/>
            <w:gridSpan w:val="3"/>
          </w:tcPr>
          <w:p>
            <w:pPr>
              <w:ind w:left="420"/>
              <w:spacing w:after="0"/>
              <w:rPr>
                <w:sz w:val="20"/>
                <w:szCs w:val="20"/>
                <w:color w:val="auto"/>
              </w:rPr>
            </w:pPr>
            <w:r>
              <w:rPr>
                <w:rFonts w:ascii="Arial" w:cs="Arial" w:eastAsia="Arial" w:hAnsi="Arial"/>
                <w:sz w:val="16"/>
                <w:szCs w:val="16"/>
                <w:color w:val="auto"/>
              </w:rPr>
              <w:t>26. AFH Hong Kong Limited</w:t>
            </w:r>
          </w:p>
        </w:tc>
        <w:tc>
          <w:tcPr>
            <w:tcW w:w="3120" w:type="dxa"/>
            <w:vAlign w:val="bottom"/>
            <w:gridSpan w:val="2"/>
          </w:tcPr>
          <w:p>
            <w:pPr>
              <w:ind w:left="20"/>
              <w:spacing w:after="0"/>
              <w:rPr>
                <w:sz w:val="20"/>
                <w:szCs w:val="20"/>
                <w:color w:val="auto"/>
              </w:rPr>
            </w:pPr>
            <w:r>
              <w:rPr>
                <w:rFonts w:ascii="Arial" w:cs="Arial" w:eastAsia="Arial" w:hAnsi="Arial"/>
                <w:sz w:val="16"/>
                <w:szCs w:val="16"/>
                <w:color w:val="auto"/>
              </w:rPr>
              <w:t>Hong Kong</w:t>
            </w:r>
          </w:p>
        </w:tc>
        <w:tc>
          <w:tcPr>
            <w:tcW w:w="0" w:type="dxa"/>
            <w:vAlign w:val="bottom"/>
          </w:tcPr>
          <w:p>
            <w:pPr>
              <w:spacing w:after="0"/>
              <w:rPr>
                <w:sz w:val="1"/>
                <w:szCs w:val="1"/>
                <w:color w:val="auto"/>
              </w:rPr>
            </w:pPr>
          </w:p>
        </w:tc>
      </w:tr>
      <w:tr>
        <w:trPr>
          <w:trHeight w:val="216"/>
        </w:trPr>
        <w:tc>
          <w:tcPr>
            <w:tcW w:w="8120" w:type="dxa"/>
            <w:vAlign w:val="bottom"/>
            <w:gridSpan w:val="3"/>
          </w:tcPr>
          <w:p>
            <w:pPr>
              <w:ind w:left="420"/>
              <w:spacing w:after="0"/>
              <w:rPr>
                <w:sz w:val="20"/>
                <w:szCs w:val="20"/>
                <w:color w:val="auto"/>
              </w:rPr>
            </w:pPr>
            <w:r>
              <w:rPr>
                <w:rFonts w:ascii="Arial" w:cs="Arial" w:eastAsia="Arial" w:hAnsi="Arial"/>
                <w:sz w:val="16"/>
                <w:szCs w:val="16"/>
                <w:color w:val="auto"/>
              </w:rPr>
              <w:t>27. A&amp;F Hollister Ireland Limited</w:t>
            </w:r>
          </w:p>
        </w:tc>
        <w:tc>
          <w:tcPr>
            <w:tcW w:w="3120" w:type="dxa"/>
            <w:vAlign w:val="bottom"/>
            <w:gridSpan w:val="2"/>
          </w:tcPr>
          <w:p>
            <w:pPr>
              <w:ind w:left="20"/>
              <w:spacing w:after="0"/>
              <w:rPr>
                <w:sz w:val="20"/>
                <w:szCs w:val="20"/>
                <w:color w:val="auto"/>
              </w:rPr>
            </w:pPr>
            <w:r>
              <w:rPr>
                <w:rFonts w:ascii="Arial" w:cs="Arial" w:eastAsia="Arial" w:hAnsi="Arial"/>
                <w:sz w:val="16"/>
                <w:szCs w:val="16"/>
                <w:color w:val="auto"/>
              </w:rPr>
              <w:t>Ireland</w:t>
            </w:r>
          </w:p>
        </w:tc>
        <w:tc>
          <w:tcPr>
            <w:tcW w:w="0" w:type="dxa"/>
            <w:vAlign w:val="bottom"/>
          </w:tcPr>
          <w:p>
            <w:pPr>
              <w:spacing w:after="0"/>
              <w:rPr>
                <w:sz w:val="1"/>
                <w:szCs w:val="1"/>
                <w:color w:val="auto"/>
              </w:rPr>
            </w:pPr>
          </w:p>
        </w:tc>
      </w:tr>
      <w:tr>
        <w:trPr>
          <w:trHeight w:val="216"/>
        </w:trPr>
        <w:tc>
          <w:tcPr>
            <w:tcW w:w="8120" w:type="dxa"/>
            <w:vAlign w:val="bottom"/>
            <w:gridSpan w:val="3"/>
          </w:tcPr>
          <w:p>
            <w:pPr>
              <w:ind w:left="420"/>
              <w:spacing w:after="0"/>
              <w:rPr>
                <w:sz w:val="20"/>
                <w:szCs w:val="20"/>
                <w:color w:val="auto"/>
              </w:rPr>
            </w:pPr>
            <w:r>
              <w:rPr>
                <w:rFonts w:ascii="Arial" w:cs="Arial" w:eastAsia="Arial" w:hAnsi="Arial"/>
                <w:sz w:val="16"/>
                <w:szCs w:val="16"/>
                <w:color w:val="auto"/>
              </w:rPr>
              <w:t>28. AFH Hong Kong Stores Limited</w:t>
            </w:r>
          </w:p>
        </w:tc>
        <w:tc>
          <w:tcPr>
            <w:tcW w:w="3120" w:type="dxa"/>
            <w:vAlign w:val="bottom"/>
            <w:gridSpan w:val="2"/>
          </w:tcPr>
          <w:p>
            <w:pPr>
              <w:ind w:left="20"/>
              <w:spacing w:after="0"/>
              <w:rPr>
                <w:sz w:val="20"/>
                <w:szCs w:val="20"/>
                <w:color w:val="auto"/>
              </w:rPr>
            </w:pPr>
            <w:r>
              <w:rPr>
                <w:rFonts w:ascii="Arial" w:cs="Arial" w:eastAsia="Arial" w:hAnsi="Arial"/>
                <w:sz w:val="16"/>
                <w:szCs w:val="16"/>
                <w:color w:val="auto"/>
              </w:rPr>
              <w:t>Hong Kong</w:t>
            </w:r>
          </w:p>
        </w:tc>
        <w:tc>
          <w:tcPr>
            <w:tcW w:w="0" w:type="dxa"/>
            <w:vAlign w:val="bottom"/>
          </w:tcPr>
          <w:p>
            <w:pPr>
              <w:spacing w:after="0"/>
              <w:rPr>
                <w:sz w:val="1"/>
                <w:szCs w:val="1"/>
                <w:color w:val="auto"/>
              </w:rPr>
            </w:pPr>
          </w:p>
        </w:tc>
      </w:tr>
      <w:tr>
        <w:trPr>
          <w:trHeight w:val="216"/>
        </w:trPr>
        <w:tc>
          <w:tcPr>
            <w:tcW w:w="8120" w:type="dxa"/>
            <w:vAlign w:val="bottom"/>
            <w:gridSpan w:val="3"/>
          </w:tcPr>
          <w:p>
            <w:pPr>
              <w:ind w:left="420"/>
              <w:spacing w:after="0"/>
              <w:rPr>
                <w:sz w:val="20"/>
                <w:szCs w:val="20"/>
                <w:color w:val="auto"/>
              </w:rPr>
            </w:pPr>
            <w:r>
              <w:rPr>
                <w:rFonts w:ascii="Arial" w:cs="Arial" w:eastAsia="Arial" w:hAnsi="Arial"/>
                <w:sz w:val="16"/>
                <w:szCs w:val="16"/>
                <w:color w:val="auto"/>
              </w:rPr>
              <w:t>29. AFH Singapore Pte. Ltd.</w:t>
            </w:r>
          </w:p>
        </w:tc>
        <w:tc>
          <w:tcPr>
            <w:tcW w:w="3120" w:type="dxa"/>
            <w:vAlign w:val="bottom"/>
            <w:gridSpan w:val="2"/>
          </w:tcPr>
          <w:p>
            <w:pPr>
              <w:ind w:left="20"/>
              <w:spacing w:after="0"/>
              <w:rPr>
                <w:sz w:val="20"/>
                <w:szCs w:val="20"/>
                <w:color w:val="auto"/>
              </w:rPr>
            </w:pPr>
            <w:r>
              <w:rPr>
                <w:rFonts w:ascii="Arial" w:cs="Arial" w:eastAsia="Arial" w:hAnsi="Arial"/>
                <w:sz w:val="16"/>
                <w:szCs w:val="16"/>
                <w:color w:val="auto"/>
              </w:rPr>
              <w:t>Singapore</w:t>
            </w:r>
          </w:p>
        </w:tc>
        <w:tc>
          <w:tcPr>
            <w:tcW w:w="0" w:type="dxa"/>
            <w:vAlign w:val="bottom"/>
          </w:tcPr>
          <w:p>
            <w:pPr>
              <w:spacing w:after="0"/>
              <w:rPr>
                <w:sz w:val="1"/>
                <w:szCs w:val="1"/>
                <w:color w:val="auto"/>
              </w:rPr>
            </w:pPr>
          </w:p>
        </w:tc>
      </w:tr>
      <w:tr>
        <w:trPr>
          <w:trHeight w:val="216"/>
        </w:trPr>
        <w:tc>
          <w:tcPr>
            <w:tcW w:w="8120" w:type="dxa"/>
            <w:vAlign w:val="bottom"/>
            <w:gridSpan w:val="3"/>
          </w:tcPr>
          <w:p>
            <w:pPr>
              <w:ind w:left="420"/>
              <w:spacing w:after="0"/>
              <w:rPr>
                <w:sz w:val="20"/>
                <w:szCs w:val="20"/>
                <w:color w:val="auto"/>
              </w:rPr>
            </w:pPr>
            <w:r>
              <w:rPr>
                <w:rFonts w:ascii="Arial" w:cs="Arial" w:eastAsia="Arial" w:hAnsi="Arial"/>
                <w:sz w:val="16"/>
                <w:szCs w:val="16"/>
                <w:color w:val="auto"/>
              </w:rPr>
              <w:t>30. A&amp;F HCo Stores AT GmbH</w:t>
            </w:r>
          </w:p>
        </w:tc>
        <w:tc>
          <w:tcPr>
            <w:tcW w:w="3120" w:type="dxa"/>
            <w:vAlign w:val="bottom"/>
            <w:gridSpan w:val="2"/>
          </w:tcPr>
          <w:p>
            <w:pPr>
              <w:ind w:left="20"/>
              <w:spacing w:after="0"/>
              <w:rPr>
                <w:sz w:val="20"/>
                <w:szCs w:val="20"/>
                <w:color w:val="auto"/>
              </w:rPr>
            </w:pPr>
            <w:r>
              <w:rPr>
                <w:rFonts w:ascii="Arial" w:cs="Arial" w:eastAsia="Arial" w:hAnsi="Arial"/>
                <w:sz w:val="16"/>
                <w:szCs w:val="16"/>
                <w:color w:val="auto"/>
              </w:rPr>
              <w:t>Austria</w:t>
            </w:r>
          </w:p>
        </w:tc>
        <w:tc>
          <w:tcPr>
            <w:tcW w:w="0" w:type="dxa"/>
            <w:vAlign w:val="bottom"/>
          </w:tcPr>
          <w:p>
            <w:pPr>
              <w:spacing w:after="0"/>
              <w:rPr>
                <w:sz w:val="1"/>
                <w:szCs w:val="1"/>
                <w:color w:val="auto"/>
              </w:rPr>
            </w:pPr>
          </w:p>
        </w:tc>
      </w:tr>
      <w:tr>
        <w:trPr>
          <w:trHeight w:val="216"/>
        </w:trPr>
        <w:tc>
          <w:tcPr>
            <w:tcW w:w="8120" w:type="dxa"/>
            <w:vAlign w:val="bottom"/>
            <w:gridSpan w:val="3"/>
          </w:tcPr>
          <w:p>
            <w:pPr>
              <w:ind w:left="420"/>
              <w:spacing w:after="0"/>
              <w:rPr>
                <w:sz w:val="20"/>
                <w:szCs w:val="20"/>
                <w:color w:val="auto"/>
              </w:rPr>
            </w:pPr>
            <w:r>
              <w:rPr>
                <w:rFonts w:ascii="Arial" w:cs="Arial" w:eastAsia="Arial" w:hAnsi="Arial"/>
                <w:sz w:val="16"/>
                <w:szCs w:val="16"/>
                <w:color w:val="auto"/>
              </w:rPr>
              <w:t>31. AFH Belgium SRL</w:t>
            </w:r>
          </w:p>
        </w:tc>
        <w:tc>
          <w:tcPr>
            <w:tcW w:w="3120" w:type="dxa"/>
            <w:vAlign w:val="bottom"/>
            <w:gridSpan w:val="2"/>
          </w:tcPr>
          <w:p>
            <w:pPr>
              <w:ind w:left="20"/>
              <w:spacing w:after="0"/>
              <w:rPr>
                <w:sz w:val="20"/>
                <w:szCs w:val="20"/>
                <w:color w:val="auto"/>
              </w:rPr>
            </w:pPr>
            <w:r>
              <w:rPr>
                <w:rFonts w:ascii="Arial" w:cs="Arial" w:eastAsia="Arial" w:hAnsi="Arial"/>
                <w:sz w:val="16"/>
                <w:szCs w:val="16"/>
                <w:color w:val="auto"/>
              </w:rPr>
              <w:t>Belgium</w:t>
            </w:r>
          </w:p>
        </w:tc>
        <w:tc>
          <w:tcPr>
            <w:tcW w:w="0" w:type="dxa"/>
            <w:vAlign w:val="bottom"/>
          </w:tcPr>
          <w:p>
            <w:pPr>
              <w:spacing w:after="0"/>
              <w:rPr>
                <w:sz w:val="1"/>
                <w:szCs w:val="1"/>
                <w:color w:val="auto"/>
              </w:rPr>
            </w:pPr>
          </w:p>
        </w:tc>
      </w:tr>
      <w:tr>
        <w:trPr>
          <w:trHeight w:val="216"/>
        </w:trPr>
        <w:tc>
          <w:tcPr>
            <w:tcW w:w="8120" w:type="dxa"/>
            <w:vAlign w:val="bottom"/>
            <w:gridSpan w:val="3"/>
          </w:tcPr>
          <w:p>
            <w:pPr>
              <w:ind w:left="420"/>
              <w:spacing w:after="0"/>
              <w:rPr>
                <w:sz w:val="20"/>
                <w:szCs w:val="20"/>
                <w:color w:val="auto"/>
              </w:rPr>
            </w:pPr>
            <w:r>
              <w:rPr>
                <w:rFonts w:ascii="Arial" w:cs="Arial" w:eastAsia="Arial" w:hAnsi="Arial"/>
                <w:sz w:val="16"/>
                <w:szCs w:val="16"/>
                <w:color w:val="auto"/>
              </w:rPr>
              <w:t>32. AFH Poland Sp. z.o.o.</w:t>
            </w:r>
          </w:p>
        </w:tc>
        <w:tc>
          <w:tcPr>
            <w:tcW w:w="3120" w:type="dxa"/>
            <w:vAlign w:val="bottom"/>
            <w:gridSpan w:val="2"/>
          </w:tcPr>
          <w:p>
            <w:pPr>
              <w:ind w:left="20"/>
              <w:spacing w:after="0"/>
              <w:rPr>
                <w:sz w:val="20"/>
                <w:szCs w:val="20"/>
                <w:color w:val="auto"/>
              </w:rPr>
            </w:pPr>
            <w:r>
              <w:rPr>
                <w:rFonts w:ascii="Arial" w:cs="Arial" w:eastAsia="Arial" w:hAnsi="Arial"/>
                <w:sz w:val="16"/>
                <w:szCs w:val="16"/>
                <w:color w:val="auto"/>
              </w:rPr>
              <w:t>Poland</w:t>
            </w:r>
          </w:p>
        </w:tc>
        <w:tc>
          <w:tcPr>
            <w:tcW w:w="0" w:type="dxa"/>
            <w:vAlign w:val="bottom"/>
          </w:tcPr>
          <w:p>
            <w:pPr>
              <w:spacing w:after="0"/>
              <w:rPr>
                <w:sz w:val="1"/>
                <w:szCs w:val="1"/>
                <w:color w:val="auto"/>
              </w:rPr>
            </w:pPr>
          </w:p>
        </w:tc>
      </w:tr>
      <w:tr>
        <w:trPr>
          <w:trHeight w:val="216"/>
        </w:trPr>
        <w:tc>
          <w:tcPr>
            <w:tcW w:w="8120" w:type="dxa"/>
            <w:vAlign w:val="bottom"/>
            <w:gridSpan w:val="3"/>
          </w:tcPr>
          <w:p>
            <w:pPr>
              <w:ind w:left="420"/>
              <w:spacing w:after="0"/>
              <w:rPr>
                <w:sz w:val="20"/>
                <w:szCs w:val="20"/>
                <w:color w:val="auto"/>
              </w:rPr>
            </w:pPr>
            <w:r>
              <w:rPr>
                <w:rFonts w:ascii="Arial" w:cs="Arial" w:eastAsia="Arial" w:hAnsi="Arial"/>
                <w:sz w:val="16"/>
                <w:szCs w:val="16"/>
                <w:color w:val="auto"/>
              </w:rPr>
              <w:t>33. AFH Co. Stores Netherlands B.V.</w:t>
            </w:r>
          </w:p>
        </w:tc>
        <w:tc>
          <w:tcPr>
            <w:tcW w:w="3120" w:type="dxa"/>
            <w:vAlign w:val="bottom"/>
            <w:gridSpan w:val="2"/>
          </w:tcPr>
          <w:p>
            <w:pPr>
              <w:ind w:left="20"/>
              <w:spacing w:after="0"/>
              <w:rPr>
                <w:sz w:val="20"/>
                <w:szCs w:val="20"/>
                <w:color w:val="auto"/>
              </w:rPr>
            </w:pPr>
            <w:r>
              <w:rPr>
                <w:rFonts w:ascii="Arial" w:cs="Arial" w:eastAsia="Arial" w:hAnsi="Arial"/>
                <w:sz w:val="16"/>
                <w:szCs w:val="16"/>
                <w:color w:val="auto"/>
              </w:rPr>
              <w:t>The Netherlands</w:t>
            </w:r>
          </w:p>
        </w:tc>
        <w:tc>
          <w:tcPr>
            <w:tcW w:w="0" w:type="dxa"/>
            <w:vAlign w:val="bottom"/>
          </w:tcPr>
          <w:p>
            <w:pPr>
              <w:spacing w:after="0"/>
              <w:rPr>
                <w:sz w:val="1"/>
                <w:szCs w:val="1"/>
                <w:color w:val="auto"/>
              </w:rPr>
            </w:pPr>
          </w:p>
        </w:tc>
      </w:tr>
      <w:tr>
        <w:trPr>
          <w:trHeight w:val="216"/>
        </w:trPr>
        <w:tc>
          <w:tcPr>
            <w:tcW w:w="8120" w:type="dxa"/>
            <w:vAlign w:val="bottom"/>
            <w:gridSpan w:val="3"/>
          </w:tcPr>
          <w:p>
            <w:pPr>
              <w:ind w:left="420"/>
              <w:spacing w:after="0"/>
              <w:rPr>
                <w:sz w:val="20"/>
                <w:szCs w:val="20"/>
                <w:color w:val="auto"/>
              </w:rPr>
            </w:pPr>
            <w:r>
              <w:rPr>
                <w:rFonts w:ascii="Arial" w:cs="Arial" w:eastAsia="Arial" w:hAnsi="Arial"/>
                <w:sz w:val="16"/>
                <w:szCs w:val="16"/>
                <w:color w:val="auto"/>
              </w:rPr>
              <w:t>34. AFH Fulfillment NL B.V.</w:t>
            </w:r>
          </w:p>
        </w:tc>
        <w:tc>
          <w:tcPr>
            <w:tcW w:w="3120" w:type="dxa"/>
            <w:vAlign w:val="bottom"/>
            <w:gridSpan w:val="2"/>
          </w:tcPr>
          <w:p>
            <w:pPr>
              <w:ind w:left="20"/>
              <w:spacing w:after="0"/>
              <w:rPr>
                <w:sz w:val="20"/>
                <w:szCs w:val="20"/>
                <w:color w:val="auto"/>
              </w:rPr>
            </w:pPr>
            <w:r>
              <w:rPr>
                <w:rFonts w:ascii="Arial" w:cs="Arial" w:eastAsia="Arial" w:hAnsi="Arial"/>
                <w:sz w:val="16"/>
                <w:szCs w:val="16"/>
                <w:color w:val="auto"/>
              </w:rPr>
              <w:t>The Netherlands</w:t>
            </w:r>
          </w:p>
        </w:tc>
        <w:tc>
          <w:tcPr>
            <w:tcW w:w="0" w:type="dxa"/>
            <w:vAlign w:val="bottom"/>
          </w:tcPr>
          <w:p>
            <w:pPr>
              <w:spacing w:after="0"/>
              <w:rPr>
                <w:sz w:val="1"/>
                <w:szCs w:val="1"/>
                <w:color w:val="auto"/>
              </w:rPr>
            </w:pPr>
          </w:p>
        </w:tc>
      </w:tr>
      <w:tr>
        <w:trPr>
          <w:trHeight w:val="216"/>
        </w:trPr>
        <w:tc>
          <w:tcPr>
            <w:tcW w:w="8120" w:type="dxa"/>
            <w:vAlign w:val="bottom"/>
            <w:gridSpan w:val="3"/>
          </w:tcPr>
          <w:p>
            <w:pPr>
              <w:ind w:left="420"/>
              <w:spacing w:after="0"/>
              <w:rPr>
                <w:sz w:val="20"/>
                <w:szCs w:val="20"/>
                <w:color w:val="auto"/>
              </w:rPr>
            </w:pPr>
            <w:r>
              <w:rPr>
                <w:rFonts w:ascii="Arial" w:cs="Arial" w:eastAsia="Arial" w:hAnsi="Arial"/>
                <w:sz w:val="16"/>
                <w:szCs w:val="16"/>
                <w:color w:val="auto"/>
              </w:rPr>
              <w:t>35. AFH Logistics DWC-LLC</w:t>
            </w:r>
          </w:p>
        </w:tc>
        <w:tc>
          <w:tcPr>
            <w:tcW w:w="3120" w:type="dxa"/>
            <w:vAlign w:val="bottom"/>
            <w:gridSpan w:val="2"/>
          </w:tcPr>
          <w:p>
            <w:pPr>
              <w:ind w:left="20"/>
              <w:spacing w:after="0"/>
              <w:rPr>
                <w:sz w:val="20"/>
                <w:szCs w:val="20"/>
                <w:color w:val="auto"/>
              </w:rPr>
            </w:pPr>
            <w:r>
              <w:rPr>
                <w:rFonts w:ascii="Arial" w:cs="Arial" w:eastAsia="Arial" w:hAnsi="Arial"/>
                <w:sz w:val="16"/>
                <w:szCs w:val="16"/>
                <w:color w:val="auto"/>
              </w:rPr>
              <w:t>Dubai</w:t>
            </w:r>
          </w:p>
        </w:tc>
        <w:tc>
          <w:tcPr>
            <w:tcW w:w="0" w:type="dxa"/>
            <w:vAlign w:val="bottom"/>
          </w:tcPr>
          <w:p>
            <w:pPr>
              <w:spacing w:after="0"/>
              <w:rPr>
                <w:sz w:val="1"/>
                <w:szCs w:val="1"/>
                <w:color w:val="auto"/>
              </w:rPr>
            </w:pPr>
          </w:p>
        </w:tc>
      </w:tr>
      <w:tr>
        <w:trPr>
          <w:trHeight w:val="216"/>
        </w:trPr>
        <w:tc>
          <w:tcPr>
            <w:tcW w:w="8120" w:type="dxa"/>
            <w:vAlign w:val="bottom"/>
            <w:gridSpan w:val="3"/>
          </w:tcPr>
          <w:p>
            <w:pPr>
              <w:ind w:left="420"/>
              <w:spacing w:after="0"/>
              <w:rPr>
                <w:sz w:val="20"/>
                <w:szCs w:val="20"/>
                <w:color w:val="auto"/>
              </w:rPr>
            </w:pPr>
            <w:r>
              <w:rPr>
                <w:rFonts w:ascii="Arial" w:cs="Arial" w:eastAsia="Arial" w:hAnsi="Arial"/>
                <w:sz w:val="16"/>
                <w:szCs w:val="16"/>
                <w:color w:val="auto"/>
              </w:rPr>
              <w:t>36. Abercrombie &amp; Fitch Procurement Services, LLC</w:t>
            </w:r>
          </w:p>
        </w:tc>
        <w:tc>
          <w:tcPr>
            <w:tcW w:w="3120" w:type="dxa"/>
            <w:vAlign w:val="bottom"/>
            <w:gridSpan w:val="2"/>
          </w:tcPr>
          <w:p>
            <w:pPr>
              <w:ind w:left="20"/>
              <w:spacing w:after="0"/>
              <w:rPr>
                <w:sz w:val="20"/>
                <w:szCs w:val="20"/>
                <w:color w:val="auto"/>
              </w:rPr>
            </w:pPr>
            <w:r>
              <w:rPr>
                <w:rFonts w:ascii="Arial" w:cs="Arial" w:eastAsia="Arial" w:hAnsi="Arial"/>
                <w:sz w:val="16"/>
                <w:szCs w:val="16"/>
                <w:color w:val="auto"/>
              </w:rPr>
              <w:t>Ohio</w:t>
            </w:r>
          </w:p>
        </w:tc>
        <w:tc>
          <w:tcPr>
            <w:tcW w:w="0" w:type="dxa"/>
            <w:vAlign w:val="bottom"/>
          </w:tcPr>
          <w:p>
            <w:pPr>
              <w:spacing w:after="0"/>
              <w:rPr>
                <w:sz w:val="1"/>
                <w:szCs w:val="1"/>
                <w:color w:val="auto"/>
              </w:rPr>
            </w:pPr>
          </w:p>
        </w:tc>
      </w:tr>
      <w:tr>
        <w:trPr>
          <w:trHeight w:val="216"/>
        </w:trPr>
        <w:tc>
          <w:tcPr>
            <w:tcW w:w="8120" w:type="dxa"/>
            <w:vAlign w:val="bottom"/>
            <w:gridSpan w:val="3"/>
          </w:tcPr>
          <w:p>
            <w:pPr>
              <w:ind w:left="420"/>
              <w:spacing w:after="0"/>
              <w:rPr>
                <w:sz w:val="20"/>
                <w:szCs w:val="20"/>
                <w:color w:val="auto"/>
              </w:rPr>
            </w:pPr>
            <w:r>
              <w:rPr>
                <w:rFonts w:ascii="Arial" w:cs="Arial" w:eastAsia="Arial" w:hAnsi="Arial"/>
                <w:sz w:val="16"/>
                <w:szCs w:val="16"/>
                <w:color w:val="auto"/>
              </w:rPr>
              <w:t>37. Hollister Co. California, LLC</w:t>
            </w:r>
          </w:p>
        </w:tc>
        <w:tc>
          <w:tcPr>
            <w:tcW w:w="3120" w:type="dxa"/>
            <w:vAlign w:val="bottom"/>
            <w:gridSpan w:val="2"/>
          </w:tcPr>
          <w:p>
            <w:pPr>
              <w:ind w:left="20"/>
              <w:spacing w:after="0"/>
              <w:rPr>
                <w:sz w:val="20"/>
                <w:szCs w:val="20"/>
                <w:color w:val="auto"/>
              </w:rPr>
            </w:pPr>
            <w:r>
              <w:rPr>
                <w:rFonts w:ascii="Arial" w:cs="Arial" w:eastAsia="Arial" w:hAnsi="Arial"/>
                <w:sz w:val="16"/>
                <w:szCs w:val="16"/>
                <w:color w:val="auto"/>
              </w:rPr>
              <w:t>California</w:t>
            </w:r>
          </w:p>
        </w:tc>
        <w:tc>
          <w:tcPr>
            <w:tcW w:w="0" w:type="dxa"/>
            <w:vAlign w:val="bottom"/>
          </w:tcPr>
          <w:p>
            <w:pPr>
              <w:spacing w:after="0"/>
              <w:rPr>
                <w:sz w:val="1"/>
                <w:szCs w:val="1"/>
                <w:color w:val="auto"/>
              </w:rPr>
            </w:pPr>
          </w:p>
        </w:tc>
      </w:tr>
      <w:tr>
        <w:trPr>
          <w:trHeight w:val="216"/>
        </w:trPr>
        <w:tc>
          <w:tcPr>
            <w:tcW w:w="8120" w:type="dxa"/>
            <w:vAlign w:val="bottom"/>
            <w:gridSpan w:val="3"/>
          </w:tcPr>
          <w:p>
            <w:pPr>
              <w:ind w:left="420"/>
              <w:spacing w:after="0"/>
              <w:rPr>
                <w:sz w:val="20"/>
                <w:szCs w:val="20"/>
                <w:color w:val="auto"/>
              </w:rPr>
            </w:pPr>
            <w:r>
              <w:rPr>
                <w:rFonts w:ascii="Arial" w:cs="Arial" w:eastAsia="Arial" w:hAnsi="Arial"/>
                <w:sz w:val="16"/>
                <w:szCs w:val="16"/>
                <w:color w:val="auto"/>
              </w:rPr>
              <w:t>38. AFH Germany GmbH</w:t>
            </w:r>
          </w:p>
        </w:tc>
        <w:tc>
          <w:tcPr>
            <w:tcW w:w="3120" w:type="dxa"/>
            <w:vAlign w:val="bottom"/>
            <w:gridSpan w:val="2"/>
          </w:tcPr>
          <w:p>
            <w:pPr>
              <w:ind w:left="20"/>
              <w:spacing w:after="0"/>
              <w:rPr>
                <w:sz w:val="20"/>
                <w:szCs w:val="20"/>
                <w:color w:val="auto"/>
              </w:rPr>
            </w:pPr>
            <w:r>
              <w:rPr>
                <w:rFonts w:ascii="Arial" w:cs="Arial" w:eastAsia="Arial" w:hAnsi="Arial"/>
                <w:sz w:val="16"/>
                <w:szCs w:val="16"/>
                <w:color w:val="auto"/>
              </w:rPr>
              <w:t>Germany</w:t>
            </w:r>
          </w:p>
        </w:tc>
        <w:tc>
          <w:tcPr>
            <w:tcW w:w="0" w:type="dxa"/>
            <w:vAlign w:val="bottom"/>
          </w:tcPr>
          <w:p>
            <w:pPr>
              <w:spacing w:after="0"/>
              <w:rPr>
                <w:sz w:val="1"/>
                <w:szCs w:val="1"/>
                <w:color w:val="auto"/>
              </w:rPr>
            </w:pPr>
          </w:p>
        </w:tc>
      </w:tr>
      <w:tr>
        <w:trPr>
          <w:trHeight w:val="216"/>
        </w:trPr>
        <w:tc>
          <w:tcPr>
            <w:tcW w:w="8120" w:type="dxa"/>
            <w:vAlign w:val="bottom"/>
            <w:gridSpan w:val="3"/>
          </w:tcPr>
          <w:p>
            <w:pPr>
              <w:ind w:left="420"/>
              <w:spacing w:after="0"/>
              <w:rPr>
                <w:sz w:val="20"/>
                <w:szCs w:val="20"/>
                <w:color w:val="auto"/>
              </w:rPr>
            </w:pPr>
            <w:r>
              <w:rPr>
                <w:rFonts w:ascii="Arial" w:cs="Arial" w:eastAsia="Arial" w:hAnsi="Arial"/>
                <w:sz w:val="16"/>
                <w:szCs w:val="16"/>
                <w:color w:val="auto"/>
              </w:rPr>
              <w:t>39. AFH Sweden Aktiebolag</w:t>
            </w:r>
          </w:p>
        </w:tc>
        <w:tc>
          <w:tcPr>
            <w:tcW w:w="3120" w:type="dxa"/>
            <w:vAlign w:val="bottom"/>
            <w:gridSpan w:val="2"/>
          </w:tcPr>
          <w:p>
            <w:pPr>
              <w:ind w:left="20"/>
              <w:spacing w:after="0"/>
              <w:rPr>
                <w:sz w:val="20"/>
                <w:szCs w:val="20"/>
                <w:color w:val="auto"/>
              </w:rPr>
            </w:pPr>
            <w:r>
              <w:rPr>
                <w:rFonts w:ascii="Arial" w:cs="Arial" w:eastAsia="Arial" w:hAnsi="Arial"/>
                <w:sz w:val="16"/>
                <w:szCs w:val="16"/>
                <w:color w:val="auto"/>
              </w:rPr>
              <w:t>Sweden</w:t>
            </w:r>
          </w:p>
        </w:tc>
        <w:tc>
          <w:tcPr>
            <w:tcW w:w="0" w:type="dxa"/>
            <w:vAlign w:val="bottom"/>
          </w:tcPr>
          <w:p>
            <w:pPr>
              <w:spacing w:after="0"/>
              <w:rPr>
                <w:sz w:val="1"/>
                <w:szCs w:val="1"/>
                <w:color w:val="auto"/>
              </w:rPr>
            </w:pPr>
          </w:p>
        </w:tc>
      </w:tr>
      <w:tr>
        <w:trPr>
          <w:trHeight w:val="216"/>
        </w:trPr>
        <w:tc>
          <w:tcPr>
            <w:tcW w:w="8120" w:type="dxa"/>
            <w:vAlign w:val="bottom"/>
            <w:gridSpan w:val="3"/>
          </w:tcPr>
          <w:p>
            <w:pPr>
              <w:ind w:left="420"/>
              <w:spacing w:after="0"/>
              <w:rPr>
                <w:sz w:val="20"/>
                <w:szCs w:val="20"/>
                <w:color w:val="auto"/>
              </w:rPr>
            </w:pPr>
            <w:r>
              <w:rPr>
                <w:rFonts w:ascii="Arial" w:cs="Arial" w:eastAsia="Arial" w:hAnsi="Arial"/>
                <w:sz w:val="16"/>
                <w:szCs w:val="16"/>
                <w:color w:val="auto"/>
              </w:rPr>
              <w:t>40. AFH Trading (Shanghai) Co., LTD.</w:t>
            </w:r>
          </w:p>
        </w:tc>
        <w:tc>
          <w:tcPr>
            <w:tcW w:w="3120" w:type="dxa"/>
            <w:vAlign w:val="bottom"/>
            <w:gridSpan w:val="2"/>
          </w:tcPr>
          <w:p>
            <w:pPr>
              <w:ind w:left="20"/>
              <w:spacing w:after="0"/>
              <w:rPr>
                <w:sz w:val="20"/>
                <w:szCs w:val="20"/>
                <w:color w:val="auto"/>
              </w:rPr>
            </w:pPr>
            <w:r>
              <w:rPr>
                <w:rFonts w:ascii="Arial" w:cs="Arial" w:eastAsia="Arial" w:hAnsi="Arial"/>
                <w:sz w:val="16"/>
                <w:szCs w:val="16"/>
                <w:color w:val="auto"/>
              </w:rPr>
              <w:t>Peoples Republic of China</w:t>
            </w:r>
          </w:p>
        </w:tc>
        <w:tc>
          <w:tcPr>
            <w:tcW w:w="0" w:type="dxa"/>
            <w:vAlign w:val="bottom"/>
          </w:tcPr>
          <w:p>
            <w:pPr>
              <w:spacing w:after="0"/>
              <w:rPr>
                <w:sz w:val="1"/>
                <w:szCs w:val="1"/>
                <w:color w:val="auto"/>
              </w:rPr>
            </w:pPr>
          </w:p>
        </w:tc>
      </w:tr>
    </w:tbl>
    <w:p>
      <w:pPr>
        <w:sectPr>
          <w:pgSz w:w="11900" w:h="16838" w:orient="portrait"/>
          <w:cols w:equalWidth="0" w:num="1">
            <w:col w:w="11240"/>
          </w:cols>
          <w:pgMar w:left="320" w:top="895" w:right="339" w:bottom="1440" w:gutter="0" w:footer="0" w:header="0"/>
        </w:sectPr>
      </w:pPr>
    </w:p>
    <w:bookmarkStart w:id="109" w:name="page110"/>
    <w:bookmarkEnd w:id="109"/>
    <w:p>
      <w:pPr>
        <w:ind w:left="246"/>
        <w:spacing w:after="0"/>
        <w:rPr>
          <w:sz w:val="20"/>
          <w:szCs w:val="20"/>
          <w:color w:val="auto"/>
        </w:rPr>
      </w:pPr>
      <w:r>
        <w:rPr>
          <w:rFonts w:ascii="Arial" w:cs="Arial" w:eastAsia="Arial" w:hAnsi="Arial"/>
          <w:sz w:val="16"/>
          <w:szCs w:val="16"/>
          <w:color w:val="auto"/>
        </w:rPr>
        <w:t>41. AFH International Trading Shanghai Co., Ltd.</w:t>
      </w:r>
    </w:p>
    <w:p>
      <w:pPr>
        <w:spacing w:after="0" w:line="32" w:lineRule="exact"/>
        <w:rPr>
          <w:sz w:val="20"/>
          <w:szCs w:val="20"/>
          <w:color w:val="auto"/>
        </w:rPr>
      </w:pPr>
    </w:p>
    <w:p>
      <w:pPr>
        <w:ind w:left="246"/>
        <w:spacing w:after="0"/>
        <w:rPr>
          <w:sz w:val="20"/>
          <w:szCs w:val="20"/>
          <w:color w:val="auto"/>
        </w:rPr>
      </w:pPr>
      <w:r>
        <w:rPr>
          <w:rFonts w:ascii="Arial" w:cs="Arial" w:eastAsia="Arial" w:hAnsi="Arial"/>
          <w:sz w:val="16"/>
          <w:szCs w:val="16"/>
          <w:color w:val="auto"/>
        </w:rPr>
        <w:t>42. Hollister Fashion L.L.C.*</w:t>
      </w:r>
    </w:p>
    <w:p>
      <w:pPr>
        <w:spacing w:after="0" w:line="32" w:lineRule="exact"/>
        <w:rPr>
          <w:sz w:val="20"/>
          <w:szCs w:val="20"/>
          <w:color w:val="auto"/>
        </w:rPr>
      </w:pPr>
    </w:p>
    <w:p>
      <w:pPr>
        <w:ind w:left="246"/>
        <w:spacing w:after="0"/>
        <w:rPr>
          <w:sz w:val="20"/>
          <w:szCs w:val="20"/>
          <w:color w:val="auto"/>
        </w:rPr>
      </w:pPr>
      <w:r>
        <w:rPr>
          <w:rFonts w:ascii="Arial" w:cs="Arial" w:eastAsia="Arial" w:hAnsi="Arial"/>
          <w:sz w:val="16"/>
          <w:szCs w:val="16"/>
          <w:color w:val="auto"/>
        </w:rPr>
        <w:t>43. AFH BLP HK Limited</w:t>
      </w:r>
    </w:p>
    <w:p>
      <w:pPr>
        <w:spacing w:after="0" w:line="32" w:lineRule="exact"/>
        <w:rPr>
          <w:sz w:val="20"/>
          <w:szCs w:val="20"/>
          <w:color w:val="auto"/>
        </w:rPr>
      </w:pPr>
    </w:p>
    <w:p>
      <w:pPr>
        <w:ind w:left="246"/>
        <w:spacing w:after="0"/>
        <w:rPr>
          <w:sz w:val="20"/>
          <w:szCs w:val="20"/>
          <w:color w:val="auto"/>
        </w:rPr>
      </w:pPr>
      <w:r>
        <w:rPr>
          <w:rFonts w:ascii="Arial" w:cs="Arial" w:eastAsia="Arial" w:hAnsi="Arial"/>
          <w:sz w:val="16"/>
          <w:szCs w:val="16"/>
          <w:color w:val="auto"/>
        </w:rPr>
        <w:t>44. Majid Al Futtaim Apparel Ready Wear/WLL**</w:t>
      </w:r>
    </w:p>
    <w:p>
      <w:pPr>
        <w:spacing w:after="0" w:line="32" w:lineRule="exact"/>
        <w:rPr>
          <w:sz w:val="20"/>
          <w:szCs w:val="20"/>
          <w:color w:val="auto"/>
        </w:rPr>
      </w:pPr>
    </w:p>
    <w:p>
      <w:pPr>
        <w:ind w:left="246"/>
        <w:spacing w:after="0"/>
        <w:rPr>
          <w:sz w:val="20"/>
          <w:szCs w:val="20"/>
          <w:color w:val="auto"/>
        </w:rPr>
      </w:pPr>
      <w:r>
        <w:rPr>
          <w:rFonts w:ascii="Arial" w:cs="Arial" w:eastAsia="Arial" w:hAnsi="Arial"/>
          <w:sz w:val="16"/>
          <w:szCs w:val="16"/>
          <w:color w:val="auto"/>
        </w:rPr>
        <w:t>45. Abercrombie &amp; Fitch Holding B.V.</w:t>
      </w:r>
    </w:p>
    <w:p>
      <w:pPr>
        <w:spacing w:after="0" w:line="32" w:lineRule="exact"/>
        <w:rPr>
          <w:sz w:val="20"/>
          <w:szCs w:val="20"/>
          <w:color w:val="auto"/>
        </w:rPr>
      </w:pPr>
    </w:p>
    <w:p>
      <w:pPr>
        <w:ind w:left="246"/>
        <w:spacing w:after="0"/>
        <w:rPr>
          <w:sz w:val="20"/>
          <w:szCs w:val="20"/>
          <w:color w:val="auto"/>
        </w:rPr>
      </w:pPr>
      <w:r>
        <w:rPr>
          <w:rFonts w:ascii="Arial" w:cs="Arial" w:eastAsia="Arial" w:hAnsi="Arial"/>
          <w:sz w:val="16"/>
          <w:szCs w:val="16"/>
          <w:color w:val="auto"/>
        </w:rPr>
        <w:t>46. Abercrombie &amp; Fitch Worldwide Holding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Peoples Republic of China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Dubai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Hong Kong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Kuwait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Ohio</w:t>
      </w:r>
    </w:p>
    <w:p>
      <w:pPr>
        <w:spacing w:after="0" w:line="32" w:lineRule="exact"/>
        <w:rPr>
          <w:sz w:val="20"/>
          <w:szCs w:val="20"/>
          <w:color w:val="auto"/>
        </w:rPr>
      </w:pPr>
    </w:p>
    <w:p>
      <w:pPr>
        <w:sectPr>
          <w:pgSz w:w="11900" w:h="16838" w:orient="portrait"/>
          <w:cols w:equalWidth="0" w:num="2">
            <w:col w:w="7246" w:space="720"/>
            <w:col w:w="1999"/>
          </w:cols>
          <w:pgMar w:left="494" w:top="935" w:right="1440" w:bottom="1440" w:gutter="0" w:footer="0" w:header="0"/>
        </w:sectPr>
      </w:pPr>
    </w:p>
    <w:p>
      <w:pPr>
        <w:ind w:left="246"/>
        <w:spacing w:after="0"/>
        <w:rPr>
          <w:sz w:val="20"/>
          <w:szCs w:val="20"/>
          <w:color w:val="auto"/>
        </w:rPr>
      </w:pPr>
      <w:r>
        <w:rPr>
          <w:rFonts w:ascii="Arial" w:cs="Arial" w:eastAsia="Arial" w:hAnsi="Arial"/>
          <w:sz w:val="16"/>
          <w:szCs w:val="16"/>
          <w:color w:val="auto"/>
        </w:rPr>
        <w:t>47. Abercrombie &amp; Fitch Holding SAGL</w:t>
      </w:r>
    </w:p>
    <w:p>
      <w:pPr>
        <w:spacing w:after="0" w:line="59" w:lineRule="exact"/>
        <w:rPr>
          <w:sz w:val="20"/>
          <w:szCs w:val="20"/>
          <w:color w:val="auto"/>
        </w:rPr>
      </w:pPr>
    </w:p>
    <w:p>
      <w:pPr>
        <w:ind w:left="246"/>
        <w:spacing w:after="0"/>
        <w:rPr>
          <w:sz w:val="20"/>
          <w:szCs w:val="20"/>
          <w:color w:val="auto"/>
        </w:rPr>
      </w:pPr>
      <w:r>
        <w:rPr>
          <w:rFonts w:ascii="Arial" w:cs="Arial" w:eastAsia="Arial" w:hAnsi="Arial"/>
          <w:sz w:val="16"/>
          <w:szCs w:val="16"/>
          <w:color w:val="auto"/>
        </w:rPr>
        <w:t>48. AFH International Trading (Shenzhen) Co., Ltd.</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Switzerland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Peoples Republic of China</w:t>
      </w:r>
    </w:p>
    <w:p>
      <w:pPr>
        <w:spacing w:after="0" w:line="200" w:lineRule="exact"/>
        <w:rPr>
          <w:sz w:val="20"/>
          <w:szCs w:val="20"/>
          <w:color w:val="auto"/>
        </w:rPr>
      </w:pPr>
    </w:p>
    <w:p>
      <w:pPr>
        <w:sectPr>
          <w:pgSz w:w="11900" w:h="16838" w:orient="portrait"/>
          <w:cols w:equalWidth="0" w:num="2">
            <w:col w:w="7246" w:space="720"/>
            <w:col w:w="1999"/>
          </w:cols>
          <w:pgMar w:left="494" w:top="935" w:right="1440" w:bottom="1440" w:gutter="0" w:footer="0" w:header="0"/>
          <w:type w:val="continuous"/>
        </w:sectPr>
      </w:pPr>
    </w:p>
    <w:p>
      <w:pPr>
        <w:spacing w:after="0" w:line="278" w:lineRule="exact"/>
        <w:rPr>
          <w:sz w:val="20"/>
          <w:szCs w:val="20"/>
          <w:color w:val="auto"/>
        </w:rPr>
      </w:pPr>
    </w:p>
    <w:p>
      <w:pPr>
        <w:ind w:left="6" w:right="2079" w:hanging="6"/>
        <w:spacing w:after="0" w:line="321" w:lineRule="auto"/>
        <w:tabs>
          <w:tab w:leader="none" w:pos="438" w:val="left"/>
        </w:tabs>
        <w:numPr>
          <w:ilvl w:val="0"/>
          <w:numId w:val="115"/>
        </w:numPr>
        <w:rPr>
          <w:rFonts w:ascii="Arial" w:cs="Arial" w:eastAsia="Arial" w:hAnsi="Arial"/>
          <w:sz w:val="16"/>
          <w:szCs w:val="16"/>
          <w:color w:val="auto"/>
        </w:rPr>
      </w:pPr>
      <w:r>
        <w:rPr>
          <w:rFonts w:ascii="Arial" w:cs="Arial" w:eastAsia="Arial" w:hAnsi="Arial"/>
          <w:sz w:val="16"/>
          <w:szCs w:val="16"/>
          <w:color w:val="auto"/>
        </w:rPr>
        <w:t>Subsidiary of third-party Majid Al Futtaim Lifestyle LLC (51.33%) and AFH Logistics DWC-LLC (48.67%) ** A&amp;F has no equity interest in this joint venture</w:t>
      </w:r>
    </w:p>
    <w:p>
      <w:pPr>
        <w:sectPr>
          <w:pgSz w:w="11900" w:h="16838" w:orient="portrait"/>
          <w:cols w:equalWidth="0" w:num="1">
            <w:col w:w="9965"/>
          </w:cols>
          <w:pgMar w:left="494" w:top="935" w:right="1440" w:bottom="1440" w:gutter="0" w:footer="0" w:header="0"/>
          <w:type w:val="continuous"/>
        </w:sectPr>
      </w:pPr>
    </w:p>
    <w:bookmarkStart w:id="110" w:name="page111"/>
    <w:bookmarkEnd w:id="110"/>
    <w:p>
      <w:pPr>
        <w:jc w:val="right"/>
        <w:spacing w:after="0"/>
        <w:rPr>
          <w:sz w:val="20"/>
          <w:szCs w:val="20"/>
          <w:color w:val="auto"/>
        </w:rPr>
      </w:pPr>
      <w:r>
        <w:rPr>
          <w:rFonts w:ascii="Arial" w:cs="Arial" w:eastAsia="Arial" w:hAnsi="Arial"/>
          <w:sz w:val="16"/>
          <w:szCs w:val="16"/>
          <w:color w:val="auto"/>
        </w:rPr>
        <w:t>Exhibit 23.1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CONSENT OF INDEPENDENT REGISTERED PUBLIC ACCOUNTING FIRM</w:t>
      </w:r>
    </w:p>
    <w:p>
      <w:pPr>
        <w:spacing w:after="0" w:line="248" w:lineRule="exact"/>
        <w:rPr>
          <w:sz w:val="20"/>
          <w:szCs w:val="20"/>
          <w:color w:val="auto"/>
        </w:rPr>
      </w:pPr>
    </w:p>
    <w:p>
      <w:pPr>
        <w:ind w:right="20"/>
        <w:spacing w:after="0" w:line="194" w:lineRule="exact"/>
        <w:rPr>
          <w:sz w:val="20"/>
          <w:szCs w:val="20"/>
          <w:color w:val="auto"/>
        </w:rPr>
      </w:pPr>
      <w:r>
        <w:rPr>
          <w:rFonts w:ascii="Arial" w:cs="Arial" w:eastAsia="Arial" w:hAnsi="Arial"/>
          <w:sz w:val="16"/>
          <w:szCs w:val="16"/>
          <w:color w:val="auto"/>
        </w:rPr>
        <w:t>We hereby consent to the incorporation by reference in the Registration Statements on Form S-8 (Nos. 333-15941, 333-15945, 333-60189, 333-81373, 333-100079, 333-107646, 333-107648, 333-128000, 333-145166, 333-176135, 333-212059, 333-212060, 333-218761, 333-218762, 333-227271, 333-233714, 333-239074, 333-239079, 333-259385, 333-267317 and 333-274322) of Abercrombie &amp; Fitch Co. of our report dated March 31, 2025 relating to the financial statements and the effectiveness of internal control over financial reporting, which appears in this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210" w:lineRule="exact"/>
        <w:rPr>
          <w:sz w:val="20"/>
          <w:szCs w:val="20"/>
          <w:color w:val="auto"/>
        </w:rPr>
      </w:pPr>
    </w:p>
    <w:p>
      <w:pPr>
        <w:spacing w:after="0"/>
        <w:tabs>
          <w:tab w:leader="none" w:pos="380" w:val="left"/>
        </w:tabs>
        <w:rPr>
          <w:sz w:val="20"/>
          <w:szCs w:val="20"/>
          <w:color w:val="auto"/>
        </w:rPr>
      </w:pPr>
      <w:r>
        <w:rPr>
          <w:rFonts w:ascii="Arial" w:cs="Arial" w:eastAsia="Arial" w:hAnsi="Arial"/>
          <w:sz w:val="16"/>
          <w:szCs w:val="16"/>
          <w:color w:val="auto"/>
        </w:rPr>
        <w:t>/s/</w:t>
        <w:tab/>
        <w:t>PricewaterhouseCoopers LLP</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Columbus, Ohio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March 31, 2025</w:t>
      </w:r>
    </w:p>
    <w:p>
      <w:pPr>
        <w:sectPr>
          <w:pgSz w:w="11900" w:h="16838" w:orient="portrait"/>
          <w:cols w:equalWidth="0" w:num="1">
            <w:col w:w="11240"/>
          </w:cols>
          <w:pgMar w:left="320" w:top="895"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6"/>
          <w:szCs w:val="16"/>
          <w:color w:val="auto"/>
        </w:rPr>
        <w:t>Exhibit 24.1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POWER OF ATTORNEY</w:t>
      </w:r>
    </w:p>
    <w:p>
      <w:pPr>
        <w:spacing w:after="0" w:line="262" w:lineRule="exact"/>
        <w:rPr>
          <w:sz w:val="20"/>
          <w:szCs w:val="20"/>
          <w:color w:val="auto"/>
        </w:rPr>
      </w:pPr>
    </w:p>
    <w:p>
      <w:pPr>
        <w:jc w:val="both"/>
        <w:ind w:firstLine="205"/>
        <w:spacing w:after="0" w:line="259" w:lineRule="auto"/>
        <w:rPr>
          <w:sz w:val="20"/>
          <w:szCs w:val="20"/>
          <w:color w:val="auto"/>
        </w:rPr>
      </w:pPr>
      <w:r>
        <w:rPr>
          <w:rFonts w:ascii="Arial" w:cs="Arial" w:eastAsia="Arial" w:hAnsi="Arial"/>
          <w:sz w:val="16"/>
          <w:szCs w:val="16"/>
          <w:color w:val="auto"/>
        </w:rPr>
        <w:t>The undersigned director of Abercrombie &amp; Fitch Co., a Delaware corporation, which anticipates filing its Annual Report on Form 10-K for the fiscal year ended February 1, 2025 under the provisions of the Securities Exchange Act of 1934, as amended, with the Securities and Exchange Commission, hereby constitutes and appoints Fran Horowitz and Robert J. Ball, each with full power to act alone and with full power of substitution and resubstitution, as attorney-in-fact and agent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his/her substitute or substitutes, may lawfully do or cause to be done by virtue hereof.</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EXECUTED as of the 31st day of March, 2025</w:t>
      </w:r>
    </w:p>
    <w:p>
      <w:pPr>
        <w:spacing w:after="0" w:line="200" w:lineRule="exact"/>
        <w:rPr>
          <w:sz w:val="20"/>
          <w:szCs w:val="20"/>
          <w:color w:val="auto"/>
        </w:rPr>
      </w:pPr>
    </w:p>
    <w:p>
      <w:pPr>
        <w:spacing w:after="0" w:line="210"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/s/ NIGEL TRAVIS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20955</wp:posOffset>
            </wp:positionV>
            <wp:extent cx="221170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2">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26"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Nigel Travis</w:t>
      </w:r>
    </w:p>
    <w:p>
      <w:pPr>
        <w:sectPr>
          <w:pgSz w:w="11900" w:h="16838" w:orient="portrait"/>
          <w:cols w:equalWidth="0" w:num="1">
            <w:col w:w="11240"/>
          </w:cols>
          <w:pgMar w:left="320" w:top="895" w:right="339" w:bottom="1440" w:gutter="0" w:footer="0" w:header="0"/>
        </w:sectPr>
      </w:pPr>
    </w:p>
    <w:bookmarkStart w:id="112" w:name="page113"/>
    <w:bookmarkEnd w:id="112"/>
    <w:p>
      <w:pPr>
        <w:jc w:val="center"/>
        <w:ind w:right="-19"/>
        <w:spacing w:after="0"/>
        <w:rPr>
          <w:sz w:val="20"/>
          <w:szCs w:val="20"/>
          <w:color w:val="auto"/>
        </w:rPr>
      </w:pPr>
      <w:r>
        <w:rPr>
          <w:rFonts w:ascii="Arial" w:cs="Arial" w:eastAsia="Arial" w:hAnsi="Arial"/>
          <w:sz w:val="16"/>
          <w:szCs w:val="16"/>
          <w:color w:val="auto"/>
        </w:rPr>
        <w:t>POWER OF ATTORNEY</w:t>
      </w:r>
    </w:p>
    <w:p>
      <w:pPr>
        <w:spacing w:after="0" w:line="248" w:lineRule="exact"/>
        <w:rPr>
          <w:sz w:val="20"/>
          <w:szCs w:val="20"/>
          <w:color w:val="auto"/>
        </w:rPr>
      </w:pPr>
    </w:p>
    <w:p>
      <w:pPr>
        <w:jc w:val="both"/>
        <w:ind w:firstLine="201"/>
        <w:spacing w:after="0" w:line="259" w:lineRule="auto"/>
        <w:rPr>
          <w:sz w:val="20"/>
          <w:szCs w:val="20"/>
          <w:color w:val="auto"/>
        </w:rPr>
      </w:pPr>
      <w:r>
        <w:rPr>
          <w:rFonts w:ascii="Arial" w:cs="Arial" w:eastAsia="Arial" w:hAnsi="Arial"/>
          <w:sz w:val="16"/>
          <w:szCs w:val="16"/>
          <w:color w:val="auto"/>
        </w:rPr>
        <w:t>The undersigned officer and director of Abercrombie &amp; Fitch Co., a Delaware corporation, which anticipates filing its Annual Report on Form 10-K for the fiscal year ended February 1, 2025 under the provisions of the Securities Exchange Act of 1934, as amended, with the Securities and Exchange Commission, hereby constitutes and appoints Robert J. Ball, with full power of substitution and resubstitution, as attorney-in-fact and agent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200" w:lineRule="exact"/>
        <w:rPr>
          <w:sz w:val="20"/>
          <w:szCs w:val="20"/>
          <w:color w:val="auto"/>
        </w:rPr>
      </w:pPr>
    </w:p>
    <w:p>
      <w:pPr>
        <w:spacing w:after="0" w:line="26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EXECUTED as of the 31st day of March, 2025</w:t>
      </w:r>
    </w:p>
    <w:p>
      <w:pPr>
        <w:spacing w:after="0" w:line="200" w:lineRule="exact"/>
        <w:rPr>
          <w:sz w:val="20"/>
          <w:szCs w:val="20"/>
          <w:color w:val="auto"/>
        </w:rPr>
      </w:pPr>
    </w:p>
    <w:p>
      <w:pPr>
        <w:spacing w:after="0" w:line="399"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/s/ FRAN HOROWITZ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20955</wp:posOffset>
            </wp:positionV>
            <wp:extent cx="22199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3">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26"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Fran Horowitz</w:t>
      </w:r>
    </w:p>
    <w:p>
      <w:pPr>
        <w:sectPr>
          <w:pgSz w:w="11900" w:h="16838" w:orient="portrait"/>
          <w:cols w:equalWidth="0" w:num="1">
            <w:col w:w="11240"/>
          </w:cols>
          <w:pgMar w:left="320" w:top="895"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6"/>
          <w:szCs w:val="16"/>
          <w:color w:val="auto"/>
        </w:rPr>
        <w:t>POWER OF ATTORNEY</w:t>
      </w:r>
    </w:p>
    <w:p>
      <w:pPr>
        <w:spacing w:after="0" w:line="248" w:lineRule="exact"/>
        <w:rPr>
          <w:sz w:val="20"/>
          <w:szCs w:val="20"/>
          <w:color w:val="auto"/>
        </w:rPr>
      </w:pPr>
    </w:p>
    <w:p>
      <w:pPr>
        <w:jc w:val="both"/>
        <w:ind w:firstLine="221"/>
        <w:spacing w:after="0" w:line="259" w:lineRule="auto"/>
        <w:rPr>
          <w:sz w:val="20"/>
          <w:szCs w:val="20"/>
          <w:color w:val="auto"/>
        </w:rPr>
      </w:pPr>
      <w:r>
        <w:rPr>
          <w:rFonts w:ascii="Arial" w:cs="Arial" w:eastAsia="Arial" w:hAnsi="Arial"/>
          <w:sz w:val="16"/>
          <w:szCs w:val="16"/>
          <w:color w:val="auto"/>
        </w:rPr>
        <w:t>The undersigned officer of Abercrombie &amp; Fitch Co., a Delaware corporation, which anticipates filing its Annual Report on Form 10-K for the fiscal year ended February 1, 2025 under the provisions of the Securities Exchange Act of 1934, as amended, with the Securities and Exchange Commission, hereby constitutes and appoints Fran Horowitz, with full power of substitution and resubstitution, as attorney-in-fact and agent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her substitute or substitutes, may lawfully do or cause to be done by virtue hereof.</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EXECUTED as of the 31st day of March, 2025</w:t>
      </w:r>
    </w:p>
    <w:p>
      <w:pPr>
        <w:spacing w:after="0" w:line="200" w:lineRule="exact"/>
        <w:rPr>
          <w:sz w:val="20"/>
          <w:szCs w:val="20"/>
          <w:color w:val="auto"/>
        </w:rPr>
      </w:pPr>
    </w:p>
    <w:p>
      <w:pPr>
        <w:spacing w:after="0" w:line="399"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/s/ ROBERT J. BALL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20955</wp:posOffset>
            </wp:positionV>
            <wp:extent cx="221170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4">
                      <a:extLst>
                        <a:ext uri="{28A0092B-C50C-407E-A947-70E740481C1C}"/>
                      </a:extLst>
                    </a:blip>
                    <a:srcRect/>
                    <a:stretch>
                      <a:fillRect/>
                    </a:stretch>
                  </pic:blipFill>
                  <pic:spPr bwMode="auto">
                    <a:xfrm>
                      <a:off x="0" y="0"/>
                      <a:ext cx="2211705" cy="8890"/>
                    </a:xfrm>
                    <a:prstGeom prst="rect">
                      <a:avLst/>
                    </a:prstGeom>
                    <a:noFill/>
                  </pic:spPr>
                </pic:pic>
              </a:graphicData>
            </a:graphic>
          </wp:anchor>
        </w:drawing>
      </w:r>
    </w:p>
    <w:p>
      <w:pPr>
        <w:spacing w:after="0" w:line="26"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Robert J. Ball</w:t>
      </w:r>
    </w:p>
    <w:p>
      <w:pPr>
        <w:sectPr>
          <w:pgSz w:w="11900" w:h="16838" w:orient="portrait"/>
          <w:cols w:equalWidth="0" w:num="1">
            <w:col w:w="11240"/>
          </w:cols>
          <w:pgMar w:left="320" w:top="895" w:right="339"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16"/>
          <w:szCs w:val="16"/>
          <w:color w:val="auto"/>
        </w:rPr>
        <w:t>POWER OF ATTORNEY</w:t>
      </w:r>
    </w:p>
    <w:p>
      <w:pPr>
        <w:spacing w:after="0" w:line="248" w:lineRule="exact"/>
        <w:rPr>
          <w:sz w:val="20"/>
          <w:szCs w:val="20"/>
          <w:color w:val="auto"/>
        </w:rPr>
      </w:pPr>
    </w:p>
    <w:p>
      <w:pPr>
        <w:jc w:val="both"/>
        <w:ind w:firstLine="205"/>
        <w:spacing w:after="0" w:line="259" w:lineRule="auto"/>
        <w:rPr>
          <w:sz w:val="20"/>
          <w:szCs w:val="20"/>
          <w:color w:val="auto"/>
        </w:rPr>
      </w:pPr>
      <w:r>
        <w:rPr>
          <w:rFonts w:ascii="Arial" w:cs="Arial" w:eastAsia="Arial" w:hAnsi="Arial"/>
          <w:sz w:val="16"/>
          <w:szCs w:val="16"/>
          <w:color w:val="auto"/>
        </w:rPr>
        <w:t>The undersigned director of Abercrombie &amp; Fitch Co., a Delaware corporation, which anticipates filing its Annual Report on Form 10-K for the fiscal year ended February 1, 2025 under the provisions of the Securities Exchange Act of 1934, as amended, with the Securities and Exchange Commission, hereby constitutes and appoints Fran Horowitz and Robert J. Ball, each with full power to act alone and with full power of substitution and resubstitution, as attorney-in-fact and agent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his/her substitute or substitutes, may lawfully do or cause to be done by virtue hereof.</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EXECUTED as of the 31st day of March, 2025</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/s/ KERRII B.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20955</wp:posOffset>
            </wp:positionV>
            <wp:extent cx="22199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5">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26"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Kerrii B. Anderson</w:t>
      </w:r>
    </w:p>
    <w:p>
      <w:pPr>
        <w:sectPr>
          <w:pgSz w:w="11900" w:h="16838" w:orient="portrait"/>
          <w:cols w:equalWidth="0" w:num="1">
            <w:col w:w="11240"/>
          </w:cols>
          <w:pgMar w:left="320" w:top="895" w:right="339"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16"/>
          <w:szCs w:val="16"/>
          <w:color w:val="auto"/>
        </w:rPr>
        <w:t>POWER OF ATTORNEY</w:t>
      </w:r>
    </w:p>
    <w:p>
      <w:pPr>
        <w:spacing w:after="0" w:line="248" w:lineRule="exact"/>
        <w:rPr>
          <w:sz w:val="20"/>
          <w:szCs w:val="20"/>
          <w:color w:val="auto"/>
        </w:rPr>
      </w:pPr>
    </w:p>
    <w:p>
      <w:pPr>
        <w:jc w:val="both"/>
        <w:ind w:firstLine="205"/>
        <w:spacing w:after="0" w:line="259" w:lineRule="auto"/>
        <w:rPr>
          <w:sz w:val="20"/>
          <w:szCs w:val="20"/>
          <w:color w:val="auto"/>
        </w:rPr>
      </w:pPr>
      <w:r>
        <w:rPr>
          <w:rFonts w:ascii="Arial" w:cs="Arial" w:eastAsia="Arial" w:hAnsi="Arial"/>
          <w:sz w:val="16"/>
          <w:szCs w:val="16"/>
          <w:color w:val="auto"/>
        </w:rPr>
        <w:t>The undersigned director of Abercrombie &amp; Fitch Co., a Delaware corporation, which anticipates filing its Annual Report on Form 10-K for the fiscal year ended February 1, 2025 under the provisions of the Securities Exchange Act of 1934, as amended, with the Securities and Exchange Commission, hereby constitutes and appoints Fran Horowitz and Robert J. Ball, each with full power to act alone and with full power of substitution and resubstitution, as attorney-in-fact and agent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his/her substitute or substitutes, may lawfully do or cause to be done by virtue hereof.</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EXECUTED as of the 31st day of March, 2025</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/s/ ANDREW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20955</wp:posOffset>
            </wp:positionV>
            <wp:extent cx="221170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6">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26"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Andrew Clarke</w:t>
      </w:r>
    </w:p>
    <w:p>
      <w:pPr>
        <w:sectPr>
          <w:pgSz w:w="11900" w:h="16838" w:orient="portrait"/>
          <w:cols w:equalWidth="0" w:num="1">
            <w:col w:w="11240"/>
          </w:cols>
          <w:pgMar w:left="320" w:top="989" w:right="339" w:bottom="1440" w:gutter="0" w:footer="0" w:header="0"/>
        </w:sectPr>
      </w:pPr>
    </w:p>
    <w:bookmarkStart w:id="116" w:name="page117"/>
    <w:bookmarkEnd w:id="116"/>
    <w:p>
      <w:pPr>
        <w:jc w:val="center"/>
        <w:ind w:right="-19"/>
        <w:spacing w:after="0"/>
        <w:rPr>
          <w:sz w:val="20"/>
          <w:szCs w:val="20"/>
          <w:color w:val="auto"/>
        </w:rPr>
      </w:pPr>
      <w:r>
        <w:rPr>
          <w:rFonts w:ascii="Arial" w:cs="Arial" w:eastAsia="Arial" w:hAnsi="Arial"/>
          <w:sz w:val="16"/>
          <w:szCs w:val="16"/>
          <w:color w:val="auto"/>
        </w:rPr>
        <w:t>POWER OF ATTORNEY</w:t>
      </w:r>
    </w:p>
    <w:p>
      <w:pPr>
        <w:spacing w:after="0" w:line="248" w:lineRule="exact"/>
        <w:rPr>
          <w:sz w:val="20"/>
          <w:szCs w:val="20"/>
          <w:color w:val="auto"/>
        </w:rPr>
      </w:pPr>
    </w:p>
    <w:p>
      <w:pPr>
        <w:jc w:val="both"/>
        <w:ind w:firstLine="205"/>
        <w:spacing w:after="0" w:line="259" w:lineRule="auto"/>
        <w:rPr>
          <w:sz w:val="20"/>
          <w:szCs w:val="20"/>
          <w:color w:val="auto"/>
        </w:rPr>
      </w:pPr>
      <w:r>
        <w:rPr>
          <w:rFonts w:ascii="Arial" w:cs="Arial" w:eastAsia="Arial" w:hAnsi="Arial"/>
          <w:sz w:val="16"/>
          <w:szCs w:val="16"/>
          <w:color w:val="auto"/>
        </w:rPr>
        <w:t>The undersigned director of Abercrombie &amp; Fitch Co., a Delaware corporation, which anticipates filing its Annual Report on Form 10-K for the fiscal year ended February 1, 2025 under the provisions of the Securities Exchange Act of 1934, as amended, with the Securities and Exchange Commission, hereby constitutes and appoints Fran Horowitz and Robert J. Ball, each with full power to act alone and with full power of substitution and resubstitution, as attorney-in-fact and agent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his/her substitute or substitutes, may lawfully do or cause to be done by virtue hereof.</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EXECUTED as of the 31st day of March, 2025</w:t>
      </w:r>
    </w:p>
    <w:p>
      <w:pPr>
        <w:spacing w:after="0" w:line="200" w:lineRule="exact"/>
        <w:rPr>
          <w:sz w:val="20"/>
          <w:szCs w:val="20"/>
          <w:color w:val="auto"/>
        </w:rPr>
      </w:pPr>
    </w:p>
    <w:p>
      <w:pPr>
        <w:spacing w:after="0" w:line="399"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/s/ SUSIE COULTER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20955</wp:posOffset>
            </wp:positionV>
            <wp:extent cx="221170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7">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26"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Susie Coulter</w:t>
      </w:r>
    </w:p>
    <w:p>
      <w:pPr>
        <w:sectPr>
          <w:pgSz w:w="11900" w:h="16838" w:orient="portrait"/>
          <w:cols w:equalWidth="0" w:num="1">
            <w:col w:w="11240"/>
          </w:cols>
          <w:pgMar w:left="320" w:top="895" w:right="339" w:bottom="1440" w:gutter="0" w:footer="0" w:header="0"/>
        </w:sectPr>
      </w:pPr>
    </w:p>
    <w:bookmarkStart w:id="117" w:name="page118"/>
    <w:bookmarkEnd w:id="117"/>
    <w:p>
      <w:pPr>
        <w:jc w:val="center"/>
        <w:ind w:right="-19"/>
        <w:spacing w:after="0"/>
        <w:rPr>
          <w:sz w:val="20"/>
          <w:szCs w:val="20"/>
          <w:color w:val="auto"/>
        </w:rPr>
      </w:pPr>
      <w:r>
        <w:rPr>
          <w:rFonts w:ascii="Arial" w:cs="Arial" w:eastAsia="Arial" w:hAnsi="Arial"/>
          <w:sz w:val="16"/>
          <w:szCs w:val="16"/>
          <w:color w:val="auto"/>
        </w:rPr>
        <w:t>POWER OF ATTORNEY</w:t>
      </w:r>
    </w:p>
    <w:p>
      <w:pPr>
        <w:spacing w:after="0" w:line="248" w:lineRule="exact"/>
        <w:rPr>
          <w:sz w:val="20"/>
          <w:szCs w:val="20"/>
          <w:color w:val="auto"/>
        </w:rPr>
      </w:pPr>
    </w:p>
    <w:p>
      <w:pPr>
        <w:jc w:val="both"/>
        <w:ind w:firstLine="205"/>
        <w:spacing w:after="0" w:line="259" w:lineRule="auto"/>
        <w:rPr>
          <w:sz w:val="20"/>
          <w:szCs w:val="20"/>
          <w:color w:val="auto"/>
        </w:rPr>
      </w:pPr>
      <w:r>
        <w:rPr>
          <w:rFonts w:ascii="Arial" w:cs="Arial" w:eastAsia="Arial" w:hAnsi="Arial"/>
          <w:sz w:val="16"/>
          <w:szCs w:val="16"/>
          <w:color w:val="auto"/>
        </w:rPr>
        <w:t>The undersigned director of Abercrombie &amp; Fitch Co., a Delaware corporation, which anticipates filing its Annual Report on Form 10-K for the fiscal year ended February 1, 2025 under the provisions of the Securities Exchange Act of 1934, as amended, with the Securities and Exchange Commission, hereby constitutes and appoints Fran Horowitz and Robert J. Ball, each with full power to act alone and with full power of substitution and resubstitution, as attorney-in-fact and agent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his/her substitute or substitutes, may lawfully do or cause to be done by virtue hereof.</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EXECUTED as of the 31st day of March, 2025</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/s/ JAMES A. GOLDMAN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20955</wp:posOffset>
            </wp:positionV>
            <wp:extent cx="221170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8">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26"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James A. Goldman</w:t>
      </w:r>
    </w:p>
    <w:p>
      <w:pPr>
        <w:sectPr>
          <w:pgSz w:w="11900" w:h="16838" w:orient="portrait"/>
          <w:cols w:equalWidth="0" w:num="1">
            <w:col w:w="11240"/>
          </w:cols>
          <w:pgMar w:left="320" w:top="989" w:right="339" w:bottom="1440" w:gutter="0" w:footer="0" w:header="0"/>
        </w:sectPr>
      </w:pPr>
    </w:p>
    <w:bookmarkStart w:id="118" w:name="page119"/>
    <w:bookmarkEnd w:id="118"/>
    <w:p>
      <w:pPr>
        <w:jc w:val="center"/>
        <w:ind w:right="-19"/>
        <w:spacing w:after="0"/>
        <w:rPr>
          <w:sz w:val="20"/>
          <w:szCs w:val="20"/>
          <w:color w:val="auto"/>
        </w:rPr>
      </w:pPr>
      <w:r>
        <w:rPr>
          <w:rFonts w:ascii="Arial" w:cs="Arial" w:eastAsia="Arial" w:hAnsi="Arial"/>
          <w:sz w:val="16"/>
          <w:szCs w:val="16"/>
          <w:color w:val="auto"/>
        </w:rPr>
        <w:t>POWER OF ATTORNEY</w:t>
      </w:r>
    </w:p>
    <w:p>
      <w:pPr>
        <w:spacing w:after="0" w:line="248" w:lineRule="exact"/>
        <w:rPr>
          <w:sz w:val="20"/>
          <w:szCs w:val="20"/>
          <w:color w:val="auto"/>
        </w:rPr>
      </w:pPr>
    </w:p>
    <w:p>
      <w:pPr>
        <w:jc w:val="both"/>
        <w:ind w:firstLine="205"/>
        <w:spacing w:after="0" w:line="259" w:lineRule="auto"/>
        <w:rPr>
          <w:sz w:val="20"/>
          <w:szCs w:val="20"/>
          <w:color w:val="auto"/>
        </w:rPr>
      </w:pPr>
      <w:r>
        <w:rPr>
          <w:rFonts w:ascii="Arial" w:cs="Arial" w:eastAsia="Arial" w:hAnsi="Arial"/>
          <w:sz w:val="16"/>
          <w:szCs w:val="16"/>
          <w:color w:val="auto"/>
        </w:rPr>
        <w:t>The undersigned director of Abercrombie &amp; Fitch Co., a Delaware corporation, which anticipates filing its Annual Report on Form 10-K for the fiscal year ended February 1, 2025 under the provisions of the Securities Exchange Act of 1934, as amended, with the Securities and Exchange Commission, hereby constitutes and appoints Fran Horowitz and Robert J. Ball, each with full power to act alone and with full power of substitution and resubstitution, as attorney-in-fact and agent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his/her substitute or substitutes, may lawfully do or cause to be done by virtue hereof.</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EXECUTED as of the 31st day of March, 2025</w:t>
      </w:r>
    </w:p>
    <w:p>
      <w:pPr>
        <w:spacing w:after="0" w:line="200" w:lineRule="exact"/>
        <w:rPr>
          <w:sz w:val="20"/>
          <w:szCs w:val="20"/>
          <w:color w:val="auto"/>
        </w:rPr>
      </w:pPr>
    </w:p>
    <w:p>
      <w:pPr>
        <w:spacing w:after="0" w:line="399"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/s/ HELEN E. MCCLUSKEY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20955</wp:posOffset>
            </wp:positionV>
            <wp:extent cx="22199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9">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26"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Helen E. McCluskey</w:t>
      </w:r>
    </w:p>
    <w:p>
      <w:pPr>
        <w:sectPr>
          <w:pgSz w:w="11900" w:h="16838" w:orient="portrait"/>
          <w:cols w:equalWidth="0" w:num="1">
            <w:col w:w="11240"/>
          </w:cols>
          <w:pgMar w:left="320" w:top="895" w:right="339" w:bottom="1440" w:gutter="0" w:footer="0" w:header="0"/>
        </w:sectPr>
      </w:pPr>
    </w:p>
    <w:bookmarkStart w:id="119" w:name="page120"/>
    <w:bookmarkEnd w:id="119"/>
    <w:p>
      <w:pPr>
        <w:jc w:val="center"/>
        <w:ind w:right="-19"/>
        <w:spacing w:after="0"/>
        <w:rPr>
          <w:sz w:val="20"/>
          <w:szCs w:val="20"/>
          <w:color w:val="auto"/>
        </w:rPr>
      </w:pPr>
      <w:r>
        <w:rPr>
          <w:rFonts w:ascii="Arial" w:cs="Arial" w:eastAsia="Arial" w:hAnsi="Arial"/>
          <w:sz w:val="16"/>
          <w:szCs w:val="16"/>
          <w:color w:val="auto"/>
        </w:rPr>
        <w:t>POWER OF ATTORNEY</w:t>
      </w:r>
    </w:p>
    <w:p>
      <w:pPr>
        <w:spacing w:after="0" w:line="248" w:lineRule="exact"/>
        <w:rPr>
          <w:sz w:val="20"/>
          <w:szCs w:val="20"/>
          <w:color w:val="auto"/>
        </w:rPr>
      </w:pPr>
    </w:p>
    <w:p>
      <w:pPr>
        <w:jc w:val="both"/>
        <w:ind w:firstLine="205"/>
        <w:spacing w:after="0" w:line="259" w:lineRule="auto"/>
        <w:rPr>
          <w:sz w:val="20"/>
          <w:szCs w:val="20"/>
          <w:color w:val="auto"/>
        </w:rPr>
      </w:pPr>
      <w:r>
        <w:rPr>
          <w:rFonts w:ascii="Arial" w:cs="Arial" w:eastAsia="Arial" w:hAnsi="Arial"/>
          <w:sz w:val="16"/>
          <w:szCs w:val="16"/>
          <w:color w:val="auto"/>
        </w:rPr>
        <w:t>The undersigned director of Abercrombie &amp; Fitch Co., a Delaware corporation, which anticipates filing its Annual Report on Form 10-K for the fiscal year ended February 1, 2025 under the provisions of the Securities Exchange Act of 1934, as amended, with the Securities and Exchange Commission, hereby constitutes and appoints Fran Horowitz and Robert J. Ball, each with full power to act alone and with full power of substitution and resubstitution, as attorney-in-fact and agent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his/her substitute or substitutes, may lawfully do or cause to be done by virtue hereof.</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EXECUTED as of the 31st day of March, 2025</w:t>
      </w:r>
    </w:p>
    <w:p>
      <w:pPr>
        <w:spacing w:after="0" w:line="200" w:lineRule="exact"/>
        <w:rPr>
          <w:sz w:val="20"/>
          <w:szCs w:val="20"/>
          <w:color w:val="auto"/>
        </w:rPr>
      </w:pPr>
    </w:p>
    <w:p>
      <w:pPr>
        <w:spacing w:after="0" w:line="399"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/s/ ARTURO NUÑEZ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20955</wp:posOffset>
            </wp:positionV>
            <wp:extent cx="221170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0">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26"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Arturo Nuñez</w:t>
      </w:r>
    </w:p>
    <w:p>
      <w:pPr>
        <w:sectPr>
          <w:pgSz w:w="11900" w:h="16838" w:orient="portrait"/>
          <w:cols w:equalWidth="0" w:num="1">
            <w:col w:w="11240"/>
          </w:cols>
          <w:pgMar w:left="320" w:top="895" w:right="339" w:bottom="1440" w:gutter="0" w:footer="0" w:header="0"/>
        </w:sectPr>
      </w:pPr>
    </w:p>
    <w:bookmarkStart w:id="120" w:name="page121"/>
    <w:bookmarkEnd w:id="120"/>
    <w:p>
      <w:pPr>
        <w:jc w:val="center"/>
        <w:ind w:right="-19"/>
        <w:spacing w:after="0"/>
        <w:rPr>
          <w:sz w:val="20"/>
          <w:szCs w:val="20"/>
          <w:color w:val="auto"/>
        </w:rPr>
      </w:pPr>
      <w:r>
        <w:rPr>
          <w:rFonts w:ascii="Arial" w:cs="Arial" w:eastAsia="Arial" w:hAnsi="Arial"/>
          <w:sz w:val="16"/>
          <w:szCs w:val="16"/>
          <w:color w:val="auto"/>
        </w:rPr>
        <w:t>POWER OF ATTORNEY</w:t>
      </w:r>
    </w:p>
    <w:p>
      <w:pPr>
        <w:spacing w:after="0" w:line="248" w:lineRule="exact"/>
        <w:rPr>
          <w:sz w:val="20"/>
          <w:szCs w:val="20"/>
          <w:color w:val="auto"/>
        </w:rPr>
      </w:pPr>
    </w:p>
    <w:p>
      <w:pPr>
        <w:jc w:val="both"/>
        <w:ind w:firstLine="205"/>
        <w:spacing w:after="0" w:line="259" w:lineRule="auto"/>
        <w:rPr>
          <w:sz w:val="20"/>
          <w:szCs w:val="20"/>
          <w:color w:val="auto"/>
        </w:rPr>
      </w:pPr>
      <w:r>
        <w:rPr>
          <w:rFonts w:ascii="Arial" w:cs="Arial" w:eastAsia="Arial" w:hAnsi="Arial"/>
          <w:sz w:val="16"/>
          <w:szCs w:val="16"/>
          <w:color w:val="auto"/>
        </w:rPr>
        <w:t>The undersigned director of Abercrombie &amp; Fitch Co., a Delaware corporation, which anticipates filing its Annual Report on Form 10-K for the fiscal year ended February 1, 2025 under the provisions of the Securities Exchange Act of 1934, as amended, with the Securities and Exchange Commission, hereby constitutes and appoints Fran Horowitz and Robert J. Ball, each with full power to act alone and with full power of substitution and resubstitution, as attorney-in-fact and agent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his/her substitute or substitutes, may lawfully do or cause to be done by virtue hereof.</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EXECUTED as of the 31st day of March, 2025</w:t>
      </w:r>
    </w:p>
    <w:p>
      <w:pPr>
        <w:spacing w:after="0" w:line="200" w:lineRule="exact"/>
        <w:rPr>
          <w:sz w:val="20"/>
          <w:szCs w:val="20"/>
          <w:color w:val="auto"/>
        </w:rPr>
      </w:pPr>
    </w:p>
    <w:p>
      <w:pPr>
        <w:spacing w:after="0" w:line="318"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/s/ KENNETH B.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20955</wp:posOffset>
            </wp:positionV>
            <wp:extent cx="221170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1">
                      <a:extLst>
                        <a:ext uri="{28A0092B-C50C-407E-A947-70E740481C1C}"/>
                      </a:extLst>
                    </a:blip>
                    <a:srcRect/>
                    <a:stretch>
                      <a:fillRect/>
                    </a:stretch>
                  </pic:blipFill>
                  <pic:spPr bwMode="auto">
                    <a:xfrm>
                      <a:off x="0" y="0"/>
                      <a:ext cx="2211705" cy="8890"/>
                    </a:xfrm>
                    <a:prstGeom prst="rect">
                      <a:avLst/>
                    </a:prstGeom>
                    <a:noFill/>
                  </pic:spPr>
                </pic:pic>
              </a:graphicData>
            </a:graphic>
          </wp:anchor>
        </w:drawing>
      </w:r>
    </w:p>
    <w:p>
      <w:pPr>
        <w:spacing w:after="0" w:line="26"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Kenneth B. Robinson</w:t>
      </w:r>
    </w:p>
    <w:p>
      <w:pPr>
        <w:sectPr>
          <w:pgSz w:w="11900" w:h="16838" w:orient="portrait"/>
          <w:cols w:equalWidth="0" w:num="1">
            <w:col w:w="11240"/>
          </w:cols>
          <w:pgMar w:left="320" w:top="1232" w:right="339" w:bottom="1440" w:gutter="0" w:footer="0" w:header="0"/>
        </w:sectPr>
      </w:pPr>
    </w:p>
    <w:bookmarkStart w:id="121" w:name="page122"/>
    <w:bookmarkEnd w:id="121"/>
    <w:p>
      <w:pPr>
        <w:jc w:val="center"/>
        <w:ind w:right="-19"/>
        <w:spacing w:after="0"/>
        <w:rPr>
          <w:sz w:val="20"/>
          <w:szCs w:val="20"/>
          <w:color w:val="auto"/>
        </w:rPr>
      </w:pPr>
      <w:r>
        <w:rPr>
          <w:rFonts w:ascii="Arial" w:cs="Arial" w:eastAsia="Arial" w:hAnsi="Arial"/>
          <w:sz w:val="16"/>
          <w:szCs w:val="16"/>
          <w:color w:val="auto"/>
        </w:rPr>
        <w:t>POWER OF ATTORNEY</w:t>
      </w:r>
    </w:p>
    <w:p>
      <w:pPr>
        <w:spacing w:after="0" w:line="248" w:lineRule="exact"/>
        <w:rPr>
          <w:sz w:val="20"/>
          <w:szCs w:val="20"/>
          <w:color w:val="auto"/>
        </w:rPr>
      </w:pPr>
    </w:p>
    <w:p>
      <w:pPr>
        <w:jc w:val="both"/>
        <w:ind w:firstLine="205"/>
        <w:spacing w:after="0" w:line="259" w:lineRule="auto"/>
        <w:rPr>
          <w:sz w:val="20"/>
          <w:szCs w:val="20"/>
          <w:color w:val="auto"/>
        </w:rPr>
      </w:pPr>
      <w:r>
        <w:rPr>
          <w:rFonts w:ascii="Arial" w:cs="Arial" w:eastAsia="Arial" w:hAnsi="Arial"/>
          <w:sz w:val="16"/>
          <w:szCs w:val="16"/>
          <w:color w:val="auto"/>
        </w:rPr>
        <w:t>The undersigned director of Abercrombie &amp; Fitch Co., a Delaware corporation, which anticipates filing its Annual Report on Form 10-K for the fiscal year ended February 1, 2025 under the provisions of the Securities Exchange Act of 1934, as amended, with the Securities and Exchange Commission, hereby constitutes and appoints Fran Horowitz and Robert J. Ball, each with full power to act alone and, with full power of substitution and resubstitution, as attorney-in-fact and agent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his/her substitute or substitutes, may lawfully do or cause to be done by virtue hereof.</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EXECUTED as of the 31st day of March, 2025</w:t>
      </w:r>
    </w:p>
    <w:p>
      <w:pPr>
        <w:spacing w:after="0" w:line="200" w:lineRule="exact"/>
        <w:rPr>
          <w:sz w:val="20"/>
          <w:szCs w:val="20"/>
          <w:color w:val="auto"/>
        </w:rPr>
      </w:pPr>
    </w:p>
    <w:p>
      <w:pPr>
        <w:spacing w:after="0" w:line="305"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/s/ HELEN VAID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20955</wp:posOffset>
            </wp:positionV>
            <wp:extent cx="221170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2">
                      <a:extLst>
                        <a:ext uri="{28A0092B-C50C-407E-A947-70E740481C1C}"/>
                      </a:extLst>
                    </a:blip>
                    <a:srcRect/>
                    <a:stretch>
                      <a:fillRect/>
                    </a:stretch>
                  </pic:blipFill>
                  <pic:spPr bwMode="auto">
                    <a:xfrm>
                      <a:off x="0" y="0"/>
                      <a:ext cx="2211705" cy="8890"/>
                    </a:xfrm>
                    <a:prstGeom prst="rect">
                      <a:avLst/>
                    </a:prstGeom>
                    <a:noFill/>
                  </pic:spPr>
                </pic:pic>
              </a:graphicData>
            </a:graphic>
          </wp:anchor>
        </w:drawing>
      </w:r>
    </w:p>
    <w:p>
      <w:pPr>
        <w:spacing w:after="0" w:line="26"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Helen Vaid</w:t>
      </w:r>
    </w:p>
    <w:p>
      <w:pPr>
        <w:sectPr>
          <w:pgSz w:w="11900" w:h="16838" w:orient="portrait"/>
          <w:cols w:equalWidth="0" w:num="1">
            <w:col w:w="11240"/>
          </w:cols>
          <w:pgMar w:left="320" w:top="895"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6"/>
          <w:szCs w:val="16"/>
          <w:color w:val="auto"/>
        </w:rPr>
        <w:t>Exhibit 31.1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 Fran Horowitz, certify that:</w:t>
      </w:r>
    </w:p>
    <w:p>
      <w:pPr>
        <w:spacing w:after="0" w:line="232" w:lineRule="exact"/>
        <w:rPr>
          <w:sz w:val="20"/>
          <w:szCs w:val="20"/>
          <w:color w:val="auto"/>
        </w:rPr>
      </w:pPr>
    </w:p>
    <w:p>
      <w:pPr>
        <w:ind w:left="320" w:hanging="312"/>
        <w:spacing w:after="0"/>
        <w:tabs>
          <w:tab w:leader="none" w:pos="32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Abercrombie &amp; Fitch Co. for the fiscal year ended February 1, 2025;</w:t>
      </w:r>
    </w:p>
    <w:p>
      <w:pPr>
        <w:spacing w:after="0" w:line="261" w:lineRule="exact"/>
        <w:rPr>
          <w:rFonts w:ascii="Arial" w:cs="Arial" w:eastAsia="Arial" w:hAnsi="Arial"/>
          <w:sz w:val="16"/>
          <w:szCs w:val="16"/>
          <w:color w:val="auto"/>
        </w:rPr>
      </w:pPr>
    </w:p>
    <w:p>
      <w:pPr>
        <w:ind w:left="500" w:hanging="492"/>
        <w:spacing w:after="0" w:line="266" w:lineRule="auto"/>
        <w:tabs>
          <w:tab w:leader="none" w:pos="387" w:val="left"/>
        </w:tabs>
        <w:numPr>
          <w:ilvl w:val="0"/>
          <w:numId w:val="1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1" w:lineRule="exact"/>
        <w:rPr>
          <w:rFonts w:ascii="Arial" w:cs="Arial" w:eastAsia="Arial" w:hAnsi="Arial"/>
          <w:sz w:val="16"/>
          <w:szCs w:val="16"/>
          <w:color w:val="auto"/>
        </w:rPr>
      </w:pPr>
    </w:p>
    <w:p>
      <w:pPr>
        <w:ind w:left="500" w:hanging="492"/>
        <w:spacing w:after="0" w:line="286" w:lineRule="auto"/>
        <w:tabs>
          <w:tab w:leader="none" w:pos="42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6"/>
          <w:szCs w:val="16"/>
          <w:color w:val="auto"/>
        </w:rPr>
      </w:pPr>
    </w:p>
    <w:p>
      <w:pPr>
        <w:jc w:val="both"/>
        <w:ind w:left="500" w:hanging="492"/>
        <w:spacing w:after="0" w:line="266" w:lineRule="auto"/>
        <w:tabs>
          <w:tab w:leader="none" w:pos="458"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1" w:lineRule="exact"/>
        <w:rPr>
          <w:rFonts w:ascii="Arial" w:cs="Arial" w:eastAsia="Arial" w:hAnsi="Arial"/>
          <w:sz w:val="16"/>
          <w:szCs w:val="16"/>
          <w:color w:val="auto"/>
        </w:rPr>
      </w:pPr>
    </w:p>
    <w:p>
      <w:pPr>
        <w:ind w:left="980" w:hanging="486"/>
        <w:spacing w:after="0" w:line="266" w:lineRule="auto"/>
        <w:tabs>
          <w:tab w:leader="none" w:pos="881" w:val="left"/>
        </w:tabs>
        <w:numPr>
          <w:ilvl w:val="1"/>
          <w:numId w:val="11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1" w:lineRule="exact"/>
        <w:rPr>
          <w:rFonts w:ascii="Arial" w:cs="Arial" w:eastAsia="Arial" w:hAnsi="Arial"/>
          <w:sz w:val="16"/>
          <w:szCs w:val="16"/>
          <w:color w:val="auto"/>
        </w:rPr>
      </w:pPr>
    </w:p>
    <w:p>
      <w:pPr>
        <w:jc w:val="both"/>
        <w:ind w:left="980" w:hanging="486"/>
        <w:spacing w:after="0" w:line="275" w:lineRule="auto"/>
        <w:tabs>
          <w:tab w:leader="none" w:pos="989" w:val="left"/>
        </w:tabs>
        <w:numPr>
          <w:ilvl w:val="1"/>
          <w:numId w:val="11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Arial" w:cs="Arial" w:eastAsia="Arial" w:hAnsi="Arial"/>
          <w:sz w:val="16"/>
          <w:szCs w:val="16"/>
          <w:color w:val="auto"/>
        </w:rPr>
      </w:pPr>
    </w:p>
    <w:p>
      <w:pPr>
        <w:ind w:left="980" w:hanging="486"/>
        <w:spacing w:after="0" w:line="286" w:lineRule="auto"/>
        <w:tabs>
          <w:tab w:leader="none" w:pos="981" w:val="left"/>
        </w:tabs>
        <w:numPr>
          <w:ilvl w:val="1"/>
          <w:numId w:val="1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6"/>
          <w:szCs w:val="16"/>
          <w:color w:val="auto"/>
        </w:rPr>
      </w:pPr>
    </w:p>
    <w:p>
      <w:pPr>
        <w:ind w:left="980" w:hanging="486"/>
        <w:spacing w:after="0" w:line="275" w:lineRule="auto"/>
        <w:tabs>
          <w:tab w:leader="none" w:pos="922" w:val="left"/>
        </w:tabs>
        <w:numPr>
          <w:ilvl w:val="1"/>
          <w:numId w:val="11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rFonts w:ascii="Arial" w:cs="Arial" w:eastAsia="Arial" w:hAnsi="Arial"/>
          <w:sz w:val="16"/>
          <w:szCs w:val="16"/>
          <w:color w:val="auto"/>
        </w:rPr>
      </w:pPr>
    </w:p>
    <w:p>
      <w:pPr>
        <w:ind w:left="500" w:hanging="492"/>
        <w:spacing w:after="0" w:line="286" w:lineRule="auto"/>
        <w:tabs>
          <w:tab w:leader="none" w:pos="40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6" w:lineRule="exact"/>
        <w:rPr>
          <w:rFonts w:ascii="Arial" w:cs="Arial" w:eastAsia="Arial" w:hAnsi="Arial"/>
          <w:sz w:val="16"/>
          <w:szCs w:val="16"/>
          <w:color w:val="auto"/>
        </w:rPr>
      </w:pPr>
    </w:p>
    <w:p>
      <w:pPr>
        <w:ind w:left="980" w:hanging="486"/>
        <w:spacing w:after="0" w:line="286" w:lineRule="auto"/>
        <w:tabs>
          <w:tab w:leader="none" w:pos="905" w:val="left"/>
        </w:tabs>
        <w:numPr>
          <w:ilvl w:val="1"/>
          <w:numId w:val="1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6"/>
          <w:szCs w:val="16"/>
          <w:color w:val="auto"/>
        </w:rPr>
      </w:pPr>
    </w:p>
    <w:p>
      <w:pPr>
        <w:ind w:left="980" w:right="20" w:hanging="486"/>
        <w:spacing w:after="0" w:line="286" w:lineRule="auto"/>
        <w:tabs>
          <w:tab w:leader="none" w:pos="891" w:val="left"/>
        </w:tabs>
        <w:numPr>
          <w:ilvl w:val="1"/>
          <w:numId w:val="11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Abercrombie &amp; Fitch Co.</w:t>
      </w:r>
    </w:p>
    <w:p>
      <w:pPr>
        <w:spacing w:after="0" w:line="140" w:lineRule="exact"/>
        <w:rPr>
          <w:sz w:val="20"/>
          <w:szCs w:val="20"/>
          <w:color w:val="auto"/>
        </w:rPr>
      </w:pPr>
    </w:p>
    <w:p>
      <w:pPr>
        <w:ind w:left="1040"/>
        <w:spacing w:after="0"/>
        <w:tabs>
          <w:tab w:leader="none" w:pos="5380" w:val="left"/>
          <w:tab w:leader="none" w:pos="5840" w:val="left"/>
        </w:tabs>
        <w:rPr>
          <w:sz w:val="20"/>
          <w:szCs w:val="20"/>
          <w:color w:val="auto"/>
        </w:rPr>
      </w:pPr>
      <w:r>
        <w:rPr>
          <w:rFonts w:ascii="Arial" w:cs="Arial" w:eastAsia="Arial" w:hAnsi="Arial"/>
          <w:sz w:val="16"/>
          <w:szCs w:val="16"/>
          <w:color w:val="auto"/>
        </w:rPr>
        <w:t>Date: March 31, 2025</w:t>
      </w:r>
      <w:r>
        <w:rPr>
          <w:sz w:val="20"/>
          <w:szCs w:val="20"/>
          <w:color w:val="auto"/>
        </w:rPr>
        <w:tab/>
      </w:r>
      <w:r>
        <w:rPr>
          <w:rFonts w:ascii="Arial" w:cs="Arial" w:eastAsia="Arial" w:hAnsi="Arial"/>
          <w:sz w:val="16"/>
          <w:szCs w:val="16"/>
          <w:color w:val="auto"/>
        </w:rPr>
        <w:t>By:</w:t>
        <w:tab/>
        <w:t>/s/ Fran Horowitz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20955</wp:posOffset>
            </wp:positionV>
            <wp:extent cx="27946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Fran Horowitz</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Chief Executive Officer</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240"/>
          </w:cols>
          <w:pgMar w:left="320" w:top="895"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6"/>
          <w:szCs w:val="16"/>
          <w:color w:val="auto"/>
        </w:rPr>
        <w:t>Exhibit 31.2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 Robert J. Ball, certify that:</w:t>
      </w:r>
    </w:p>
    <w:p>
      <w:pPr>
        <w:spacing w:after="0" w:line="232" w:lineRule="exact"/>
        <w:rPr>
          <w:sz w:val="20"/>
          <w:szCs w:val="20"/>
          <w:color w:val="auto"/>
        </w:rPr>
      </w:pPr>
    </w:p>
    <w:p>
      <w:pPr>
        <w:ind w:left="320" w:hanging="312"/>
        <w:spacing w:after="0"/>
        <w:tabs>
          <w:tab w:leader="none" w:pos="32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Abercrombie &amp; Fitch Co. for the fiscal year ended February 1, 2025;</w:t>
      </w:r>
    </w:p>
    <w:p>
      <w:pPr>
        <w:spacing w:after="0" w:line="261" w:lineRule="exact"/>
        <w:rPr>
          <w:rFonts w:ascii="Arial" w:cs="Arial" w:eastAsia="Arial" w:hAnsi="Arial"/>
          <w:sz w:val="16"/>
          <w:szCs w:val="16"/>
          <w:color w:val="auto"/>
        </w:rPr>
      </w:pPr>
    </w:p>
    <w:p>
      <w:pPr>
        <w:ind w:left="500" w:hanging="492"/>
        <w:spacing w:after="0" w:line="266" w:lineRule="auto"/>
        <w:tabs>
          <w:tab w:leader="none" w:pos="387" w:val="left"/>
        </w:tabs>
        <w:numPr>
          <w:ilvl w:val="0"/>
          <w:numId w:val="1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1" w:lineRule="exact"/>
        <w:rPr>
          <w:rFonts w:ascii="Arial" w:cs="Arial" w:eastAsia="Arial" w:hAnsi="Arial"/>
          <w:sz w:val="16"/>
          <w:szCs w:val="16"/>
          <w:color w:val="auto"/>
        </w:rPr>
      </w:pPr>
    </w:p>
    <w:p>
      <w:pPr>
        <w:ind w:left="500" w:hanging="492"/>
        <w:spacing w:after="0" w:line="286" w:lineRule="auto"/>
        <w:tabs>
          <w:tab w:leader="none" w:pos="42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6"/>
          <w:szCs w:val="16"/>
          <w:color w:val="auto"/>
        </w:rPr>
      </w:pPr>
    </w:p>
    <w:p>
      <w:pPr>
        <w:jc w:val="both"/>
        <w:ind w:left="500" w:hanging="492"/>
        <w:spacing w:after="0" w:line="266" w:lineRule="auto"/>
        <w:tabs>
          <w:tab w:leader="none" w:pos="458"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1" w:lineRule="exact"/>
        <w:rPr>
          <w:rFonts w:ascii="Arial" w:cs="Arial" w:eastAsia="Arial" w:hAnsi="Arial"/>
          <w:sz w:val="16"/>
          <w:szCs w:val="16"/>
          <w:color w:val="auto"/>
        </w:rPr>
      </w:pPr>
    </w:p>
    <w:p>
      <w:pPr>
        <w:ind w:left="980" w:hanging="486"/>
        <w:spacing w:after="0" w:line="266" w:lineRule="auto"/>
        <w:tabs>
          <w:tab w:leader="none" w:pos="881" w:val="left"/>
        </w:tabs>
        <w:numPr>
          <w:ilvl w:val="1"/>
          <w:numId w:val="11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1" w:lineRule="exact"/>
        <w:rPr>
          <w:rFonts w:ascii="Arial" w:cs="Arial" w:eastAsia="Arial" w:hAnsi="Arial"/>
          <w:sz w:val="16"/>
          <w:szCs w:val="16"/>
          <w:color w:val="auto"/>
        </w:rPr>
      </w:pPr>
    </w:p>
    <w:p>
      <w:pPr>
        <w:jc w:val="both"/>
        <w:ind w:left="980" w:hanging="486"/>
        <w:spacing w:after="0" w:line="275" w:lineRule="auto"/>
        <w:tabs>
          <w:tab w:leader="none" w:pos="989" w:val="left"/>
        </w:tabs>
        <w:numPr>
          <w:ilvl w:val="1"/>
          <w:numId w:val="11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Arial" w:cs="Arial" w:eastAsia="Arial" w:hAnsi="Arial"/>
          <w:sz w:val="16"/>
          <w:szCs w:val="16"/>
          <w:color w:val="auto"/>
        </w:rPr>
      </w:pPr>
    </w:p>
    <w:p>
      <w:pPr>
        <w:ind w:left="980" w:hanging="486"/>
        <w:spacing w:after="0" w:line="286" w:lineRule="auto"/>
        <w:tabs>
          <w:tab w:leader="none" w:pos="981" w:val="left"/>
        </w:tabs>
        <w:numPr>
          <w:ilvl w:val="1"/>
          <w:numId w:val="1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6"/>
          <w:szCs w:val="16"/>
          <w:color w:val="auto"/>
        </w:rPr>
      </w:pPr>
    </w:p>
    <w:p>
      <w:pPr>
        <w:ind w:left="980" w:hanging="486"/>
        <w:spacing w:after="0" w:line="275" w:lineRule="auto"/>
        <w:tabs>
          <w:tab w:leader="none" w:pos="922" w:val="left"/>
        </w:tabs>
        <w:numPr>
          <w:ilvl w:val="1"/>
          <w:numId w:val="11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rFonts w:ascii="Arial" w:cs="Arial" w:eastAsia="Arial" w:hAnsi="Arial"/>
          <w:sz w:val="16"/>
          <w:szCs w:val="16"/>
          <w:color w:val="auto"/>
        </w:rPr>
      </w:pPr>
    </w:p>
    <w:p>
      <w:pPr>
        <w:ind w:left="500" w:hanging="492"/>
        <w:spacing w:after="0" w:line="286" w:lineRule="auto"/>
        <w:tabs>
          <w:tab w:leader="none" w:pos="405"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6" w:lineRule="exact"/>
        <w:rPr>
          <w:rFonts w:ascii="Arial" w:cs="Arial" w:eastAsia="Arial" w:hAnsi="Arial"/>
          <w:sz w:val="16"/>
          <w:szCs w:val="16"/>
          <w:color w:val="auto"/>
        </w:rPr>
      </w:pPr>
    </w:p>
    <w:p>
      <w:pPr>
        <w:ind w:left="980" w:hanging="486"/>
        <w:spacing w:after="0" w:line="286" w:lineRule="auto"/>
        <w:tabs>
          <w:tab w:leader="none" w:pos="905" w:val="left"/>
        </w:tabs>
        <w:numPr>
          <w:ilvl w:val="1"/>
          <w:numId w:val="1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6"/>
          <w:szCs w:val="16"/>
          <w:color w:val="auto"/>
        </w:rPr>
      </w:pPr>
    </w:p>
    <w:p>
      <w:pPr>
        <w:ind w:left="980" w:right="20" w:hanging="486"/>
        <w:spacing w:after="0" w:line="286" w:lineRule="auto"/>
        <w:tabs>
          <w:tab w:leader="none" w:pos="891" w:val="left"/>
        </w:tabs>
        <w:numPr>
          <w:ilvl w:val="1"/>
          <w:numId w:val="11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Abercrombie &amp; Fitch Co.</w:t>
      </w:r>
    </w:p>
    <w:p>
      <w:pPr>
        <w:spacing w:after="0" w:line="140" w:lineRule="exact"/>
        <w:rPr>
          <w:sz w:val="20"/>
          <w:szCs w:val="20"/>
          <w:color w:val="auto"/>
        </w:rPr>
      </w:pPr>
    </w:p>
    <w:p>
      <w:pPr>
        <w:ind w:left="1040"/>
        <w:spacing w:after="0"/>
        <w:tabs>
          <w:tab w:leader="none" w:pos="5380" w:val="left"/>
          <w:tab w:leader="none" w:pos="5840" w:val="left"/>
        </w:tabs>
        <w:rPr>
          <w:sz w:val="20"/>
          <w:szCs w:val="20"/>
          <w:color w:val="auto"/>
        </w:rPr>
      </w:pPr>
      <w:r>
        <w:rPr>
          <w:rFonts w:ascii="Arial" w:cs="Arial" w:eastAsia="Arial" w:hAnsi="Arial"/>
          <w:sz w:val="16"/>
          <w:szCs w:val="16"/>
          <w:color w:val="auto"/>
        </w:rPr>
        <w:t>Date: March 31, 2025</w:t>
      </w:r>
      <w:r>
        <w:rPr>
          <w:sz w:val="20"/>
          <w:szCs w:val="20"/>
          <w:color w:val="auto"/>
        </w:rPr>
        <w:tab/>
      </w:r>
      <w:r>
        <w:rPr>
          <w:rFonts w:ascii="Arial" w:cs="Arial" w:eastAsia="Arial" w:hAnsi="Arial"/>
          <w:sz w:val="16"/>
          <w:szCs w:val="16"/>
          <w:color w:val="auto"/>
        </w:rPr>
        <w:t>By:</w:t>
        <w:tab/>
        <w:t>/s/ Robert J. Ball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20955</wp:posOffset>
            </wp:positionV>
            <wp:extent cx="279463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Robert J. Ball</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Senior Vice President, Chief Financial Officer</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1">
            <w:col w:w="11240"/>
          </w:cols>
          <w:pgMar w:left="320" w:top="895" w:right="339" w:bottom="1440" w:gutter="0" w:footer="0" w:header="0"/>
        </w:sectPr>
      </w:pPr>
    </w:p>
    <w:bookmarkStart w:id="124" w:name="page125"/>
    <w:bookmarkEnd w:id="124"/>
    <w:p>
      <w:pPr>
        <w:ind w:left="10400"/>
        <w:spacing w:after="0"/>
        <w:rPr>
          <w:sz w:val="20"/>
          <w:szCs w:val="20"/>
          <w:color w:val="auto"/>
        </w:rPr>
      </w:pPr>
      <w:r>
        <w:rPr>
          <w:rFonts w:ascii="Arial" w:cs="Arial" w:eastAsia="Arial" w:hAnsi="Arial"/>
          <w:sz w:val="16"/>
          <w:szCs w:val="16"/>
          <w:color w:val="auto"/>
        </w:rPr>
        <w:t>Exhibit 32.1</w:t>
      </w:r>
    </w:p>
    <w:p>
      <w:pPr>
        <w:spacing w:after="0" w:line="248" w:lineRule="exact"/>
        <w:rPr>
          <w:sz w:val="20"/>
          <w:szCs w:val="20"/>
          <w:color w:val="auto"/>
        </w:rPr>
      </w:pPr>
    </w:p>
    <w:p>
      <w:pPr>
        <w:jc w:val="center"/>
        <w:spacing w:after="0" w:line="280" w:lineRule="auto"/>
        <w:rPr>
          <w:sz w:val="20"/>
          <w:szCs w:val="20"/>
          <w:color w:val="auto"/>
        </w:rPr>
      </w:pPr>
      <w:r>
        <w:rPr>
          <w:rFonts w:ascii="Arial" w:cs="Arial" w:eastAsia="Arial" w:hAnsi="Arial"/>
          <w:sz w:val="16"/>
          <w:szCs w:val="16"/>
          <w:b w:val="1"/>
          <w:bCs w:val="1"/>
          <w:color w:val="auto"/>
        </w:rPr>
        <w:t>Certifications by Chief Executive Officer (who serves as Principal Executive Officer) and Executive Vice President, Chief Financial Officer and Chief Operating Officer (who serves as Principal Financial Officer) pursuant to 18 U.S.C. Section 1350, as adopted pursuant to Section 906 of the Sarbanes-Oxley Act of 2002*</w:t>
      </w:r>
    </w:p>
    <w:p>
      <w:pPr>
        <w:spacing w:after="0" w:line="193" w:lineRule="exact"/>
        <w:rPr>
          <w:sz w:val="20"/>
          <w:szCs w:val="20"/>
          <w:color w:val="auto"/>
        </w:rPr>
      </w:pPr>
    </w:p>
    <w:p>
      <w:pPr>
        <w:jc w:val="both"/>
        <w:ind w:firstLine="162"/>
        <w:spacing w:after="0" w:line="260" w:lineRule="auto"/>
        <w:rPr>
          <w:sz w:val="20"/>
          <w:szCs w:val="20"/>
          <w:color w:val="auto"/>
        </w:rPr>
      </w:pPr>
      <w:r>
        <w:rPr>
          <w:rFonts w:ascii="Arial" w:cs="Arial" w:eastAsia="Arial" w:hAnsi="Arial"/>
          <w:sz w:val="16"/>
          <w:szCs w:val="16"/>
          <w:color w:val="auto"/>
        </w:rPr>
        <w:t>In connection with the Annual Report of Abercrombie &amp; Fitch Co. (the “Corporation”) on Form 10-K for the fiscal year ended February 1, 2025, as filed with the Securities and Exchange Commission on the date hereof (the “Report”), the undersigned Fran Horowitz, Chief Executive Officer of the Corporation (serving as Principal Executive Officer of the Corporation) and Robert J. Ball, Senior Vice President, Chief Financial Officer of the Corporation (serving as Principal Financial Officer of the Corporation), certify, pursuant to Section 1350 of Chapter 63 of Title 18 of the United States Code, as adopted pursuant to Section 906 of the Sarbanes-Oxley Act of 2002, that:</w:t>
      </w:r>
    </w:p>
    <w:p>
      <w:pPr>
        <w:spacing w:after="0" w:line="218" w:lineRule="exact"/>
        <w:rPr>
          <w:sz w:val="20"/>
          <w:szCs w:val="20"/>
          <w:color w:val="auto"/>
        </w:rPr>
      </w:pPr>
    </w:p>
    <w:p>
      <w:pPr>
        <w:ind w:left="540" w:hanging="370"/>
        <w:spacing w:after="0"/>
        <w:tabs>
          <w:tab w:leader="none" w:pos="54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48" w:lineRule="exact"/>
        <w:rPr>
          <w:rFonts w:ascii="Arial" w:cs="Arial" w:eastAsia="Arial" w:hAnsi="Arial"/>
          <w:sz w:val="16"/>
          <w:szCs w:val="16"/>
          <w:color w:val="auto"/>
        </w:rPr>
      </w:pPr>
    </w:p>
    <w:p>
      <w:pPr>
        <w:ind w:left="500" w:hanging="330"/>
        <w:spacing w:after="0" w:line="286" w:lineRule="auto"/>
        <w:tabs>
          <w:tab w:leader="none" w:pos="586"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consolidated financial condition and results of operations of the Corporation and its subsidiaries.</w:t>
      </w:r>
    </w:p>
    <w:p>
      <w:pPr>
        <w:spacing w:after="0" w:line="318" w:lineRule="exact"/>
        <w:rPr>
          <w:sz w:val="20"/>
          <w:szCs w:val="20"/>
          <w:color w:val="auto"/>
        </w:rPr>
      </w:pPr>
    </w:p>
    <w:tbl>
      <w:tblPr>
        <w:tblLayout w:type="fixed"/>
        <w:tblInd w:w="760" w:type="dxa"/>
        <w:tblCellMar>
          <w:top w:w="0" w:type="dxa"/>
          <w:left w:w="0" w:type="dxa"/>
          <w:bottom w:w="0" w:type="dxa"/>
          <w:right w:w="0" w:type="dxa"/>
        </w:tblCellMar>
      </w:tblPr>
      <w:tr>
        <w:trPr>
          <w:trHeight w:val="216"/>
        </w:trPr>
        <w:tc>
          <w:tcPr>
            <w:tcW w:w="4800" w:type="dxa"/>
            <w:vAlign w:val="bottom"/>
            <w:gridSpan w:val="2"/>
          </w:tcPr>
          <w:p>
            <w:pPr>
              <w:spacing w:after="0"/>
              <w:rPr>
                <w:sz w:val="20"/>
                <w:szCs w:val="20"/>
                <w:color w:val="auto"/>
              </w:rPr>
            </w:pPr>
            <w:r>
              <w:rPr>
                <w:rFonts w:ascii="Arial" w:cs="Arial" w:eastAsia="Arial" w:hAnsi="Arial"/>
                <w:sz w:val="16"/>
                <w:szCs w:val="16"/>
                <w:color w:val="auto"/>
              </w:rPr>
              <w:t>By   /s/ Fran Horowitz</w:t>
            </w:r>
          </w:p>
        </w:tc>
        <w:tc>
          <w:tcPr>
            <w:tcW w:w="600" w:type="dxa"/>
            <w:vAlign w:val="bottom"/>
          </w:tcPr>
          <w:p>
            <w:pPr>
              <w:ind w:left="120"/>
              <w:spacing w:after="0"/>
              <w:rPr>
                <w:sz w:val="20"/>
                <w:szCs w:val="20"/>
                <w:color w:val="auto"/>
              </w:rPr>
            </w:pPr>
            <w:r>
              <w:rPr>
                <w:rFonts w:ascii="Arial" w:cs="Arial" w:eastAsia="Arial" w:hAnsi="Arial"/>
                <w:sz w:val="16"/>
                <w:szCs w:val="16"/>
                <w:color w:val="auto"/>
              </w:rPr>
              <w:t>By</w:t>
            </w:r>
          </w:p>
        </w:tc>
        <w:tc>
          <w:tcPr>
            <w:tcW w:w="4360" w:type="dxa"/>
            <w:vAlign w:val="bottom"/>
          </w:tcPr>
          <w:p>
            <w:pPr>
              <w:spacing w:after="0"/>
              <w:rPr>
                <w:sz w:val="20"/>
                <w:szCs w:val="20"/>
                <w:color w:val="auto"/>
              </w:rPr>
            </w:pPr>
            <w:r>
              <w:rPr>
                <w:rFonts w:ascii="Arial" w:cs="Arial" w:eastAsia="Arial" w:hAnsi="Arial"/>
                <w:sz w:val="16"/>
                <w:szCs w:val="16"/>
                <w:color w:val="auto"/>
              </w:rPr>
              <w:t>/s/ Robert J. Ball</w:t>
            </w:r>
          </w:p>
        </w:tc>
      </w:tr>
      <w:tr>
        <w:trPr>
          <w:trHeight w:val="157"/>
        </w:trPr>
        <w:tc>
          <w:tcPr>
            <w:tcW w:w="440" w:type="dxa"/>
            <w:vAlign w:val="bottom"/>
          </w:tcPr>
          <w:p>
            <w:pPr>
              <w:spacing w:after="0"/>
              <w:rPr>
                <w:sz w:val="13"/>
                <w:szCs w:val="13"/>
                <w:color w:val="auto"/>
              </w:rPr>
            </w:pPr>
          </w:p>
        </w:tc>
        <w:tc>
          <w:tcPr>
            <w:tcW w:w="4360" w:type="dxa"/>
            <w:vAlign w:val="bottom"/>
            <w:tcBorders>
              <w:top w:val="single" w:sz="8" w:color="auto"/>
            </w:tcBorders>
          </w:tcPr>
          <w:p>
            <w:pPr>
              <w:ind w:left="20"/>
              <w:spacing w:after="0" w:line="157" w:lineRule="exact"/>
              <w:rPr>
                <w:sz w:val="20"/>
                <w:szCs w:val="20"/>
                <w:color w:val="auto"/>
              </w:rPr>
            </w:pPr>
            <w:r>
              <w:rPr>
                <w:rFonts w:ascii="Arial" w:cs="Arial" w:eastAsia="Arial" w:hAnsi="Arial"/>
                <w:sz w:val="16"/>
                <w:szCs w:val="16"/>
                <w:color w:val="auto"/>
              </w:rPr>
              <w:t>Fran Horowitz</w:t>
            </w:r>
          </w:p>
        </w:tc>
        <w:tc>
          <w:tcPr>
            <w:tcW w:w="600" w:type="dxa"/>
            <w:vAlign w:val="bottom"/>
          </w:tcPr>
          <w:p>
            <w:pPr>
              <w:spacing w:after="0"/>
              <w:rPr>
                <w:sz w:val="13"/>
                <w:szCs w:val="13"/>
                <w:color w:val="auto"/>
              </w:rPr>
            </w:pPr>
          </w:p>
        </w:tc>
        <w:tc>
          <w:tcPr>
            <w:tcW w:w="4360" w:type="dxa"/>
            <w:vAlign w:val="bottom"/>
            <w:tcBorders>
              <w:top w:val="single" w:sz="8" w:color="auto"/>
            </w:tcBorders>
          </w:tcPr>
          <w:p>
            <w:pPr>
              <w:spacing w:after="0" w:line="157" w:lineRule="exact"/>
              <w:rPr>
                <w:sz w:val="20"/>
                <w:szCs w:val="20"/>
                <w:color w:val="auto"/>
              </w:rPr>
            </w:pPr>
            <w:r>
              <w:rPr>
                <w:rFonts w:ascii="Arial" w:cs="Arial" w:eastAsia="Arial" w:hAnsi="Arial"/>
                <w:sz w:val="16"/>
                <w:szCs w:val="16"/>
                <w:color w:val="auto"/>
              </w:rPr>
              <w:t>Robert J. Ball</w:t>
            </w:r>
          </w:p>
        </w:tc>
      </w:tr>
      <w:tr>
        <w:trPr>
          <w:trHeight w:val="162"/>
        </w:trPr>
        <w:tc>
          <w:tcPr>
            <w:tcW w:w="440" w:type="dxa"/>
            <w:vAlign w:val="bottom"/>
          </w:tcPr>
          <w:p>
            <w:pPr>
              <w:spacing w:after="0"/>
              <w:rPr>
                <w:sz w:val="14"/>
                <w:szCs w:val="14"/>
                <w:color w:val="auto"/>
              </w:rPr>
            </w:pPr>
          </w:p>
        </w:tc>
        <w:tc>
          <w:tcPr>
            <w:tcW w:w="4360" w:type="dxa"/>
            <w:vAlign w:val="bottom"/>
          </w:tcPr>
          <w:p>
            <w:pPr>
              <w:ind w:left="20"/>
              <w:spacing w:after="0" w:line="162" w:lineRule="exact"/>
              <w:rPr>
                <w:sz w:val="20"/>
                <w:szCs w:val="20"/>
                <w:color w:val="auto"/>
              </w:rPr>
            </w:pPr>
            <w:r>
              <w:rPr>
                <w:rFonts w:ascii="Arial" w:cs="Arial" w:eastAsia="Arial" w:hAnsi="Arial"/>
                <w:sz w:val="16"/>
                <w:szCs w:val="16"/>
                <w:color w:val="auto"/>
              </w:rPr>
              <w:t>Chief Executive Officer</w:t>
            </w:r>
          </w:p>
        </w:tc>
        <w:tc>
          <w:tcPr>
            <w:tcW w:w="600" w:type="dxa"/>
            <w:vAlign w:val="bottom"/>
          </w:tcPr>
          <w:p>
            <w:pPr>
              <w:spacing w:after="0"/>
              <w:rPr>
                <w:sz w:val="14"/>
                <w:szCs w:val="14"/>
                <w:color w:val="auto"/>
              </w:rPr>
            </w:pPr>
          </w:p>
        </w:tc>
        <w:tc>
          <w:tcPr>
            <w:tcW w:w="4360" w:type="dxa"/>
            <w:vAlign w:val="bottom"/>
          </w:tcPr>
          <w:p>
            <w:pPr>
              <w:spacing w:after="0" w:line="162" w:lineRule="exact"/>
              <w:rPr>
                <w:sz w:val="20"/>
                <w:szCs w:val="20"/>
                <w:color w:val="auto"/>
              </w:rPr>
            </w:pPr>
            <w:r>
              <w:rPr>
                <w:rFonts w:ascii="Arial" w:cs="Arial" w:eastAsia="Arial" w:hAnsi="Arial"/>
                <w:sz w:val="16"/>
                <w:szCs w:val="16"/>
                <w:color w:val="auto"/>
              </w:rPr>
              <w:t>Senior Vice President, Chief Financial Officer</w:t>
            </w:r>
          </w:p>
        </w:tc>
      </w:tr>
      <w:tr>
        <w:trPr>
          <w:trHeight w:val="215"/>
        </w:trPr>
        <w:tc>
          <w:tcPr>
            <w:tcW w:w="440" w:type="dxa"/>
            <w:vAlign w:val="bottom"/>
          </w:tcPr>
          <w:p>
            <w:pPr>
              <w:spacing w:after="0"/>
              <w:rPr>
                <w:sz w:val="18"/>
                <w:szCs w:val="18"/>
                <w:color w:val="auto"/>
              </w:rPr>
            </w:pPr>
          </w:p>
        </w:tc>
        <w:tc>
          <w:tcPr>
            <w:tcW w:w="4360" w:type="dxa"/>
            <w:vAlign w:val="bottom"/>
          </w:tcPr>
          <w:p>
            <w:pPr>
              <w:ind w:left="20"/>
              <w:spacing w:after="0"/>
              <w:rPr>
                <w:sz w:val="20"/>
                <w:szCs w:val="20"/>
                <w:color w:val="auto"/>
              </w:rPr>
            </w:pPr>
            <w:r>
              <w:rPr>
                <w:rFonts w:ascii="Arial" w:cs="Arial" w:eastAsia="Arial" w:hAnsi="Arial"/>
                <w:sz w:val="16"/>
                <w:szCs w:val="16"/>
                <w:color w:val="auto"/>
              </w:rPr>
              <w:t>(Principal Executive Officer)</w:t>
            </w:r>
          </w:p>
        </w:tc>
        <w:tc>
          <w:tcPr>
            <w:tcW w:w="60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6"/>
                <w:szCs w:val="16"/>
                <w:color w:val="auto"/>
              </w:rPr>
              <w:t>(Principal Financial Officer)</w:t>
            </w:r>
          </w:p>
        </w:tc>
      </w:tr>
      <w:tr>
        <w:trPr>
          <w:trHeight w:val="485"/>
        </w:trPr>
        <w:tc>
          <w:tcPr>
            <w:tcW w:w="4800" w:type="dxa"/>
            <w:vAlign w:val="bottom"/>
            <w:gridSpan w:val="2"/>
          </w:tcPr>
          <w:p>
            <w:pPr>
              <w:spacing w:after="0"/>
              <w:rPr>
                <w:sz w:val="20"/>
                <w:szCs w:val="20"/>
                <w:color w:val="auto"/>
              </w:rPr>
            </w:pPr>
            <w:r>
              <w:rPr>
                <w:rFonts w:ascii="Arial" w:cs="Arial" w:eastAsia="Arial" w:hAnsi="Arial"/>
                <w:sz w:val="16"/>
                <w:szCs w:val="16"/>
                <w:color w:val="auto"/>
              </w:rPr>
              <w:t>Dated: March 31, 2025</w:t>
            </w:r>
          </w:p>
        </w:tc>
        <w:tc>
          <w:tcPr>
            <w:tcW w:w="4960" w:type="dxa"/>
            <w:vAlign w:val="bottom"/>
            <w:gridSpan w:val="2"/>
          </w:tcPr>
          <w:p>
            <w:pPr>
              <w:ind w:left="120"/>
              <w:spacing w:after="0"/>
              <w:rPr>
                <w:sz w:val="20"/>
                <w:szCs w:val="20"/>
                <w:color w:val="auto"/>
              </w:rPr>
            </w:pPr>
            <w:r>
              <w:rPr>
                <w:rFonts w:ascii="Arial" w:cs="Arial" w:eastAsia="Arial" w:hAnsi="Arial"/>
                <w:sz w:val="16"/>
                <w:szCs w:val="16"/>
                <w:color w:val="auto"/>
              </w:rPr>
              <w:t>Dated: March 31, 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327025</wp:posOffset>
            </wp:positionV>
            <wp:extent cx="13798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5">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00" w:hanging="492"/>
        <w:spacing w:after="0" w:line="265" w:lineRule="auto"/>
        <w:tabs>
          <w:tab w:leader="none" w:pos="297" w:val="left"/>
        </w:tabs>
        <w:numPr>
          <w:ilvl w:val="0"/>
          <w:numId w:val="119"/>
        </w:numPr>
        <w:rPr>
          <w:rFonts w:ascii="Times New Roman" w:cs="Times New Roman" w:eastAsia="Times New Roman" w:hAnsi="Times New Roman"/>
          <w:sz w:val="16"/>
          <w:szCs w:val="16"/>
          <w:color w:val="auto"/>
        </w:rPr>
      </w:pPr>
      <w:r>
        <w:rPr>
          <w:rFonts w:ascii="Arial" w:cs="Arial" w:eastAsia="Arial" w:hAnsi="Arial"/>
          <w:sz w:val="16"/>
          <w:szCs w:val="16"/>
          <w:color w:val="auto"/>
        </w:rPr>
        <w:t>These certifications are being furnished as required by Rule 13a-14(b) under the Securities Exchange Act of 1934, as amended (the “Exchange Act”), and Section 1350 of Chapter 63 of Title 18 of the United States Code, and shall not be deemed “filed” for purposes of Section 18 of the Exchange Act or otherwise subject to the liability of that Section. These certifications shall not be deemed to be incorporated by reference into any filing under the Securities Act of 1933, as amended, or the Exchange Act, except to the extent that the Corporation specifically incorporates these certifications by reference in such filing.</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41226BB"/>
    <w:multiLevelType w:val="hybridMultilevel"/>
    <w:lvl w:ilvl="0">
      <w:lvlJc w:val="left"/>
      <w:lvlText w:val="☒"/>
      <w:numFmt w:val="bullet"/>
      <w:start w:val="1"/>
    </w:lvl>
  </w:abstractNum>
  <w:abstractNum w:abstractNumId="1">
    <w:nsid w:val="D34B6A8"/>
    <w:multiLevelType w:val="hybridMultilevel"/>
    <w:lvl w:ilvl="0">
      <w:lvlJc w:val="left"/>
      <w:lvlText w:val="☐"/>
      <w:numFmt w:val="bullet"/>
      <w:start w:val="1"/>
    </w:lvl>
  </w:abstractNum>
  <w:abstractNum w:abstractNumId="2">
    <w:nsid w:val="10233C99"/>
    <w:multiLevelType w:val="hybridMultilevel"/>
    <w:lvl w:ilvl="0">
      <w:lvlJc w:val="left"/>
      <w:lvlText w:val="•"/>
      <w:numFmt w:val="bullet"/>
      <w:start w:val="1"/>
    </w:lvl>
  </w:abstractNum>
  <w:abstractNum w:abstractNumId="3">
    <w:nsid w:val="3F6AB60F"/>
    <w:multiLevelType w:val="hybridMultilevel"/>
    <w:lvl w:ilvl="0">
      <w:lvlJc w:val="left"/>
      <w:lvlText w:val="•"/>
      <w:numFmt w:val="bullet"/>
      <w:start w:val="1"/>
    </w:lvl>
  </w:abstractNum>
  <w:abstractNum w:abstractNumId="4">
    <w:nsid w:val="61574095"/>
    <w:multiLevelType w:val="hybridMultilevel"/>
    <w:lvl w:ilvl="0">
      <w:lvlJc w:val="left"/>
      <w:lvlText w:val="•"/>
      <w:numFmt w:val="bullet"/>
      <w:start w:val="1"/>
    </w:lvl>
  </w:abstractNum>
  <w:abstractNum w:abstractNumId="5">
    <w:nsid w:val="7E0C57B1"/>
    <w:multiLevelType w:val="hybridMultilevel"/>
    <w:lvl w:ilvl="0">
      <w:lvlJc w:val="left"/>
      <w:lvlText w:val="•"/>
      <w:numFmt w:val="bullet"/>
      <w:start w:val="1"/>
    </w:lvl>
  </w:abstractNum>
  <w:abstractNum w:abstractNumId="6">
    <w:nsid w:val="77AE35EB"/>
    <w:multiLevelType w:val="hybridMultilevel"/>
    <w:lvl w:ilvl="0">
      <w:lvlJc w:val="left"/>
      <w:lvlText w:val="•"/>
      <w:numFmt w:val="bullet"/>
      <w:start w:val="1"/>
    </w:lvl>
  </w:abstractNum>
  <w:abstractNum w:abstractNumId="7">
    <w:nsid w:val="579BE4F1"/>
    <w:multiLevelType w:val="hybridMultilevel"/>
    <w:lvl w:ilvl="0">
      <w:lvlJc w:val="left"/>
      <w:lvlText w:val="•"/>
      <w:numFmt w:val="bullet"/>
      <w:start w:val="1"/>
    </w:lvl>
  </w:abstractNum>
  <w:abstractNum w:abstractNumId="8">
    <w:nsid w:val="310C50B3"/>
    <w:multiLevelType w:val="hybridMultilevel"/>
    <w:lvl w:ilvl="0">
      <w:lvlJc w:val="left"/>
      <w:lvlText w:val="•"/>
      <w:numFmt w:val="bullet"/>
      <w:start w:val="1"/>
    </w:lvl>
  </w:abstractNum>
  <w:abstractNum w:abstractNumId="9">
    <w:nsid w:val="5FF87E05"/>
    <w:multiLevelType w:val="hybridMultilevel"/>
    <w:lvl w:ilvl="0">
      <w:lvlJc w:val="left"/>
      <w:lvlText w:val="•"/>
      <w:numFmt w:val="bullet"/>
      <w:start w:val="1"/>
    </w:lvl>
  </w:abstractNum>
  <w:abstractNum w:abstractNumId="10">
    <w:nsid w:val="2F305DEF"/>
    <w:multiLevelType w:val="hybridMultilevel"/>
    <w:lvl w:ilvl="0">
      <w:lvlJc w:val="left"/>
      <w:lvlText w:val="•"/>
      <w:numFmt w:val="bullet"/>
      <w:start w:val="1"/>
    </w:lvl>
  </w:abstractNum>
  <w:abstractNum w:abstractNumId="11">
    <w:nsid w:val="25A70BF7"/>
    <w:multiLevelType w:val="hybridMultilevel"/>
    <w:lvl w:ilvl="0">
      <w:lvlJc w:val="left"/>
      <w:lvlText w:val="•"/>
      <w:numFmt w:val="bullet"/>
      <w:start w:val="1"/>
    </w:lvl>
  </w:abstractNum>
  <w:abstractNum w:abstractNumId="12">
    <w:nsid w:val="1DBABF00"/>
    <w:multiLevelType w:val="hybridMultilevel"/>
    <w:lvl w:ilvl="0">
      <w:lvlJc w:val="left"/>
      <w:lvlText w:val="•"/>
      <w:numFmt w:val="bullet"/>
      <w:start w:val="1"/>
    </w:lvl>
  </w:abstractNum>
  <w:abstractNum w:abstractNumId="13">
    <w:nsid w:val="4AD084E9"/>
    <w:multiLevelType w:val="hybridMultilevel"/>
    <w:lvl w:ilvl="0">
      <w:lvlJc w:val="left"/>
      <w:lvlText w:val="•"/>
      <w:numFmt w:val="bullet"/>
      <w:start w:val="1"/>
    </w:lvl>
  </w:abstractNum>
  <w:abstractNum w:abstractNumId="14">
    <w:nsid w:val="1F48EAA1"/>
    <w:multiLevelType w:val="hybridMultilevel"/>
    <w:lvl w:ilvl="0">
      <w:lvlJc w:val="left"/>
      <w:lvlText w:val="•"/>
      <w:numFmt w:val="bullet"/>
      <w:start w:val="1"/>
    </w:lvl>
  </w:abstractNum>
  <w:abstractNum w:abstractNumId="15">
    <w:nsid w:val="1381823A"/>
    <w:multiLevelType w:val="hybridMultilevel"/>
    <w:lvl w:ilvl="0">
      <w:lvlJc w:val="left"/>
      <w:lvlText w:val="•"/>
      <w:numFmt w:val="bullet"/>
      <w:start w:val="1"/>
    </w:lvl>
  </w:abstractNum>
  <w:abstractNum w:abstractNumId="16">
    <w:nsid w:val="5DB70AE5"/>
    <w:multiLevelType w:val="hybridMultilevel"/>
    <w:lvl w:ilvl="0">
      <w:lvlJc w:val="left"/>
      <w:lvlText w:val="•"/>
      <w:numFmt w:val="bullet"/>
      <w:start w:val="1"/>
    </w:lvl>
  </w:abstractNum>
  <w:abstractNum w:abstractNumId="17">
    <w:nsid w:val="100F8FCA"/>
    <w:multiLevelType w:val="hybridMultilevel"/>
    <w:lvl w:ilvl="0">
      <w:lvlJc w:val="left"/>
      <w:lvlText w:val="•"/>
      <w:numFmt w:val="bullet"/>
      <w:start w:val="1"/>
    </w:lvl>
  </w:abstractNum>
  <w:abstractNum w:abstractNumId="18">
    <w:nsid w:val="6590700B"/>
    <w:multiLevelType w:val="hybridMultilevel"/>
    <w:lvl w:ilvl="0">
      <w:lvlJc w:val="left"/>
      <w:lvlText w:val="•"/>
      <w:numFmt w:val="bullet"/>
      <w:start w:val="1"/>
    </w:lvl>
  </w:abstractNum>
  <w:abstractNum w:abstractNumId="19">
    <w:nsid w:val="15014ACB"/>
    <w:multiLevelType w:val="hybridMultilevel"/>
    <w:lvl w:ilvl="0">
      <w:lvlJc w:val="left"/>
      <w:lvlText w:val="•"/>
      <w:numFmt w:val="bullet"/>
      <w:start w:val="1"/>
    </w:lvl>
  </w:abstractNum>
  <w:abstractNum w:abstractNumId="20">
    <w:nsid w:val="5F5E7FD0"/>
    <w:multiLevelType w:val="hybridMultilevel"/>
    <w:lvl w:ilvl="0">
      <w:lvlJc w:val="left"/>
      <w:lvlText w:val="•"/>
      <w:numFmt w:val="bullet"/>
      <w:start w:val="1"/>
    </w:lvl>
  </w:abstractNum>
  <w:abstractNum w:abstractNumId="21">
    <w:nsid w:val="98A3148"/>
    <w:multiLevelType w:val="hybridMultilevel"/>
    <w:lvl w:ilvl="0">
      <w:lvlJc w:val="left"/>
      <w:lvlText w:val="*"/>
      <w:numFmt w:val="bullet"/>
      <w:start w:val="1"/>
    </w:lvl>
  </w:abstractNum>
  <w:abstractNum w:abstractNumId="22">
    <w:nsid w:val="799D0247"/>
    <w:multiLevelType w:val="hybridMultilevel"/>
    <w:lvl w:ilvl="0">
      <w:lvlJc w:val="left"/>
      <w:lvlText w:val="(%1)"/>
      <w:numFmt w:val="decimal"/>
      <w:start w:val="1"/>
    </w:lvl>
  </w:abstractNum>
  <w:abstractNum w:abstractNumId="23">
    <w:nsid w:val="6B94764"/>
    <w:multiLevelType w:val="hybridMultilevel"/>
    <w:lvl w:ilvl="0">
      <w:lvlJc w:val="left"/>
      <w:lvlText w:val="(%1)"/>
      <w:numFmt w:val="decimal"/>
      <w:start w:val="1"/>
    </w:lvl>
  </w:abstractNum>
  <w:abstractNum w:abstractNumId="24">
    <w:nsid w:val="42C296BD"/>
    <w:multiLevelType w:val="hybridMultilevel"/>
    <w:lvl w:ilvl="0">
      <w:lvlJc w:val="left"/>
      <w:lvlText w:val="•"/>
      <w:numFmt w:val="bullet"/>
      <w:start w:val="1"/>
    </w:lvl>
  </w:abstractNum>
  <w:abstractNum w:abstractNumId="25">
    <w:nsid w:val="168E121F"/>
    <w:multiLevelType w:val="hybridMultilevel"/>
    <w:lvl w:ilvl="0">
      <w:lvlJc w:val="left"/>
      <w:lvlText w:val="•"/>
      <w:numFmt w:val="bullet"/>
      <w:start w:val="1"/>
    </w:lvl>
  </w:abstractNum>
  <w:abstractNum w:abstractNumId="26">
    <w:nsid w:val="1EBA5D23"/>
    <w:multiLevelType w:val="hybridMultilevel"/>
    <w:lvl w:ilvl="0">
      <w:lvlJc w:val="left"/>
      <w:lvlText w:val="•"/>
      <w:numFmt w:val="bullet"/>
      <w:start w:val="1"/>
    </w:lvl>
  </w:abstractNum>
  <w:abstractNum w:abstractNumId="27">
    <w:nsid w:val="661E3F1E"/>
    <w:multiLevelType w:val="hybridMultilevel"/>
    <w:lvl w:ilvl="0">
      <w:lvlJc w:val="left"/>
      <w:lvlText w:val="•"/>
      <w:numFmt w:val="bullet"/>
      <w:start w:val="1"/>
    </w:lvl>
  </w:abstractNum>
  <w:abstractNum w:abstractNumId="28">
    <w:nsid w:val="5DC79EA8"/>
    <w:multiLevelType w:val="hybridMultilevel"/>
    <w:lvl w:ilvl="0">
      <w:lvlJc w:val="left"/>
      <w:lvlText w:val="•"/>
      <w:numFmt w:val="bullet"/>
      <w:start w:val="1"/>
    </w:lvl>
  </w:abstractNum>
  <w:abstractNum w:abstractNumId="29">
    <w:nsid w:val="540A471C"/>
    <w:multiLevelType w:val="hybridMultilevel"/>
    <w:lvl w:ilvl="0">
      <w:lvlJc w:val="left"/>
      <w:lvlText w:val="•"/>
      <w:numFmt w:val="bullet"/>
      <w:start w:val="1"/>
    </w:lvl>
  </w:abstractNum>
  <w:abstractNum w:abstractNumId="30">
    <w:nsid w:val="7BD3EE7B"/>
    <w:multiLevelType w:val="hybridMultilevel"/>
    <w:lvl w:ilvl="0">
      <w:lvlJc w:val="left"/>
      <w:lvlText w:val="(%1)"/>
      <w:numFmt w:val="decimal"/>
      <w:start w:val="1"/>
    </w:lvl>
  </w:abstractNum>
  <w:abstractNum w:abstractNumId="31">
    <w:nsid w:val="51D9C564"/>
    <w:multiLevelType w:val="hybridMultilevel"/>
    <w:lvl w:ilvl="0">
      <w:lvlJc w:val="left"/>
      <w:lvlText w:val="(%1)"/>
      <w:numFmt w:val="decimal"/>
      <w:start w:val="1"/>
    </w:lvl>
  </w:abstractNum>
  <w:abstractNum w:abstractNumId="32">
    <w:nsid w:val="613EFDC5"/>
    <w:multiLevelType w:val="hybridMultilevel"/>
    <w:lvl w:ilvl="0">
      <w:lvlJc w:val="left"/>
      <w:lvlText w:val="(%1)"/>
      <w:numFmt w:val="decimal"/>
      <w:start w:val="1"/>
    </w:lvl>
  </w:abstractNum>
  <w:abstractNum w:abstractNumId="33">
    <w:nsid w:val="BF72B14"/>
    <w:multiLevelType w:val="hybridMultilevel"/>
    <w:lvl w:ilvl="0">
      <w:lvlJc w:val="left"/>
      <w:lvlText w:val="•"/>
      <w:numFmt w:val="bullet"/>
      <w:start w:val="1"/>
    </w:lvl>
  </w:abstractNum>
  <w:abstractNum w:abstractNumId="34">
    <w:nsid w:val="11447B73"/>
    <w:multiLevelType w:val="hybridMultilevel"/>
    <w:lvl w:ilvl="0">
      <w:lvlJc w:val="left"/>
      <w:lvlText w:val="(%1)"/>
      <w:numFmt w:val="decimal"/>
      <w:start w:val="1"/>
    </w:lvl>
  </w:abstractNum>
  <w:abstractNum w:abstractNumId="35">
    <w:nsid w:val="42963E5A"/>
    <w:multiLevelType w:val="hybridMultilevel"/>
    <w:lvl w:ilvl="0">
      <w:lvlJc w:val="left"/>
      <w:lvlText w:val="(%1)"/>
      <w:numFmt w:val="decimal"/>
      <w:start w:val="1"/>
    </w:lvl>
  </w:abstractNum>
  <w:abstractNum w:abstractNumId="36">
    <w:nsid w:val="A0382C5"/>
    <w:multiLevelType w:val="hybridMultilevel"/>
    <w:lvl w:ilvl="0">
      <w:lvlJc w:val="left"/>
      <w:lvlText w:val="•"/>
      <w:numFmt w:val="bullet"/>
      <w:start w:val="1"/>
    </w:lvl>
  </w:abstractNum>
  <w:abstractNum w:abstractNumId="37">
    <w:nsid w:val="8F2B15E"/>
    <w:multiLevelType w:val="hybridMultilevel"/>
    <w:lvl w:ilvl="0">
      <w:lvlJc w:val="left"/>
      <w:lvlText w:val="(%1)"/>
      <w:numFmt w:val="decimal"/>
      <w:start w:val="1"/>
    </w:lvl>
  </w:abstractNum>
  <w:abstractNum w:abstractNumId="38">
    <w:nsid w:val="1A32234B"/>
    <w:multiLevelType w:val="hybridMultilevel"/>
    <w:lvl w:ilvl="0">
      <w:lvlJc w:val="left"/>
      <w:lvlText w:val="(%1)"/>
      <w:numFmt w:val="decimal"/>
      <w:start w:val="1"/>
    </w:lvl>
  </w:abstractNum>
  <w:abstractNum w:abstractNumId="39">
    <w:nsid w:val="3B0FD379"/>
    <w:multiLevelType w:val="hybridMultilevel"/>
    <w:lvl w:ilvl="0">
      <w:lvlJc w:val="left"/>
      <w:lvlText w:val="(%1)"/>
      <w:numFmt w:val="decimal"/>
      <w:start w:val="1"/>
    </w:lvl>
  </w:abstractNum>
  <w:abstractNum w:abstractNumId="40">
    <w:nsid w:val="68EB2F63"/>
    <w:multiLevelType w:val="hybridMultilevel"/>
    <w:lvl w:ilvl="0">
      <w:lvlJc w:val="left"/>
      <w:lvlText w:val="(%1)"/>
      <w:numFmt w:val="decimal"/>
      <w:start w:val="1"/>
    </w:lvl>
  </w:abstractNum>
  <w:abstractNum w:abstractNumId="41">
    <w:nsid w:val="4962813B"/>
    <w:multiLevelType w:val="hybridMultilevel"/>
    <w:lvl w:ilvl="0">
      <w:lvlJc w:val="left"/>
      <w:lvlText w:val="•"/>
      <w:numFmt w:val="bullet"/>
      <w:start w:val="1"/>
    </w:lvl>
    <w:lvl w:ilvl="1">
      <w:lvlJc w:val="left"/>
      <w:lvlText w:val="•"/>
      <w:numFmt w:val="bullet"/>
      <w:start w:val="1"/>
    </w:lvl>
  </w:abstractNum>
  <w:abstractNum w:abstractNumId="42">
    <w:nsid w:val="60B6DF70"/>
    <w:multiLevelType w:val="hybridMultilevel"/>
    <w:lvl w:ilvl="0">
      <w:lvlJc w:val="left"/>
      <w:lvlText w:val="(%1)"/>
      <w:numFmt w:val="decimal"/>
      <w:start w:val="1"/>
    </w:lvl>
  </w:abstractNum>
  <w:abstractNum w:abstractNumId="43">
    <w:nsid w:val="6A5EE64"/>
    <w:multiLevelType w:val="hybridMultilevel"/>
    <w:lvl w:ilvl="0">
      <w:lvlJc w:val="left"/>
      <w:lvlText w:val="(%1)"/>
      <w:numFmt w:val="decimal"/>
      <w:start w:val="1"/>
    </w:lvl>
  </w:abstractNum>
  <w:abstractNum w:abstractNumId="44">
    <w:nsid w:val="14330624"/>
    <w:multiLevelType w:val="hybridMultilevel"/>
    <w:lvl w:ilvl="0">
      <w:lvlJc w:val="left"/>
      <w:lvlText w:val="(%1)"/>
      <w:numFmt w:val="decimal"/>
      <w:start w:val="1"/>
    </w:lvl>
  </w:abstractNum>
  <w:abstractNum w:abstractNumId="45">
    <w:nsid w:val="7FFFCA11"/>
    <w:multiLevelType w:val="hybridMultilevel"/>
    <w:lvl w:ilvl="0">
      <w:lvlJc w:val="left"/>
      <w:lvlText w:val="(%1)"/>
      <w:numFmt w:val="decimal"/>
      <w:start w:val="1"/>
    </w:lvl>
  </w:abstractNum>
  <w:abstractNum w:abstractNumId="46">
    <w:nsid w:val="1A27709E"/>
    <w:multiLevelType w:val="hybridMultilevel"/>
    <w:lvl w:ilvl="0">
      <w:lvlJc w:val="left"/>
      <w:lvlText w:val="(%1)"/>
      <w:numFmt w:val="decimal"/>
      <w:start w:val="1"/>
    </w:lvl>
  </w:abstractNum>
  <w:abstractNum w:abstractNumId="47">
    <w:nsid w:val="71EA1109"/>
    <w:multiLevelType w:val="hybridMultilevel"/>
    <w:lvl w:ilvl="0">
      <w:lvlJc w:val="left"/>
      <w:lvlText w:val="(%1)"/>
      <w:numFmt w:val="decimal"/>
      <w:start w:val="1"/>
    </w:lvl>
  </w:abstractNum>
  <w:abstractNum w:abstractNumId="48">
    <w:nsid w:val="100F59DC"/>
    <w:multiLevelType w:val="hybridMultilevel"/>
    <w:lvl w:ilvl="0">
      <w:lvlJc w:val="left"/>
      <w:lvlText w:val="(%1)"/>
      <w:numFmt w:val="decimal"/>
      <w:start w:val="1"/>
    </w:lvl>
  </w:abstractNum>
  <w:abstractNum w:abstractNumId="49">
    <w:nsid w:val="7FB7E0AA"/>
    <w:multiLevelType w:val="hybridMultilevel"/>
    <w:lvl w:ilvl="0">
      <w:lvlJc w:val="left"/>
      <w:lvlText w:val="•"/>
      <w:numFmt w:val="bullet"/>
      <w:start w:val="1"/>
    </w:lvl>
  </w:abstractNum>
  <w:abstractNum w:abstractNumId="50">
    <w:nsid w:val="6EB5BD4"/>
    <w:multiLevelType w:val="hybridMultilevel"/>
    <w:lvl w:ilvl="0">
      <w:lvlJc w:val="left"/>
      <w:lvlText w:val="•"/>
      <w:numFmt w:val="bullet"/>
      <w:start w:val="1"/>
    </w:lvl>
  </w:abstractNum>
  <w:abstractNum w:abstractNumId="51">
    <w:nsid w:val="6F6DD9AC"/>
    <w:multiLevelType w:val="hybridMultilevel"/>
    <w:lvl w:ilvl="0">
      <w:lvlJc w:val="left"/>
      <w:lvlText w:val="(%1)"/>
      <w:numFmt w:val="decimal"/>
      <w:start w:val="1"/>
    </w:lvl>
  </w:abstractNum>
  <w:abstractNum w:abstractNumId="52">
    <w:nsid w:val="94211F2"/>
    <w:multiLevelType w:val="hybridMultilevel"/>
    <w:lvl w:ilvl="0">
      <w:lvlJc w:val="left"/>
      <w:lvlText w:val="(%1)"/>
      <w:numFmt w:val="decimal"/>
      <w:start w:val="1"/>
    </w:lvl>
  </w:abstractNum>
  <w:abstractNum w:abstractNumId="53">
    <w:nsid w:val="885E1B"/>
    <w:multiLevelType w:val="hybridMultilevel"/>
    <w:lvl w:ilvl="0">
      <w:lvlJc w:val="left"/>
      <w:lvlText w:val="(%1)"/>
      <w:numFmt w:val="decimal"/>
      <w:start w:val="1"/>
    </w:lvl>
  </w:abstractNum>
  <w:abstractNum w:abstractNumId="54">
    <w:nsid w:val="76272110"/>
    <w:multiLevelType w:val="hybridMultilevel"/>
    <w:lvl w:ilvl="0">
      <w:lvlJc w:val="left"/>
      <w:lvlText w:val="•"/>
      <w:numFmt w:val="bullet"/>
      <w:start w:val="1"/>
    </w:lvl>
  </w:abstractNum>
  <w:abstractNum w:abstractNumId="55">
    <w:nsid w:val="4C04A8AF"/>
    <w:multiLevelType w:val="hybridMultilevel"/>
    <w:lvl w:ilvl="0">
      <w:lvlJc w:val="left"/>
      <w:lvlText w:val="(%1)"/>
      <w:numFmt w:val="decimal"/>
      <w:start w:val="1"/>
    </w:lvl>
  </w:abstractNum>
  <w:abstractNum w:abstractNumId="56">
    <w:nsid w:val="1716703B"/>
    <w:multiLevelType w:val="hybridMultilevel"/>
    <w:lvl w:ilvl="0">
      <w:lvlJc w:val="left"/>
      <w:lvlText w:val="•"/>
      <w:numFmt w:val="bullet"/>
      <w:start w:val="1"/>
    </w:lvl>
  </w:abstractNum>
  <w:abstractNum w:abstractNumId="57">
    <w:nsid w:val="14E17E33"/>
    <w:multiLevelType w:val="hybridMultilevel"/>
    <w:lvl w:ilvl="0">
      <w:lvlJc w:val="left"/>
      <w:lvlText w:val="(%1)"/>
      <w:numFmt w:val="decimal"/>
      <w:start w:val="1"/>
    </w:lvl>
  </w:abstractNum>
  <w:abstractNum w:abstractNumId="58">
    <w:nsid w:val="3222E7CD"/>
    <w:multiLevelType w:val="hybridMultilevel"/>
    <w:lvl w:ilvl="0">
      <w:lvlJc w:val="left"/>
      <w:lvlText w:val="(%1)"/>
      <w:numFmt w:val="decimal"/>
      <w:start w:val="1"/>
    </w:lvl>
  </w:abstractNum>
  <w:abstractNum w:abstractNumId="59">
    <w:nsid w:val="74DE0EE3"/>
    <w:multiLevelType w:val="hybridMultilevel"/>
    <w:lvl w:ilvl="0">
      <w:lvlJc w:val="left"/>
      <w:lvlText w:val="(%1)"/>
      <w:numFmt w:val="decimal"/>
      <w:start w:val="1"/>
    </w:lvl>
  </w:abstractNum>
  <w:abstractNum w:abstractNumId="60">
    <w:nsid w:val="68EBC550"/>
    <w:multiLevelType w:val="hybridMultilevel"/>
    <w:lvl w:ilvl="0">
      <w:lvlJc w:val="left"/>
      <w:lvlText w:val="(%1)"/>
      <w:numFmt w:val="decimal"/>
      <w:start w:val="1"/>
    </w:lvl>
  </w:abstractNum>
  <w:abstractNum w:abstractNumId="61">
    <w:nsid w:val="2DF6D648"/>
    <w:multiLevelType w:val="hybridMultilevel"/>
    <w:lvl w:ilvl="0">
      <w:lvlJc w:val="left"/>
      <w:lvlText w:val="(%1)"/>
      <w:numFmt w:val="decimal"/>
      <w:start w:val="1"/>
    </w:lvl>
  </w:abstractNum>
  <w:abstractNum w:abstractNumId="62">
    <w:nsid w:val="46B7D447"/>
    <w:multiLevelType w:val="hybridMultilevel"/>
    <w:lvl w:ilvl="0">
      <w:lvlJc w:val="left"/>
      <w:lvlText w:val="(%1)"/>
      <w:numFmt w:val="decimal"/>
      <w:start w:val="1"/>
    </w:lvl>
  </w:abstractNum>
  <w:abstractNum w:abstractNumId="63">
    <w:nsid w:val="4A2AC315"/>
    <w:multiLevelType w:val="hybridMultilevel"/>
    <w:lvl w:ilvl="0">
      <w:lvlJc w:val="left"/>
      <w:lvlText w:val="(%1)"/>
      <w:numFmt w:val="decimal"/>
      <w:start w:val="1"/>
    </w:lvl>
  </w:abstractNum>
  <w:abstractNum w:abstractNumId="64">
    <w:nsid w:val="39EE015C"/>
    <w:multiLevelType w:val="hybridMultilevel"/>
    <w:lvl w:ilvl="0">
      <w:lvlJc w:val="left"/>
      <w:lvlText w:val="(%1)"/>
      <w:numFmt w:val="decimal"/>
      <w:start w:val="1"/>
    </w:lvl>
  </w:abstractNum>
  <w:abstractNum w:abstractNumId="65">
    <w:nsid w:val="57FC4FBB"/>
    <w:multiLevelType w:val="hybridMultilevel"/>
    <w:lvl w:ilvl="0">
      <w:lvlJc w:val="left"/>
      <w:lvlText w:val="(%1)"/>
      <w:numFmt w:val="decimal"/>
      <w:start w:val="1"/>
    </w:lvl>
  </w:abstractNum>
  <w:abstractNum w:abstractNumId="66">
    <w:nsid w:val="CC1016F"/>
    <w:multiLevelType w:val="hybridMultilevel"/>
    <w:lvl w:ilvl="0">
      <w:lvlJc w:val="left"/>
      <w:lvlText w:val="•"/>
      <w:numFmt w:val="bullet"/>
      <w:start w:val="1"/>
    </w:lvl>
    <w:lvl w:ilvl="1">
      <w:lvlJc w:val="left"/>
      <w:lvlText w:val="◦"/>
      <w:numFmt w:val="bullet"/>
      <w:start w:val="1"/>
    </w:lvl>
  </w:abstractNum>
  <w:abstractNum w:abstractNumId="67">
    <w:nsid w:val="43F18422"/>
    <w:multiLevelType w:val="hybridMultilevel"/>
    <w:lvl w:ilvl="0">
      <w:lvlJc w:val="left"/>
      <w:lvlText w:val="•"/>
      <w:numFmt w:val="bullet"/>
      <w:start w:val="1"/>
    </w:lvl>
  </w:abstractNum>
  <w:abstractNum w:abstractNumId="68">
    <w:nsid w:val="60EF0119"/>
    <w:multiLevelType w:val="hybridMultilevel"/>
    <w:lvl w:ilvl="0">
      <w:lvlJc w:val="left"/>
      <w:lvlText w:val="(%1)"/>
      <w:numFmt w:val="decimal"/>
      <w:start w:val="1"/>
    </w:lvl>
  </w:abstractNum>
  <w:abstractNum w:abstractNumId="69">
    <w:nsid w:val="26F324BA"/>
    <w:multiLevelType w:val="hybridMultilevel"/>
    <w:lvl w:ilvl="0">
      <w:lvlJc w:val="left"/>
      <w:lvlText w:val="(%1)"/>
      <w:numFmt w:val="decimal"/>
      <w:start w:val="1"/>
    </w:lvl>
  </w:abstractNum>
  <w:abstractNum w:abstractNumId="70">
    <w:nsid w:val="7F01579B"/>
    <w:multiLevelType w:val="hybridMultilevel"/>
    <w:lvl w:ilvl="0">
      <w:lvlJc w:val="left"/>
      <w:lvlText w:val="(%1)"/>
      <w:numFmt w:val="decimal"/>
      <w:start w:val="1"/>
    </w:lvl>
  </w:abstractNum>
  <w:abstractNum w:abstractNumId="71">
    <w:nsid w:val="49DA307D"/>
    <w:multiLevelType w:val="hybridMultilevel"/>
    <w:lvl w:ilvl="0">
      <w:lvlJc w:val="left"/>
      <w:lvlText w:val="(%1)"/>
      <w:numFmt w:val="decimal"/>
      <w:start w:val="1"/>
    </w:lvl>
  </w:abstractNum>
  <w:abstractNum w:abstractNumId="72">
    <w:nsid w:val="7055A5F5"/>
    <w:multiLevelType w:val="hybridMultilevel"/>
    <w:lvl w:ilvl="0">
      <w:lvlJc w:val="left"/>
      <w:lvlText w:val="(%1)"/>
      <w:numFmt w:val="decimal"/>
      <w:start w:val="1"/>
    </w:lvl>
  </w:abstractNum>
  <w:abstractNum w:abstractNumId="73">
    <w:nsid w:val="5FB8370B"/>
    <w:multiLevelType w:val="hybridMultilevel"/>
    <w:lvl w:ilvl="0">
      <w:lvlJc w:val="left"/>
      <w:lvlText w:val="(%1)"/>
      <w:numFmt w:val="decimal"/>
      <w:start w:val="1"/>
    </w:lvl>
  </w:abstractNum>
  <w:abstractNum w:abstractNumId="74">
    <w:nsid w:val="50801EE1"/>
    <w:multiLevelType w:val="hybridMultilevel"/>
    <w:lvl w:ilvl="0">
      <w:lvlJc w:val="left"/>
      <w:lvlText w:val="(%1)"/>
      <w:numFmt w:val="decimal"/>
      <w:start w:val="1"/>
    </w:lvl>
  </w:abstractNum>
  <w:abstractNum w:abstractNumId="75">
    <w:nsid w:val="488AC1A"/>
    <w:multiLevelType w:val="hybridMultilevel"/>
    <w:lvl w:ilvl="0">
      <w:lvlJc w:val="left"/>
      <w:lvlText w:val="(%1)"/>
      <w:numFmt w:val="decimal"/>
      <w:start w:val="1"/>
    </w:lvl>
  </w:abstractNum>
  <w:abstractNum w:abstractNumId="76">
    <w:nsid w:val="5FB8011C"/>
    <w:multiLevelType w:val="hybridMultilevel"/>
    <w:lvl w:ilvl="0">
      <w:lvlJc w:val="left"/>
      <w:lvlText w:val="(%1)"/>
      <w:numFmt w:val="decimal"/>
      <w:start w:val="1"/>
    </w:lvl>
  </w:abstractNum>
  <w:abstractNum w:abstractNumId="77">
    <w:nsid w:val="6AA78F7F"/>
    <w:multiLevelType w:val="hybridMultilevel"/>
    <w:lvl w:ilvl="0">
      <w:lvlJc w:val="left"/>
      <w:lvlText w:val="(%1)"/>
      <w:numFmt w:val="lowerLetter"/>
      <w:start w:val="1"/>
    </w:lvl>
  </w:abstractNum>
  <w:abstractNum w:abstractNumId="78">
    <w:nsid w:val="7672BD23"/>
    <w:multiLevelType w:val="hybridMultilevel"/>
    <w:lvl w:ilvl="0">
      <w:lvlJc w:val="left"/>
      <w:lvlText w:val="(%1)"/>
      <w:numFmt w:val="lowerLetter"/>
      <w:start w:val="2"/>
    </w:lvl>
  </w:abstractNum>
  <w:abstractNum w:abstractNumId="79">
    <w:nsid w:val="6FC75AF8"/>
    <w:multiLevelType w:val="hybridMultilevel"/>
    <w:lvl w:ilvl="0">
      <w:lvlJc w:val="left"/>
      <w:lvlText w:val="*"/>
      <w:numFmt w:val="bullet"/>
      <w:start w:val="1"/>
    </w:lvl>
  </w:abstractNum>
  <w:abstractNum w:abstractNumId="80">
    <w:nsid w:val="6A5F7029"/>
    <w:multiLevelType w:val="hybridMultilevel"/>
    <w:lvl w:ilvl="0">
      <w:lvlJc w:val="left"/>
      <w:lvlText w:val="**"/>
      <w:numFmt w:val="bullet"/>
      <w:start w:val="1"/>
    </w:lvl>
  </w:abstractNum>
  <w:abstractNum w:abstractNumId="81">
    <w:nsid w:val="7D5E18F8"/>
    <w:multiLevelType w:val="hybridMultilevel"/>
    <w:lvl w:ilvl="0">
      <w:lvlJc w:val="left"/>
      <w:lvlText w:val="††"/>
      <w:numFmt w:val="bullet"/>
      <w:start w:val="1"/>
    </w:lvl>
  </w:abstractNum>
  <w:abstractNum w:abstractNumId="82">
    <w:nsid w:val="5F3534A4"/>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83">
    <w:nsid w:val="73A1821B"/>
    <w:multiLevelType w:val="hybridMultilevel"/>
    <w:lvl w:ilvl="0">
      <w:lvlJc w:val="left"/>
      <w:lvlText w:val="%1"/>
      <w:numFmt w:val="upperLetter"/>
      <w:start w:val="1"/>
    </w:lvl>
    <w:lvl w:ilvl="1">
      <w:lvlJc w:val="left"/>
      <w:lvlText w:val="(%2)"/>
      <w:numFmt w:val="lowerRoman"/>
      <w:start w:val="2"/>
    </w:lvl>
  </w:abstractNum>
  <w:abstractNum w:abstractNumId="84">
    <w:nsid w:val="7DE67713"/>
    <w:multiLevelType w:val="hybridMultilevel"/>
    <w:lvl w:ilvl="0">
      <w:lvlJc w:val="left"/>
      <w:lvlText w:val="(%1)"/>
      <w:numFmt w:val="upperLetter"/>
      <w:start w:val="2"/>
    </w:lvl>
    <w:lvl w:ilvl="1">
      <w:lvlJc w:val="left"/>
      <w:lvlText w:val="%2"/>
      <w:numFmt w:val="lowerRoman"/>
      <w:start w:val="1"/>
    </w:lvl>
  </w:abstractNum>
  <w:abstractNum w:abstractNumId="85">
    <w:nsid w:val="555C55B5"/>
    <w:multiLevelType w:val="hybridMultilevel"/>
    <w:lvl w:ilvl="0">
      <w:lvlJc w:val="left"/>
      <w:lvlText w:val="%1"/>
      <w:numFmt w:val="decimal"/>
      <w:start w:val="1"/>
    </w:lvl>
    <w:lvl w:ilvl="1">
      <w:lvlJc w:val="left"/>
      <w:lvlText w:val="(%2)"/>
      <w:numFmt w:val="upperLetter"/>
      <w:start w:val="5"/>
    </w:lvl>
  </w:abstractNum>
  <w:abstractNum w:abstractNumId="86">
    <w:nsid w:val="3FA62ACA"/>
    <w:multiLevelType w:val="hybridMultilevel"/>
    <w:lvl w:ilvl="0">
      <w:lvlJc w:val="left"/>
      <w:lvlText w:val="%1."/>
      <w:numFmt w:val="decimal"/>
      <w:start w:val="3"/>
    </w:lvl>
    <w:lvl w:ilvl="1">
      <w:lvlJc w:val="left"/>
      <w:lvlText w:val="(%2)"/>
      <w:numFmt w:val="upperLetter"/>
      <w:start w:val="1"/>
    </w:lvl>
  </w:abstractNum>
  <w:abstractNum w:abstractNumId="87">
    <w:nsid w:val="14FCE74E"/>
    <w:multiLevelType w:val="hybridMultilevel"/>
    <w:lvl w:ilvl="0">
      <w:lvlJc w:val="left"/>
      <w:lvlText w:val="&amp;"/>
      <w:numFmt w:val="bullet"/>
      <w:start w:val="1"/>
    </w:lvl>
    <w:lvl w:ilvl="1">
      <w:lvlJc w:val="left"/>
      <w:lvlText w:val="%2"/>
      <w:numFmt w:val="decimal"/>
      <w:start w:val="1"/>
    </w:lvl>
    <w:lvl w:ilvl="2">
      <w:lvlJc w:val="left"/>
      <w:lvlText w:val="(%3)"/>
      <w:numFmt w:val="upperLetter"/>
      <w:start w:val="5"/>
    </w:lvl>
    <w:lvl w:ilvl="3">
      <w:lvlJc w:val="left"/>
      <w:lvlText w:val="%4"/>
      <w:numFmt w:val="lowerRoman"/>
      <w:start w:val="1"/>
    </w:lvl>
  </w:abstractNum>
  <w:abstractNum w:abstractNumId="88">
    <w:nsid w:val="6A3DD3E8"/>
    <w:multiLevelType w:val="hybridMultilevel"/>
    <w:lvl w:ilvl="0">
      <w:lvlJc w:val="left"/>
      <w:lvlText w:val="&amp;"/>
      <w:numFmt w:val="bullet"/>
      <w:start w:val="1"/>
    </w:lvl>
    <w:lvl w:ilvl="1">
      <w:lvlJc w:val="left"/>
      <w:lvlText w:val="%2."/>
      <w:numFmt w:val="decimal"/>
      <w:start w:val="5"/>
    </w:lvl>
    <w:lvl w:ilvl="2">
      <w:lvlJc w:val="left"/>
      <w:lvlText w:val="(%3)"/>
      <w:numFmt w:val="upperLetter"/>
      <w:start w:val="1"/>
    </w:lvl>
    <w:lvl w:ilvl="3">
      <w:lvlJc w:val="left"/>
      <w:lvlText w:val="(%4)"/>
      <w:numFmt w:val="lowerRoman"/>
      <w:start w:val="1"/>
    </w:lvl>
  </w:abstractNum>
  <w:abstractNum w:abstractNumId="89">
    <w:nsid w:val="71C91298"/>
    <w:multiLevelType w:val="hybridMultilevel"/>
    <w:lvl w:ilvl="0">
      <w:lvlJc w:val="left"/>
      <w:lvlText w:val="(%1)"/>
      <w:numFmt w:val="lowerRoman"/>
      <w:start w:val="2"/>
    </w:lvl>
  </w:abstractNum>
  <w:abstractNum w:abstractNumId="90">
    <w:nsid w:val="9DAF632"/>
    <w:multiLevelType w:val="hybridMultilevel"/>
    <w:lvl w:ilvl="0">
      <w:lvlJc w:val="left"/>
      <w:lvlText w:val="%1"/>
      <w:numFmt w:val="lowerRoman"/>
      <w:start w:val="1"/>
    </w:lvl>
    <w:lvl w:ilvl="1">
      <w:lvlJc w:val="left"/>
      <w:lvlText w:val="(%2)"/>
      <w:numFmt w:val="upperLetter"/>
      <w:start w:val="3"/>
    </w:lvl>
  </w:abstractNum>
  <w:abstractNum w:abstractNumId="91">
    <w:nsid w:val="53299938"/>
    <w:multiLevelType w:val="hybridMultilevel"/>
    <w:lvl w:ilvl="0">
      <w:lvlJc w:val="left"/>
      <w:lvlText w:val="(%1)"/>
      <w:numFmt w:val="lowerRoman"/>
      <w:start w:val="4"/>
    </w:lvl>
    <w:lvl w:ilvl="1">
      <w:lvlJc w:val="left"/>
      <w:lvlText w:val="(%2)"/>
      <w:numFmt w:val="upperLetter"/>
      <w:start w:val="6"/>
    </w:lvl>
  </w:abstractNum>
  <w:abstractNum w:abstractNumId="92">
    <w:nsid w:val="1FBFE8E0"/>
    <w:multiLevelType w:val="hybridMultilevel"/>
    <w:lvl w:ilvl="0">
      <w:lvlJc w:val="left"/>
      <w:lvlText w:val="%1."/>
      <w:numFmt w:val="decimal"/>
      <w:start w:val="6"/>
    </w:lvl>
  </w:abstractNum>
  <w:abstractNum w:abstractNumId="93">
    <w:nsid w:val="5092CA79"/>
    <w:multiLevelType w:val="hybridMultilevel"/>
    <w:lvl w:ilvl="0">
      <w:lvlJc w:val="left"/>
      <w:lvlText w:val="%1."/>
      <w:numFmt w:val="decimal"/>
      <w:start w:val="9"/>
    </w:lvl>
  </w:abstractNum>
  <w:abstractNum w:abstractNumId="94">
    <w:nsid w:val="1D545C4D"/>
    <w:multiLevelType w:val="hybridMultilevel"/>
    <w:lvl w:ilvl="0">
      <w:lvlJc w:val="left"/>
      <w:lvlText w:val="%1."/>
      <w:numFmt w:val="upperLetter"/>
      <w:start w:val="9"/>
    </w:lvl>
  </w:abstractNum>
  <w:abstractNum w:abstractNumId="95">
    <w:nsid w:val="59ADEA3D"/>
    <w:multiLevelType w:val="hybridMultilevel"/>
    <w:lvl w:ilvl="0">
      <w:lvlJc w:val="left"/>
      <w:lvlText w:val="%1."/>
      <w:numFmt w:val="upperLetter"/>
      <w:start w:val="35"/>
    </w:lvl>
  </w:abstractNum>
  <w:abstractNum w:abstractNumId="96">
    <w:nsid w:val="288F1A34"/>
    <w:multiLevelType w:val="hybridMultilevel"/>
    <w:lvl w:ilvl="0">
      <w:lvlJc w:val="left"/>
      <w:lvlText w:val="%1."/>
      <w:numFmt w:val="upperLetter"/>
      <w:start w:val="1"/>
    </w:lvl>
  </w:abstractNum>
  <w:abstractNum w:abstractNumId="97">
    <w:nsid w:val="2A155DBC"/>
    <w:multiLevelType w:val="hybridMultilevel"/>
    <w:lvl w:ilvl="0">
      <w:lvlJc w:val="left"/>
      <w:lvlText w:val="•"/>
      <w:numFmt w:val="bullet"/>
      <w:start w:val="1"/>
    </w:lvl>
  </w:abstractNum>
  <w:abstractNum w:abstractNumId="98">
    <w:nsid w:val="1D9F6E5F"/>
    <w:multiLevelType w:val="hybridMultilevel"/>
    <w:lvl w:ilvl="0">
      <w:lvlJc w:val="left"/>
      <w:lvlText w:val="%1."/>
      <w:numFmt w:val="upperLetter"/>
      <w:start w:val="2"/>
    </w:lvl>
  </w:abstractNum>
  <w:abstractNum w:abstractNumId="99">
    <w:nsid w:val="97E1B4E"/>
    <w:multiLevelType w:val="hybridMultilevel"/>
    <w:lvl w:ilvl="0">
      <w:lvlJc w:val="left"/>
      <w:lvlText w:val="•"/>
      <w:numFmt w:val="bullet"/>
      <w:start w:val="1"/>
    </w:lvl>
  </w:abstractNum>
  <w:abstractNum w:abstractNumId="100">
    <w:nsid w:val="51088277"/>
    <w:multiLevelType w:val="hybridMultilevel"/>
    <w:lvl w:ilvl="0">
      <w:lvlJc w:val="left"/>
      <w:lvlText w:val="%1."/>
      <w:numFmt w:val="upperLetter"/>
      <w:start w:val="3"/>
    </w:lvl>
  </w:abstractNum>
  <w:abstractNum w:abstractNumId="101">
    <w:nsid w:val="1CA0C5FA"/>
    <w:multiLevelType w:val="hybridMultilevel"/>
    <w:lvl w:ilvl="0">
      <w:lvlJc w:val="left"/>
      <w:lvlText w:val="%1."/>
      <w:numFmt w:val="upperLetter"/>
      <w:start w:val="4"/>
    </w:lvl>
  </w:abstractNum>
  <w:abstractNum w:abstractNumId="102">
    <w:nsid w:val="53584BCB"/>
    <w:multiLevelType w:val="hybridMultilevel"/>
    <w:lvl w:ilvl="0">
      <w:lvlJc w:val="left"/>
      <w:lvlText w:val="%1."/>
      <w:numFmt w:val="upperLetter"/>
      <w:start w:val="5"/>
    </w:lvl>
  </w:abstractNum>
  <w:abstractNum w:abstractNumId="103">
    <w:nsid w:val="415E286C"/>
    <w:multiLevelType w:val="hybridMultilevel"/>
    <w:lvl w:ilvl="0">
      <w:lvlJc w:val="left"/>
      <w:lvlText w:val="%1."/>
      <w:numFmt w:val="upperLetter"/>
      <w:start w:val="6"/>
    </w:lvl>
  </w:abstractNum>
  <w:abstractNum w:abstractNumId="104">
    <w:nsid w:val="7C58FD05"/>
    <w:multiLevelType w:val="hybridMultilevel"/>
    <w:lvl w:ilvl="0">
      <w:lvlJc w:val="left"/>
      <w:lvlText w:val="%1."/>
      <w:numFmt w:val="decimal"/>
      <w:start w:val="1"/>
    </w:lvl>
    <w:lvl w:ilvl="1">
      <w:lvlJc w:val="left"/>
      <w:lvlText w:val="%2."/>
      <w:numFmt w:val="lowerLetter"/>
      <w:start w:val="1"/>
    </w:lvl>
  </w:abstractNum>
  <w:abstractNum w:abstractNumId="105">
    <w:nsid w:val="23D86AAC"/>
    <w:multiLevelType w:val="hybridMultilevel"/>
    <w:lvl w:ilvl="0">
      <w:lvlJc w:val="left"/>
      <w:lvlText w:val="%1."/>
      <w:numFmt w:val="lowerLetter"/>
      <w:start w:val="3"/>
    </w:lvl>
  </w:abstractNum>
  <w:abstractNum w:abstractNumId="106">
    <w:nsid w:val="45E6D486"/>
    <w:multiLevelType w:val="hybridMultilevel"/>
    <w:lvl w:ilvl="0">
      <w:lvlJc w:val="left"/>
      <w:lvlText w:val="%1."/>
      <w:numFmt w:val="decimal"/>
      <w:start w:val="2"/>
    </w:lvl>
  </w:abstractNum>
  <w:abstractNum w:abstractNumId="107">
    <w:nsid w:val="5C10FE21"/>
    <w:multiLevelType w:val="hybridMultilevel"/>
    <w:lvl w:ilvl="0">
      <w:lvlJc w:val="left"/>
      <w:lvlText w:val="%1."/>
      <w:numFmt w:val="upperLetter"/>
      <w:start w:val="61"/>
    </w:lvl>
  </w:abstractNum>
  <w:abstractNum w:abstractNumId="108">
    <w:nsid w:val="E7FFA2B"/>
    <w:multiLevelType w:val="hybridMultilevel"/>
    <w:lvl w:ilvl="0">
      <w:lvlJc w:val="left"/>
      <w:lvlText w:val="%1."/>
      <w:numFmt w:val="upperLetter"/>
      <w:start w:val="1"/>
    </w:lvl>
  </w:abstractNum>
  <w:abstractNum w:abstractNumId="109">
    <w:nsid w:val="3C5991AA"/>
    <w:multiLevelType w:val="hybridMultilevel"/>
    <w:lvl w:ilvl="0">
      <w:lvlJc w:val="left"/>
      <w:lvlText w:val="%1."/>
      <w:numFmt w:val="upperLetter"/>
      <w:start w:val="2"/>
    </w:lvl>
  </w:abstractNum>
  <w:abstractNum w:abstractNumId="110">
    <w:nsid w:val="4BD8591A"/>
    <w:multiLevelType w:val="hybridMultilevel"/>
    <w:lvl w:ilvl="0">
      <w:lvlJc w:val="left"/>
      <w:lvlText w:val="%1."/>
      <w:numFmt w:val="upperLetter"/>
      <w:start w:val="3"/>
    </w:lvl>
  </w:abstractNum>
  <w:abstractNum w:abstractNumId="111">
    <w:nsid w:val="78DF6A55"/>
    <w:multiLevelType w:val="hybridMultilevel"/>
    <w:lvl w:ilvl="0">
      <w:lvlJc w:val="left"/>
      <w:lvlText w:val="%1."/>
      <w:numFmt w:val="upperLetter"/>
      <w:start w:val="4"/>
    </w:lvl>
  </w:abstractNum>
  <w:abstractNum w:abstractNumId="112">
    <w:nsid w:val="39B7AAA2"/>
    <w:multiLevelType w:val="hybridMultilevel"/>
    <w:lvl w:ilvl="0">
      <w:lvlJc w:val="left"/>
      <w:lvlText w:val="%1."/>
      <w:numFmt w:val="upperLetter"/>
      <w:start w:val="22"/>
    </w:lvl>
  </w:abstractNum>
  <w:abstractNum w:abstractNumId="113">
    <w:nsid w:val="2B0D8DBE"/>
    <w:multiLevelType w:val="hybridMultilevel"/>
    <w:lvl w:ilvl="0">
      <w:lvlJc w:val="left"/>
      <w:lvlText w:val="•"/>
      <w:numFmt w:val="bullet"/>
      <w:start w:val="1"/>
    </w:lvl>
  </w:abstractNum>
  <w:abstractNum w:abstractNumId="114">
    <w:nsid w:val="6C80EC70"/>
    <w:multiLevelType w:val="hybridMultilevel"/>
    <w:lvl w:ilvl="0">
      <w:lvlJc w:val="left"/>
      <w:lvlText w:val="*"/>
      <w:numFmt w:val="bullet"/>
      <w:start w:val="1"/>
    </w:lvl>
  </w:abstractNum>
  <w:abstractNum w:abstractNumId="115">
    <w:nsid w:val="379E21B5"/>
    <w:multiLevelType w:val="hybridMultilevel"/>
    <w:lvl w:ilvl="0">
      <w:lvlJc w:val="left"/>
      <w:lvlText w:val="%1."/>
      <w:numFmt w:val="decimal"/>
      <w:start w:val="1"/>
    </w:lvl>
    <w:lvl w:ilvl="1">
      <w:lvlJc w:val="left"/>
      <w:lvlText w:val="(%2)"/>
      <w:numFmt w:val="lowerLetter"/>
      <w:start w:val="1"/>
    </w:lvl>
  </w:abstractNum>
  <w:abstractNum w:abstractNumId="116">
    <w:nsid w:val="69E373"/>
    <w:multiLevelType w:val="hybridMultilevel"/>
    <w:lvl w:ilvl="0">
      <w:lvlJc w:val="left"/>
      <w:lvlText w:val="%1."/>
      <w:numFmt w:val="decimal"/>
      <w:start w:val="1"/>
    </w:lvl>
    <w:lvl w:ilvl="1">
      <w:lvlJc w:val="left"/>
      <w:lvlText w:val="(%2)"/>
      <w:numFmt w:val="lowerLetter"/>
      <w:start w:val="1"/>
    </w:lvl>
  </w:abstractNum>
  <w:abstractNum w:abstractNumId="117">
    <w:nsid w:val="2C27173B"/>
    <w:multiLevelType w:val="hybridMultilevel"/>
    <w:lvl w:ilvl="0">
      <w:lvlJc w:val="left"/>
      <w:lvlText w:val="(%1)"/>
      <w:numFmt w:val="decimal"/>
      <w:start w:val="1"/>
    </w:lvl>
  </w:abstractNum>
  <w:abstractNum w:abstractNumId="118">
    <w:nsid w:val="4C9B090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31" Type="http://schemas.openxmlformats.org/officeDocument/2006/relationships/image" Target="media/image106.png"/><Relationship Id="rId132" Type="http://schemas.openxmlformats.org/officeDocument/2006/relationships/image" Target="media/image107.png"/><Relationship Id="rId134" Type="http://schemas.openxmlformats.org/officeDocument/2006/relationships/image" Target="media/image108.png"/><Relationship Id="rId137" Type="http://schemas.openxmlformats.org/officeDocument/2006/relationships/image" Target="media/image109.png"/><Relationship Id="rId159" Type="http://schemas.openxmlformats.org/officeDocument/2006/relationships/image" Target="media/image110.png"/><Relationship Id="rId160" Type="http://schemas.openxmlformats.org/officeDocument/2006/relationships/image" Target="media/image111.png"/><Relationship Id="rId172" Type="http://schemas.openxmlformats.org/officeDocument/2006/relationships/image" Target="media/image112.png"/><Relationship Id="rId173" Type="http://schemas.openxmlformats.org/officeDocument/2006/relationships/image" Target="media/image113.png"/><Relationship Id="rId174" Type="http://schemas.openxmlformats.org/officeDocument/2006/relationships/image" Target="media/image114.png"/><Relationship Id="rId175" Type="http://schemas.openxmlformats.org/officeDocument/2006/relationships/image" Target="media/image115.png"/><Relationship Id="rId176" Type="http://schemas.openxmlformats.org/officeDocument/2006/relationships/image" Target="media/image116.png"/><Relationship Id="rId177" Type="http://schemas.openxmlformats.org/officeDocument/2006/relationships/image" Target="media/image117.png"/><Relationship Id="rId178" Type="http://schemas.openxmlformats.org/officeDocument/2006/relationships/image" Target="media/image118.png"/><Relationship Id="rId179" Type="http://schemas.openxmlformats.org/officeDocument/2006/relationships/image" Target="media/image119.png"/><Relationship Id="rId180" Type="http://schemas.openxmlformats.org/officeDocument/2006/relationships/image" Target="media/image120.png"/><Relationship Id="rId181" Type="http://schemas.openxmlformats.org/officeDocument/2006/relationships/image" Target="media/image121.png"/><Relationship Id="rId182" Type="http://schemas.openxmlformats.org/officeDocument/2006/relationships/image" Target="media/image122.png"/><Relationship Id="rId183" Type="http://schemas.openxmlformats.org/officeDocument/2006/relationships/image" Target="media/image123.png"/><Relationship Id="rId184" Type="http://schemas.openxmlformats.org/officeDocument/2006/relationships/image" Target="media/image124.png"/><Relationship Id="rId185" Type="http://schemas.openxmlformats.org/officeDocument/2006/relationships/image" Target="media/image125.png"/><Relationship Id="rId186" Type="http://schemas.openxmlformats.org/officeDocument/2006/relationships/image" Target="media/image126.png"/><Relationship Id="rId187" Type="http://schemas.openxmlformats.org/officeDocument/2006/relationships/image" Target="media/image127.png"/><Relationship Id="rId188" Type="http://schemas.openxmlformats.org/officeDocument/2006/relationships/image" Target="media/image128.png"/><Relationship Id="rId189" Type="http://schemas.openxmlformats.org/officeDocument/2006/relationships/image" Target="media/image129.png"/><Relationship Id="rId190" Type="http://schemas.openxmlformats.org/officeDocument/2006/relationships/image" Target="media/image130.png"/><Relationship Id="rId191" Type="http://schemas.openxmlformats.org/officeDocument/2006/relationships/image" Target="media/image131.png"/><Relationship Id="rId192" Type="http://schemas.openxmlformats.org/officeDocument/2006/relationships/image" Target="media/image132.png"/><Relationship Id="rId193" Type="http://schemas.openxmlformats.org/officeDocument/2006/relationships/image" Target="media/image133.png"/><Relationship Id="rId194" Type="http://schemas.openxmlformats.org/officeDocument/2006/relationships/image" Target="media/image134.png"/><Relationship Id="rId195" Type="http://schemas.openxmlformats.org/officeDocument/2006/relationships/image" Target="media/image135.png"/><Relationship Id="rId113" Type="http://schemas.openxmlformats.org/officeDocument/2006/relationships/hyperlink" Target="https://www.sec.gov/Archives/edgar/data/1018840/000095012311082951/c20376exv3w2.htm" TargetMode="External"/><Relationship Id="rId114" Type="http://schemas.openxmlformats.org/officeDocument/2006/relationships/hyperlink" Target="https://www.sec.gov/Archives/edgar/data/1018840/000101884024000079/a11-20x2024form8xkxex31.htm" TargetMode="External"/><Relationship Id="rId115" Type="http://schemas.openxmlformats.org/officeDocument/2006/relationships/hyperlink" Target="https://www.sec.gov/Archives/edgar/data/1018840/000101884024000019/exhibit424q2023.htm" TargetMode="External"/><Relationship Id="rId116" Type="http://schemas.openxmlformats.org/officeDocument/2006/relationships/hyperlink" Target="https://www.sec.gov/Archives/edgar/data/1018840/000095015203004327/l99554aexv10w3.txt" TargetMode="External"/><Relationship Id="rId117" Type="http://schemas.openxmlformats.org/officeDocument/2006/relationships/hyperlink" Target="https://www.sec.gov/Archives/edgar/data/1018840/000095012805000180/l15823aexv10w1.txt" TargetMode="External"/><Relationship Id="rId118" Type="http://schemas.openxmlformats.org/officeDocument/2006/relationships/hyperlink" Target="https://www.sec.gov/Archives/edgar/data/1018840/000095015203006095/l01384aexv10w7.txt" TargetMode="External"/><Relationship Id="rId119" Type="http://schemas.openxmlformats.org/officeDocument/2006/relationships/hyperlink" Target="https://www.sec.gov/Archives/edgar/data/1018840/000095015209003195/l35389aexv10w50.htm" TargetMode="External"/><Relationship Id="rId120" Type="http://schemas.openxmlformats.org/officeDocument/2006/relationships/hyperlink" Target="https://www.sec.gov/Archives/edgar/data/1018840/000095015203004327/l99554aexv10w9.txt" TargetMode="External"/><Relationship Id="rId121" Type="http://schemas.openxmlformats.org/officeDocument/2006/relationships/hyperlink" Target="https://www.sec.gov/Archives/edgar/data/1018840/000095015208007062/l33113aexv10w13.htm" TargetMode="External"/><Relationship Id="rId122" Type="http://schemas.openxmlformats.org/officeDocument/2006/relationships/hyperlink" Target="https://www.sec.gov/Archives/edgar/data/1018840/000162828015007729/exhibit103.htm" TargetMode="External"/><Relationship Id="rId123" Type="http://schemas.openxmlformats.org/officeDocument/2006/relationships/hyperlink" Target="https://www.sec.gov/Archives/edgar/data/1018840/000162828015007729/exhibit104.htm" TargetMode="External"/><Relationship Id="rId124" Type="http://schemas.openxmlformats.org/officeDocument/2006/relationships/hyperlink" Target="https://www.sec.gov/Archives/edgar/data/1018840/000101884020000021/exhibit1033q42019.htm" TargetMode="External"/><Relationship Id="rId125" Type="http://schemas.openxmlformats.org/officeDocument/2006/relationships/hyperlink" Target="https://www.sec.gov/Archives/edgar/data/1018840/000095015206008231/l22730aexv10w1.htm" TargetMode="External"/><Relationship Id="rId126" Type="http://schemas.openxmlformats.org/officeDocument/2006/relationships/hyperlink" Target="https://www.sec.gov/Archives/edgar/data/1018840/000101884021000041/exhibit103-amendedandresta.htm" TargetMode="External"/><Relationship Id="rId127" Type="http://schemas.openxmlformats.org/officeDocument/2006/relationships/hyperlink" Target="https://www.sec.gov/Archives/edgar/data/1018840/000101884023000011/exhibit1012q42022.htm" TargetMode="External"/><Relationship Id="rId128" Type="http://schemas.openxmlformats.org/officeDocument/2006/relationships/hyperlink" Target="https://www.sec.gov/Archives/edgar/data/1018840/000101884024000059/a08-07x2024form8xkxex101.htm" TargetMode="External"/><Relationship Id="rId129" Type="http://schemas.openxmlformats.org/officeDocument/2006/relationships/hyperlink" Target="https://www.sec.gov/Archives/edgar/data/1018840/000101884014000060/exhibit105-ablguaranty.htm" TargetMode="External"/><Relationship Id="rId130" Type="http://schemas.openxmlformats.org/officeDocument/2006/relationships/hyperlink" Target="https://www.sec.gov/Archives/edgar/data/1018840/000101884014000060/exhibit107ablsecurityagree.htm" TargetMode="External"/><Relationship Id="rId133" Type="http://schemas.openxmlformats.org/officeDocument/2006/relationships/hyperlink" Target="https://www.sec.gov/Archives/edgar/data/1018840/000101884022000011/exhibit1019q42021.htm" TargetMode="External"/><Relationship Id="rId135" Type="http://schemas.openxmlformats.org/officeDocument/2006/relationships/hyperlink" Target="https://www.sec.gov/Archives/edgar/data/1018840/000101884014000076/exhibit101-retirementagree.htm" TargetMode="External"/><Relationship Id="rId136" Type="http://schemas.openxmlformats.org/officeDocument/2006/relationships/hyperlink" Target="https://www.sec.gov/Archives/edgar/data/1018840/000119312514372064/d803211dex101.htm" TargetMode="External"/><Relationship Id="rId138" Type="http://schemas.openxmlformats.org/officeDocument/2006/relationships/hyperlink" Target="https://www.sec.gov/Archives/edgar/data/1018840/000101884016000080/exhibit1074q42015.htm" TargetMode="External"/><Relationship Id="rId139" Type="http://schemas.openxmlformats.org/officeDocument/2006/relationships/hyperlink" Target="https://www.sec.gov/Archives/edgar/data/1018840/000119312517168588/d396814dex101.htm" TargetMode="External"/><Relationship Id="rId140" Type="http://schemas.openxmlformats.org/officeDocument/2006/relationships/hyperlink" Target="https://www.sec.gov/Archives/edgar/data/1018840/000101884021000073/exhibit101-nonxcompeteamen.htm" TargetMode="External"/><Relationship Id="rId141" Type="http://schemas.openxmlformats.org/officeDocument/2006/relationships/hyperlink" Target="https://www.sec.gov/Archives/edgar/data/1018840/000101884016000082/a8-kexhibit103.htm" TargetMode="External"/><Relationship Id="rId142" Type="http://schemas.openxmlformats.org/officeDocument/2006/relationships/hyperlink" Target="https://www.sec.gov/Archives/edgar/data/1018840/000119312517168588/d396814dex102.htm" TargetMode="External"/><Relationship Id="rId143" Type="http://schemas.openxmlformats.org/officeDocument/2006/relationships/hyperlink" Target="https://www.sec.gov/Archives/edgar/data/1018840/000101884024000009/exhibit101.htm" TargetMode="External"/><Relationship Id="rId144" Type="http://schemas.openxmlformats.org/officeDocument/2006/relationships/hyperlink" Target="https://www.sec.gov/Archives/edgar/data/1018840/000119312517277290/d451530dex101.htm" TargetMode="External"/><Relationship Id="rId145" Type="http://schemas.openxmlformats.org/officeDocument/2006/relationships/hyperlink" Target="https://www.sec.gov/Archives/edgar/data/1018840/000119312517277290/d451530dex102.htm" TargetMode="External"/><Relationship Id="rId146" Type="http://schemas.openxmlformats.org/officeDocument/2006/relationships/hyperlink" Target="https://www.sec.gov/Archives/edgar/data/1018840/000101884018000060/exhibit101-q32018.htm" TargetMode="External"/><Relationship Id="rId147" Type="http://schemas.openxmlformats.org/officeDocument/2006/relationships/hyperlink" Target="https://www.sec.gov/Archives/edgar/data/1018840/000101884018000060/exhibit102-q32018.htm" TargetMode="External"/><Relationship Id="rId148" Type="http://schemas.openxmlformats.org/officeDocument/2006/relationships/hyperlink" Target="https://www.sec.gov/Archives/edgar/data/1018840/000101884021000058/exhibit102-samirdesaioffer.htm" TargetMode="External"/><Relationship Id="rId149" Type="http://schemas.openxmlformats.org/officeDocument/2006/relationships/hyperlink" Target="https://www.sec.gov/Archives/edgar/data/1018840/000101884023000078/exhibit102-q22023.htm" TargetMode="External"/><Relationship Id="rId150" Type="http://schemas.openxmlformats.org/officeDocument/2006/relationships/hyperlink" Target="https://www.sec.gov/Archives/edgar/data/1018840/000101884024000087/exhibit101.htm" TargetMode="External"/><Relationship Id="rId151" Type="http://schemas.openxmlformats.org/officeDocument/2006/relationships/hyperlink" Target="https://www.sec.gov/Archives/edgar/data/1018840/000101884017000026/copyofexhibit103q12017.htm" TargetMode="External"/><Relationship Id="rId152" Type="http://schemas.openxmlformats.org/officeDocument/2006/relationships/hyperlink" Target="https://www.sec.gov/Archives/edgar/data/1018840/000095015205005242/l14548aexv10w1.htm" TargetMode="External"/><Relationship Id="rId153" Type="http://schemas.openxmlformats.org/officeDocument/2006/relationships/hyperlink" Target="https://www.sec.gov/Archives/edgar/data/1018840/000101884016000115/exhibit1011-certificatere2.htm" TargetMode="External"/><Relationship Id="rId154" Type="http://schemas.openxmlformats.org/officeDocument/2006/relationships/hyperlink" Target="https://www.sec.gov/Archives/edgar/data/1018840/000095012311059689/c18911exv10w1.htm" TargetMode="External"/><Relationship Id="rId155" Type="http://schemas.openxmlformats.org/officeDocument/2006/relationships/hyperlink" Target="https://www.sec.gov/Archives/edgar/data/1018840/000101884016000115/exhibit1012-certificatere2.htm" TargetMode="External"/><Relationship Id="rId156" Type="http://schemas.openxmlformats.org/officeDocument/2006/relationships/hyperlink" Target="https://www.sec.gov/Archives/edgar/data/1018840/000101884023000071/a06-14x2023exhibit101.htm" TargetMode="External"/><Relationship Id="rId157" Type="http://schemas.openxmlformats.org/officeDocument/2006/relationships/hyperlink" Target="https://www.sec.gov/Archives/edgar/data/1018840/000101884020000049/exhibit101-q12020.htm" TargetMode="External"/><Relationship Id="rId158" Type="http://schemas.openxmlformats.org/officeDocument/2006/relationships/hyperlink" Target="https://www.sec.gov/Archives/edgar/data/1018840/000101884016000115/exhibit106-rsaagreement.htm" TargetMode="External"/><Relationship Id="rId161" Type="http://schemas.openxmlformats.org/officeDocument/2006/relationships/hyperlink" Target="https://www.sec.gov/Archives/edgar/data/1018840/000101884022000031/exhibit101-psaagreement201.htm" TargetMode="External"/><Relationship Id="rId162" Type="http://schemas.openxmlformats.org/officeDocument/2006/relationships/hyperlink" Target="https://www.sec.gov/Archives/edgar/data/1018840/000101884023000011/exhibit10454q2022.htm" TargetMode="External"/><Relationship Id="rId163" Type="http://schemas.openxmlformats.org/officeDocument/2006/relationships/hyperlink" Target="https://www.sec.gov/Archives/edgar/data/1018840/000101884024000019/exhibit10434q2023.htm" TargetMode="External"/><Relationship Id="rId164" Type="http://schemas.openxmlformats.org/officeDocument/2006/relationships/hyperlink" Target="https://www.sec.gov/Archives/edgar/data/1018840/000101884020000037/a5-20x2020exhibit101.htm" TargetMode="External"/><Relationship Id="rId165" Type="http://schemas.openxmlformats.org/officeDocument/2006/relationships/hyperlink" Target="https://www.sec.gov/Archives/edgar/data/1018840/000101884016000115/exhibit1010-rsaagreementdi.htm" TargetMode="External"/><Relationship Id="rId166" Type="http://schemas.openxmlformats.org/officeDocument/2006/relationships/hyperlink" Target="https://www.sec.gov/Archives/edgar/data/1018840/000101884023000011/exhibit10414q2022.htm" TargetMode="External"/><Relationship Id="rId167" Type="http://schemas.openxmlformats.org/officeDocument/2006/relationships/hyperlink" Target="https://www.sec.gov/Archives/edgar/data/1018840/000101884024000015/a03-13x2024form8xkxex101.htm" TargetMode="External"/><Relationship Id="rId168" Type="http://schemas.openxmlformats.org/officeDocument/2006/relationships/hyperlink" Target="https://www.sec.gov/Archives/edgar/data/1018840/000101884017000035/ex102.htm" TargetMode="External"/><Relationship Id="rId169" Type="http://schemas.openxmlformats.org/officeDocument/2006/relationships/hyperlink" Target="https://www.sec.gov/Archives/edgar/data/1018840/000101884023000091/exhibit102-amendmenttocash.htm" TargetMode="External"/><Relationship Id="rId170" Type="http://schemas.openxmlformats.org/officeDocument/2006/relationships/hyperlink" Target="https://www.sec.gov/Archives/edgar/data/1018840/000101884017000059/exhibit106-associatestockp.htm" TargetMode="External"/><Relationship Id="rId171" Type="http://schemas.openxmlformats.org/officeDocument/2006/relationships/hyperlink" Target="https://www.sec.gov/Archives/edgar/data/1018840/000101884024000019/exhibit971q420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2025-03-31T17:40:38Z</dcterms:created>
  <dcterms:modified xsi:type="dcterms:W3CDTF">2025-03-31T17:40:38Z</dcterms:modified>
</cp:coreProperties>
</file>